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132715</wp:posOffset>
            </wp:positionV>
            <wp:extent cx="1131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151765</wp:posOffset>
            </wp:positionV>
            <wp:extent cx="1131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3640" w:right="1720" w:hanging="3632"/>
        <w:spacing w:after="0" w:line="344" w:lineRule="auto"/>
        <w:tabs>
          <w:tab w:leader="none" w:pos="37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3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3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04"/>
        </w:trPr>
        <w:tc>
          <w:tcPr>
            <w:tcW w:w="440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001-16537</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128905</wp:posOffset>
            </wp:positionV>
            <wp:extent cx="11315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ORASURE TECHNOLOGIES,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133350</wp:posOffset>
            </wp:positionV>
            <wp:extent cx="1131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960" w:type="dxa"/>
        <w:tblCellMar>
          <w:top w:w="0" w:type="dxa"/>
          <w:left w:w="0" w:type="dxa"/>
          <w:bottom w:w="0" w:type="dxa"/>
          <w:right w:w="0" w:type="dxa"/>
        </w:tblCellMar>
      </w:tblPr>
      <w:tr>
        <w:trPr>
          <w:trHeight w:val="225"/>
        </w:trPr>
        <w:tc>
          <w:tcPr>
            <w:tcW w:w="5040" w:type="dxa"/>
            <w:vAlign w:val="bottom"/>
          </w:tcPr>
          <w:p>
            <w:pPr>
              <w:jc w:val="center"/>
              <w:ind w:right="1361"/>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539"/>
              <w:spacing w:after="0"/>
              <w:rPr>
                <w:sz w:val="20"/>
                <w:szCs w:val="20"/>
                <w:color w:val="auto"/>
              </w:rPr>
            </w:pPr>
            <w:r>
              <w:rPr>
                <w:rFonts w:ascii="Arial" w:cs="Arial" w:eastAsia="Arial" w:hAnsi="Arial"/>
                <w:sz w:val="18"/>
                <w:szCs w:val="18"/>
                <w:b w:val="1"/>
                <w:bCs w:val="1"/>
                <w:color w:val="auto"/>
              </w:rPr>
              <w:t>36-4370966</w:t>
            </w:r>
          </w:p>
        </w:tc>
      </w:tr>
      <w:tr>
        <w:trPr>
          <w:trHeight w:val="148"/>
        </w:trPr>
        <w:tc>
          <w:tcPr>
            <w:tcW w:w="5040" w:type="dxa"/>
            <w:vAlign w:val="bottom"/>
          </w:tcPr>
          <w:p>
            <w:pPr>
              <w:jc w:val="center"/>
              <w:ind w:right="138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40" w:type="dxa"/>
            <w:vAlign w:val="bottom"/>
          </w:tcPr>
          <w:p>
            <w:pPr>
              <w:jc w:val="center"/>
              <w:ind w:left="1359"/>
              <w:spacing w:after="0" w:line="149" w:lineRule="exact"/>
              <w:rPr>
                <w:sz w:val="20"/>
                <w:szCs w:val="20"/>
                <w:color w:val="auto"/>
              </w:rPr>
            </w:pPr>
            <w:r>
              <w:rPr>
                <w:rFonts w:ascii="Arial" w:cs="Arial" w:eastAsia="Arial" w:hAnsi="Arial"/>
                <w:sz w:val="14"/>
                <w:szCs w:val="14"/>
                <w:b w:val="1"/>
                <w:bCs w:val="1"/>
                <w:color w:val="auto"/>
                <w:w w:val="96"/>
              </w:rPr>
              <w:t>(IRS Employer Identification No.)</w:t>
            </w:r>
          </w:p>
        </w:tc>
      </w:tr>
      <w:tr>
        <w:trPr>
          <w:trHeight w:val="186"/>
        </w:trPr>
        <w:tc>
          <w:tcPr>
            <w:tcW w:w="5040" w:type="dxa"/>
            <w:vAlign w:val="bottom"/>
          </w:tcPr>
          <w:p>
            <w:pPr>
              <w:jc w:val="center"/>
              <w:ind w:right="1381"/>
              <w:spacing w:after="0"/>
              <w:rPr>
                <w:sz w:val="20"/>
                <w:szCs w:val="20"/>
                <w:color w:val="auto"/>
              </w:rPr>
            </w:pPr>
            <w:r>
              <w:rPr>
                <w:rFonts w:ascii="Arial" w:cs="Arial" w:eastAsia="Arial" w:hAnsi="Arial"/>
                <w:sz w:val="14"/>
                <w:szCs w:val="14"/>
                <w:b w:val="1"/>
                <w:bCs w:val="1"/>
                <w:color w:val="auto"/>
                <w:w w:val="95"/>
              </w:rPr>
              <w:t>Incorporation or Organization)</w:t>
            </w:r>
          </w:p>
        </w:tc>
        <w:tc>
          <w:tcPr>
            <w:tcW w:w="3540" w:type="dxa"/>
            <w:vAlign w:val="bottom"/>
          </w:tcPr>
          <w:p>
            <w:pPr>
              <w:spacing w:after="0"/>
              <w:rPr>
                <w:sz w:val="16"/>
                <w:szCs w:val="16"/>
                <w:color w:val="auto"/>
              </w:rPr>
            </w:pPr>
          </w:p>
        </w:tc>
      </w:tr>
      <w:tr>
        <w:trPr>
          <w:trHeight w:val="435"/>
        </w:trPr>
        <w:tc>
          <w:tcPr>
            <w:tcW w:w="5040" w:type="dxa"/>
            <w:vAlign w:val="bottom"/>
          </w:tcPr>
          <w:p>
            <w:pPr>
              <w:jc w:val="center"/>
              <w:ind w:right="1381"/>
              <w:spacing w:after="0"/>
              <w:rPr>
                <w:sz w:val="20"/>
                <w:szCs w:val="20"/>
                <w:color w:val="auto"/>
              </w:rPr>
            </w:pPr>
            <w:r>
              <w:rPr>
                <w:rFonts w:ascii="Arial" w:cs="Arial" w:eastAsia="Arial" w:hAnsi="Arial"/>
                <w:sz w:val="18"/>
                <w:szCs w:val="18"/>
                <w:b w:val="1"/>
                <w:bCs w:val="1"/>
                <w:color w:val="auto"/>
                <w:w w:val="89"/>
              </w:rPr>
              <w:t>220 East First Street, Bethlehem, Pennsylvania</w:t>
            </w:r>
          </w:p>
        </w:tc>
        <w:tc>
          <w:tcPr>
            <w:tcW w:w="3540" w:type="dxa"/>
            <w:vAlign w:val="bottom"/>
          </w:tcPr>
          <w:p>
            <w:pPr>
              <w:jc w:val="right"/>
              <w:ind w:right="739"/>
              <w:spacing w:after="0"/>
              <w:rPr>
                <w:sz w:val="20"/>
                <w:szCs w:val="20"/>
                <w:color w:val="auto"/>
              </w:rPr>
            </w:pPr>
            <w:r>
              <w:rPr>
                <w:rFonts w:ascii="Arial" w:cs="Arial" w:eastAsia="Arial" w:hAnsi="Arial"/>
                <w:sz w:val="18"/>
                <w:szCs w:val="18"/>
                <w:b w:val="1"/>
                <w:bCs w:val="1"/>
                <w:color w:val="auto"/>
              </w:rPr>
              <w:t>18015</w:t>
            </w:r>
          </w:p>
        </w:tc>
      </w:tr>
      <w:tr>
        <w:trPr>
          <w:trHeight w:val="186"/>
        </w:trPr>
        <w:tc>
          <w:tcPr>
            <w:tcW w:w="5040" w:type="dxa"/>
            <w:vAlign w:val="bottom"/>
          </w:tcPr>
          <w:p>
            <w:pPr>
              <w:jc w:val="center"/>
              <w:ind w:right="138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540" w:type="dxa"/>
            <w:vAlign w:val="bottom"/>
          </w:tcPr>
          <w:p>
            <w:pPr>
              <w:jc w:val="center"/>
              <w:ind w:left="1359"/>
              <w:spacing w:after="0"/>
              <w:rPr>
                <w:sz w:val="20"/>
                <w:szCs w:val="20"/>
                <w:color w:val="auto"/>
              </w:rPr>
            </w:pPr>
            <w:r>
              <w:rPr>
                <w:rFonts w:ascii="Arial" w:cs="Arial" w:eastAsia="Arial" w:hAnsi="Arial"/>
                <w:sz w:val="14"/>
                <w:szCs w:val="14"/>
                <w:b w:val="1"/>
                <w:bCs w:val="1"/>
                <w:color w:val="auto"/>
                <w:w w:val="92"/>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(610) 882-1820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154305</wp:posOffset>
            </wp:positionV>
            <wp:extent cx="1114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164"/>
        </w:trPr>
        <w:tc>
          <w:tcPr>
            <w:tcW w:w="4280" w:type="dxa"/>
            <w:vAlign w:val="bottom"/>
            <w:tcBorders>
              <w:top w:val="single" w:sz="8" w:color="auto"/>
              <w:lef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8"/>
                <w:szCs w:val="18"/>
                <w:b w:val="1"/>
                <w:bCs w:val="1"/>
                <w:color w:val="auto"/>
                <w:w w:val="93"/>
              </w:rPr>
              <w:t>Trading</w:t>
            </w:r>
          </w:p>
        </w:tc>
        <w:tc>
          <w:tcPr>
            <w:tcW w:w="120" w:type="dxa"/>
            <w:vAlign w:val="bottom"/>
            <w:tcBorders>
              <w:top w:val="single" w:sz="8" w:color="auto"/>
            </w:tcBorders>
          </w:tcPr>
          <w:p>
            <w:pPr>
              <w:spacing w:after="0"/>
              <w:rPr>
                <w:sz w:val="14"/>
                <w:szCs w:val="14"/>
                <w:color w:val="auto"/>
              </w:rPr>
            </w:pPr>
          </w:p>
        </w:tc>
        <w:tc>
          <w:tcPr>
            <w:tcW w:w="5040" w:type="dxa"/>
            <w:vAlign w:val="bottom"/>
            <w:tcBorders>
              <w:top w:val="single" w:sz="8" w:color="auto"/>
              <w:right w:val="single" w:sz="8" w:color="auto"/>
            </w:tcBorders>
          </w:tcPr>
          <w:p>
            <w:pPr>
              <w:spacing w:after="0"/>
              <w:rPr>
                <w:sz w:val="14"/>
                <w:szCs w:val="14"/>
                <w:color w:val="auto"/>
              </w:rPr>
            </w:pPr>
          </w:p>
        </w:tc>
      </w:tr>
      <w:tr>
        <w:trPr>
          <w:trHeight w:val="234"/>
        </w:trPr>
        <w:tc>
          <w:tcPr>
            <w:tcW w:w="42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42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Common Stock, $0.000001 par value per share</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OSUR</w:t>
            </w:r>
          </w:p>
        </w:tc>
        <w:tc>
          <w:tcPr>
            <w:tcW w:w="1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53" w:lineRule="exact"/>
        <w:rPr>
          <w:sz w:val="24"/>
          <w:szCs w:val="24"/>
          <w:color w:val="auto"/>
        </w:rPr>
      </w:pPr>
    </w:p>
    <w:p>
      <w:pPr>
        <w:ind w:right="80" w:firstLine="509"/>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firstLine="509"/>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60" w:firstLine="50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4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240" w:firstLine="50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80"/>
        <w:spacing w:after="0" w:line="267" w:lineRule="exact"/>
        <w:rPr>
          <w:sz w:val="20"/>
          <w:szCs w:val="20"/>
          <w:color w:val="auto"/>
        </w:rPr>
      </w:pPr>
      <w:r>
        <w:rPr>
          <w:rFonts w:ascii="Arial" w:cs="Arial" w:eastAsia="Arial" w:hAnsi="Arial"/>
          <w:sz w:val="16"/>
          <w:szCs w:val="16"/>
          <w:color w:val="auto"/>
        </w:rPr>
        <w:t xml:space="preserve">Indicate by checkmark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3, 2022, the registrant had 72,622,043 shares of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Page</w:t>
            </w:r>
          </w:p>
        </w:tc>
      </w:t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w:t>
            </w:r>
          </w:p>
        </w:tc>
      </w:tr>
      <w:tr>
        <w:trPr>
          <w:trHeight w:val="345"/>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5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Consolidated Balance Sheets at September 30, 2022 and December 31, 2021</w:t>
            </w:r>
          </w:p>
        </w:tc>
        <w:tc>
          <w:tcPr>
            <w:tcW w:w="20" w:type="dxa"/>
            <w:vAlign w:val="bottom"/>
            <w:tcBorders>
              <w:bottom w:val="single" w:sz="8" w:color="0000EE"/>
            </w:tcBorders>
          </w:tcPr>
          <w:p>
            <w:pPr>
              <w:spacing w:after="0"/>
              <w:rPr>
                <w:sz w:val="24"/>
                <w:szCs w:val="24"/>
                <w:color w:val="auto"/>
              </w:rPr>
            </w:pPr>
          </w:p>
        </w:tc>
        <w:tc>
          <w:tcPr>
            <w:tcW w:w="48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FF"/>
                <w:w w:val="89"/>
              </w:rPr>
              <w:t>Consolidated Statements of Operations for the three and nine months ended September 30, 2022 and 2021</w:t>
            </w:r>
          </w:p>
        </w:tc>
        <w:tc>
          <w:tcPr>
            <w:tcW w:w="264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Consolidated Statements of Comprehensive Loss for the three and nine months ended September 30, 2022 and 2021</w:t>
            </w:r>
          </w:p>
        </w:tc>
        <w:tc>
          <w:tcPr>
            <w:tcW w:w="19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Consolidated Statements of Cash Flows for the nine months ended September 30, 2022 and 2021</w:t>
            </w:r>
          </w:p>
        </w:tc>
        <w:tc>
          <w:tcPr>
            <w:tcW w:w="334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Notes to the Consolidated Financial Statements</w:t>
            </w:r>
          </w:p>
        </w:tc>
        <w:tc>
          <w:tcPr>
            <w:tcW w:w="20" w:type="dxa"/>
            <w:vAlign w:val="bottom"/>
            <w:tcBorders>
              <w:bottom w:val="single" w:sz="8" w:color="0000EE"/>
            </w:tcBorders>
          </w:tcPr>
          <w:p>
            <w:pPr>
              <w:spacing w:after="0"/>
              <w:rPr>
                <w:sz w:val="24"/>
                <w:szCs w:val="24"/>
                <w:color w:val="auto"/>
              </w:rPr>
            </w:pPr>
          </w:p>
        </w:tc>
        <w:tc>
          <w:tcPr>
            <w:tcW w:w="690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1"/>
        </w:trPr>
        <w:tc>
          <w:tcPr>
            <w:tcW w:w="20" w:type="dxa"/>
            <w:vAlign w:val="bottom"/>
            <w:tcBorders>
              <w:bottom w:val="single" w:sz="8" w:color="0000EE"/>
            </w:tcBorders>
          </w:tcPr>
          <w:p>
            <w:pPr>
              <w:spacing w:after="0"/>
              <w:rPr>
                <w:sz w:val="24"/>
                <w:szCs w:val="24"/>
                <w:color w:val="auto"/>
              </w:rPr>
            </w:pPr>
          </w:p>
        </w:tc>
        <w:tc>
          <w:tcPr>
            <w:tcW w:w="74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89"/>
              </w:rPr>
              <w:t>Item 2. Management’s Discussion and Analysis of Financial Condition and Results of Operations</w:t>
            </w:r>
          </w:p>
        </w:tc>
        <w:tc>
          <w:tcPr>
            <w:tcW w:w="328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31"/>
        </w:trPr>
        <w:tc>
          <w:tcPr>
            <w:tcW w:w="20" w:type="dxa"/>
            <w:vAlign w:val="bottom"/>
            <w:tcBorders>
              <w:bottom w:val="single" w:sz="8" w:color="0000EE"/>
            </w:tcBorders>
          </w:tcPr>
          <w:p>
            <w:pPr>
              <w:spacing w:after="0"/>
              <w:rPr>
                <w:sz w:val="24"/>
                <w:szCs w:val="24"/>
                <w:color w:val="auto"/>
              </w:rPr>
            </w:pPr>
          </w:p>
        </w:tc>
        <w:tc>
          <w:tcPr>
            <w:tcW w:w="52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w w:val="91"/>
              </w:rPr>
              <w:t>Item 3. Quantitative and Qualitative Disclosures About Market Risk</w:t>
            </w:r>
          </w:p>
        </w:tc>
        <w:tc>
          <w:tcPr>
            <w:tcW w:w="54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1"/>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Arial" w:cs="Arial" w:eastAsia="Arial" w:hAnsi="Arial"/>
                <w:sz w:val="18"/>
                <w:szCs w:val="18"/>
                <w:b w:val="1"/>
                <w:bCs w:val="1"/>
                <w:color w:val="0000FF"/>
              </w:rPr>
              <w:t>Item 4. Controls and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79"/>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00" w:type="dxa"/>
            <w:vAlign w:val="bottom"/>
            <w:gridSpan w:val="9"/>
          </w:tcPr>
          <w:p>
            <w:pPr>
              <w:ind w:left="160"/>
              <w:spacing w:after="0"/>
              <w:rPr>
                <w:sz w:val="20"/>
                <w:szCs w:val="20"/>
                <w:color w:val="auto"/>
              </w:rPr>
            </w:pPr>
            <w:r>
              <w:rPr>
                <w:rFonts w:ascii="Arial" w:cs="Arial" w:eastAsia="Arial" w:hAnsi="Arial"/>
                <w:sz w:val="18"/>
                <w:szCs w:val="18"/>
                <w:b w:val="1"/>
                <w:bCs w:val="1"/>
                <w:color w:val="auto"/>
              </w:rPr>
              <w:t>PART II. OTHER INFORMATION</w:t>
            </w:r>
          </w:p>
        </w:tc>
        <w:tc>
          <w:tcPr>
            <w:tcW w:w="52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Arial" w:cs="Arial" w:eastAsia="Arial" w:hAnsi="Arial"/>
                <w:sz w:val="18"/>
                <w:szCs w:val="18"/>
                <w:b w:val="1"/>
                <w:bCs w:val="1"/>
                <w:color w:val="0000FF"/>
              </w:rPr>
              <w:t>Item 1. Legal Proceedings</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1"/>
        </w:trPr>
        <w:tc>
          <w:tcPr>
            <w:tcW w:w="20" w:type="dxa"/>
            <w:vAlign w:val="bottom"/>
            <w:tcBorders>
              <w:top w:val="single" w:sz="8" w:color="0000EE"/>
              <w:bottom w:val="single" w:sz="8" w:color="0000EE"/>
            </w:tcBorders>
          </w:tcPr>
          <w:p>
            <w:pPr>
              <w:spacing w:after="0"/>
              <w:rPr>
                <w:sz w:val="24"/>
                <w:szCs w:val="24"/>
                <w:color w:val="auto"/>
              </w:rPr>
            </w:pPr>
          </w:p>
        </w:tc>
        <w:tc>
          <w:tcPr>
            <w:tcW w:w="17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1"/>
              </w:rPr>
              <w:t>Item 1A. Risk Factors</w:t>
            </w:r>
          </w:p>
        </w:tc>
        <w:tc>
          <w:tcPr>
            <w:tcW w:w="20" w:type="dxa"/>
            <w:vAlign w:val="bottom"/>
            <w:tcBorders>
              <w:top w:val="single" w:sz="8" w:color="0000FF"/>
              <w:bottom w:val="single" w:sz="8" w:color="0000EE"/>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72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1"/>
        </w:trPr>
        <w:tc>
          <w:tcPr>
            <w:tcW w:w="20" w:type="dxa"/>
            <w:vAlign w:val="bottom"/>
            <w:tcBorders>
              <w:bottom w:val="single" w:sz="8" w:color="0000EE"/>
            </w:tcBorders>
          </w:tcPr>
          <w:p>
            <w:pPr>
              <w:spacing w:after="0"/>
              <w:rPr>
                <w:sz w:val="24"/>
                <w:szCs w:val="24"/>
                <w:color w:val="auto"/>
              </w:rPr>
            </w:pPr>
          </w:p>
        </w:tc>
        <w:tc>
          <w:tcPr>
            <w:tcW w:w="51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b w:val="1"/>
                <w:bCs w:val="1"/>
                <w:color w:val="0000FF"/>
                <w:w w:val="88"/>
              </w:rPr>
              <w:t>Item 2. Unregistered Sales of Equity Securities and Use of Proceeds</w:t>
            </w:r>
          </w:p>
        </w:tc>
        <w:tc>
          <w:tcPr>
            <w:tcW w:w="554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1"/>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Arial" w:cs="Arial" w:eastAsia="Arial" w:hAnsi="Arial"/>
                <w:sz w:val="18"/>
                <w:szCs w:val="18"/>
                <w:b w:val="1"/>
                <w:bCs w:val="1"/>
                <w:color w:val="0000FF"/>
              </w:rPr>
              <w:t>Item 3. Defaults Upon Senior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1"/>
        </w:trPr>
        <w:tc>
          <w:tcPr>
            <w:tcW w:w="20" w:type="dxa"/>
            <w:vAlign w:val="bottom"/>
            <w:tcBorders>
              <w:top w:val="single" w:sz="8" w:color="0000EE"/>
            </w:tcBorders>
          </w:tcPr>
          <w:p>
            <w:pPr>
              <w:spacing w:after="0"/>
              <w:rPr>
                <w:sz w:val="24"/>
                <w:szCs w:val="24"/>
                <w:color w:val="auto"/>
              </w:rPr>
            </w:pPr>
          </w:p>
        </w:tc>
        <w:tc>
          <w:tcPr>
            <w:tcW w:w="3020" w:type="dxa"/>
            <w:vAlign w:val="bottom"/>
            <w:tcBorders>
              <w:top w:val="single" w:sz="8" w:color="0000FF"/>
            </w:tcBorders>
            <w:gridSpan w:val="10"/>
          </w:tcPr>
          <w:p>
            <w:pPr>
              <w:spacing w:after="0"/>
              <w:rPr>
                <w:sz w:val="20"/>
                <w:szCs w:val="20"/>
                <w:color w:val="auto"/>
              </w:rPr>
            </w:pPr>
            <w:r>
              <w:rPr>
                <w:rFonts w:ascii="Arial" w:cs="Arial" w:eastAsia="Arial" w:hAnsi="Arial"/>
                <w:sz w:val="18"/>
                <w:szCs w:val="18"/>
                <w:b w:val="1"/>
                <w:bCs w:val="1"/>
                <w:color w:val="0000FF"/>
              </w:rPr>
              <w:t>Item 4. Mine Safety Disclosures</w:t>
            </w:r>
          </w:p>
        </w:tc>
        <w:tc>
          <w:tcPr>
            <w:tcW w:w="768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1"/>
        </w:trPr>
        <w:tc>
          <w:tcPr>
            <w:tcW w:w="20" w:type="dxa"/>
            <w:vAlign w:val="bottom"/>
            <w:tcBorders>
              <w:top w:val="single" w:sz="8" w:color="0000EE"/>
              <w:bottom w:val="single" w:sz="8" w:color="0000EE"/>
            </w:tcBorders>
          </w:tcPr>
          <w:p>
            <w:pPr>
              <w:spacing w:after="0"/>
              <w:rPr>
                <w:sz w:val="24"/>
                <w:szCs w:val="24"/>
                <w:color w:val="auto"/>
              </w:rPr>
            </w:pPr>
          </w:p>
        </w:tc>
        <w:tc>
          <w:tcPr>
            <w:tcW w:w="20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4"/>
              </w:rPr>
              <w:t>Item 5. Other Information</w:t>
            </w:r>
          </w:p>
        </w:tc>
        <w:tc>
          <w:tcPr>
            <w:tcW w:w="380" w:type="dxa"/>
            <w:vAlign w:val="bottom"/>
            <w:tcBorders>
              <w:top w:val="single" w:sz="8" w:color="0000FF"/>
            </w:tcBorders>
          </w:tcPr>
          <w:p>
            <w:pPr>
              <w:spacing w:after="0"/>
              <w:rPr>
                <w:sz w:val="24"/>
                <w:szCs w:val="24"/>
                <w:color w:val="auto"/>
              </w:rPr>
            </w:pPr>
          </w:p>
        </w:tc>
        <w:tc>
          <w:tcPr>
            <w:tcW w:w="828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1"/>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Arial" w:cs="Arial" w:eastAsia="Arial" w:hAnsi="Arial"/>
                <w:sz w:val="18"/>
                <w:szCs w:val="18"/>
                <w:b w:val="1"/>
                <w:bCs w:val="1"/>
                <w:color w:val="0000FF"/>
              </w:rPr>
              <w:t>Item 6. Exhibits</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1"/>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0000FF"/>
                <w:w w:val="90"/>
              </w:rPr>
              <w:t>Signatures</w:t>
            </w:r>
          </w:p>
        </w:tc>
        <w:tc>
          <w:tcPr>
            <w:tcW w:w="9480" w:type="dxa"/>
            <w:vAlign w:val="bottom"/>
            <w:gridSpan w:val="1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175"/>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0" w:type="dxa"/>
            <w:vAlign w:val="bottom"/>
          </w:tcPr>
          <w:p>
            <w:pPr>
              <w:spacing w:after="0"/>
              <w:rPr>
                <w:sz w:val="24"/>
                <w:szCs w:val="24"/>
                <w:color w:val="auto"/>
              </w:rPr>
            </w:pPr>
          </w:p>
        </w:tc>
        <w:tc>
          <w:tcPr>
            <w:tcW w:w="8780" w:type="dxa"/>
            <w:vAlign w:val="bottom"/>
            <w:gridSpan w:val="4"/>
          </w:tcPr>
          <w:p>
            <w:pPr>
              <w:jc w:val="center"/>
              <w:ind w:left="810"/>
              <w:spacing w:after="0"/>
              <w:rPr>
                <w:sz w:val="20"/>
                <w:szCs w:val="20"/>
                <w:color w:val="auto"/>
              </w:rPr>
            </w:pPr>
            <w:r>
              <w:rPr>
                <w:rFonts w:ascii="Arial" w:cs="Arial" w:eastAsia="Arial" w:hAnsi="Arial"/>
                <w:sz w:val="18"/>
                <w:szCs w:val="18"/>
                <w:b w:val="1"/>
                <w:bCs w:val="1"/>
                <w:color w:val="auto"/>
                <w:w w:val="99"/>
              </w:rPr>
              <w:t>ORASURE TECHNOLOGIES, INC. AND SUBSIDIARIES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80" w:type="dxa"/>
            <w:vAlign w:val="bottom"/>
          </w:tcPr>
          <w:p>
            <w:pPr>
              <w:spacing w:after="0"/>
              <w:rPr>
                <w:sz w:val="17"/>
                <w:szCs w:val="17"/>
                <w:color w:val="auto"/>
              </w:rPr>
            </w:pPr>
          </w:p>
        </w:tc>
        <w:tc>
          <w:tcPr>
            <w:tcW w:w="6880" w:type="dxa"/>
            <w:vAlign w:val="bottom"/>
          </w:tcPr>
          <w:p>
            <w:pPr>
              <w:jc w:val="center"/>
              <w:ind w:left="2710"/>
              <w:spacing w:after="0" w:line="202" w:lineRule="exact"/>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0" w:type="dxa"/>
            <w:vAlign w:val="bottom"/>
          </w:tcPr>
          <w:p>
            <w:pPr>
              <w:spacing w:after="0"/>
              <w:rPr>
                <w:sz w:val="18"/>
                <w:szCs w:val="18"/>
                <w:color w:val="auto"/>
              </w:rPr>
            </w:pPr>
          </w:p>
        </w:tc>
        <w:tc>
          <w:tcPr>
            <w:tcW w:w="6880" w:type="dxa"/>
            <w:vAlign w:val="bottom"/>
          </w:tcPr>
          <w:p>
            <w:pPr>
              <w:jc w:val="center"/>
              <w:ind w:left="271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6880" w:type="dxa"/>
            <w:vAlign w:val="bottom"/>
          </w:tcPr>
          <w:p>
            <w:pPr>
              <w:jc w:val="center"/>
              <w:ind w:left="273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7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September 30, 2022</w:t>
            </w:r>
          </w:p>
        </w:tc>
        <w:tc>
          <w:tcPr>
            <w:tcW w:w="16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2021</w:t>
            </w:r>
          </w:p>
        </w:tc>
      </w:tr>
      <w:tr>
        <w:trPr>
          <w:trHeight w:val="209"/>
        </w:trPr>
        <w:tc>
          <w:tcPr>
            <w:tcW w:w="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68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75,205</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116,762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26,432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36,279</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Accounts receivable, net of allowance for doubtful accounts of $4,176 and $3,418</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61,306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78,805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53,138</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32,140</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28,990</w:t>
            </w:r>
          </w:p>
        </w:tc>
        <w:tc>
          <w:tcPr>
            <w:tcW w:w="100" w:type="dxa"/>
            <w:vAlign w:val="bottom"/>
          </w:tcPr>
          <w:p>
            <w:pPr>
              <w:spacing w:after="0"/>
              <w:rPr>
                <w:sz w:val="18"/>
                <w:szCs w:val="18"/>
                <w:color w:val="auto"/>
              </w:rPr>
            </w:pPr>
          </w:p>
        </w:tc>
      </w:tr>
      <w:tr>
        <w:trPr>
          <w:trHeight w:val="21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279,732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288,431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85,184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88,164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Operating right-of-use assets, net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15,769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Finance right-of-use assets, net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11,919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14,343</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3,538</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152,476</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172,559</w:t>
            </w:r>
          </w:p>
        </w:tc>
        <w:tc>
          <w:tcPr>
            <w:tcW w:w="100" w:type="dxa"/>
            <w:vAlign w:val="bottom"/>
          </w:tcPr>
          <w:p>
            <w:pPr>
              <w:spacing w:after="0"/>
              <w:rPr>
                <w:sz w:val="18"/>
                <w:szCs w:val="18"/>
                <w:color w:val="auto"/>
              </w:rPr>
            </w:pPr>
          </w:p>
        </w:tc>
      </w:tr>
      <w:tr>
        <w:trPr>
          <w:trHeight w:val="250"/>
        </w:trPr>
        <w:tc>
          <w:tcPr>
            <w:tcW w:w="7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432,208</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460,990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6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40,370</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28,024</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33,778</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Finance lease liabilities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Acquisition-related contingent consideration obligation</w:t>
            </w: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71,697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68,064</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Acquisition-related contingent consideration obligation</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8"/>
                <w:szCs w:val="18"/>
                <w:color w:val="auto"/>
              </w:rPr>
            </w:pPr>
          </w:p>
        </w:tc>
      </w:tr>
      <w:tr>
        <w:trPr>
          <w:trHeight w:val="209"/>
        </w:trPr>
        <w:tc>
          <w:tcPr>
            <w:tcW w:w="76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18,621</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90,318</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80,457</w:t>
            </w:r>
          </w:p>
        </w:tc>
        <w:tc>
          <w:tcPr>
            <w:tcW w:w="100" w:type="dxa"/>
            <w:vAlign w:val="bottom"/>
          </w:tcPr>
          <w:p>
            <w:pPr>
              <w:spacing w:after="0"/>
              <w:rPr>
                <w:sz w:val="18"/>
                <w:szCs w:val="18"/>
                <w:color w:val="auto"/>
              </w:rPr>
            </w:pPr>
          </w:p>
        </w:tc>
      </w:tr>
      <w:tr>
        <w:trPr>
          <w:trHeight w:val="210"/>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Preferred stock, par value $.000001, 25,000 shares authorized, none issued</w:t>
            </w:r>
          </w:p>
        </w:tc>
        <w:tc>
          <w:tcPr>
            <w:tcW w:w="1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7660" w:type="dxa"/>
            <w:vAlign w:val="bottom"/>
            <w:gridSpan w:val="2"/>
          </w:tcPr>
          <w:p>
            <w:pPr>
              <w:ind w:left="200"/>
              <w:spacing w:after="0" w:line="175" w:lineRule="exact"/>
              <w:rPr>
                <w:sz w:val="20"/>
                <w:szCs w:val="20"/>
                <w:color w:val="auto"/>
              </w:rPr>
            </w:pPr>
            <w:r>
              <w:rPr>
                <w:rFonts w:ascii="Arial" w:cs="Arial" w:eastAsia="Arial" w:hAnsi="Arial"/>
                <w:sz w:val="18"/>
                <w:szCs w:val="18"/>
                <w:color w:val="auto"/>
                <w:w w:val="90"/>
              </w:rPr>
              <w:t>Common stock, par value $.000001, 120,000 shares authorized, 72,619 and 72,069 shares issued and</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518,170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511,063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(22,331 )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(10,077 )</w:t>
            </w:r>
          </w:p>
        </w:tc>
      </w:tr>
      <w:tr>
        <w:trPr>
          <w:trHeight w:val="216"/>
        </w:trPr>
        <w:tc>
          <w:tcPr>
            <w:tcW w:w="76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(153,949 )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(120,453 )</w:t>
            </w:r>
          </w:p>
        </w:tc>
      </w:tr>
      <w:tr>
        <w:trPr>
          <w:trHeight w:val="210"/>
        </w:trPr>
        <w:tc>
          <w:tcPr>
            <w:tcW w:w="7660" w:type="dxa"/>
            <w:vAlign w:val="bottom"/>
            <w:tcBorders>
              <w:top w:val="single" w:sz="8" w:color="CFF0FC"/>
            </w:tcBorders>
            <w:gridSpan w:val="2"/>
          </w:tcPr>
          <w:p>
            <w:pPr>
              <w:ind w:left="3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341,890</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380,533</w:t>
            </w:r>
          </w:p>
        </w:tc>
        <w:tc>
          <w:tcPr>
            <w:tcW w:w="100" w:type="dxa"/>
            <w:vAlign w:val="bottom"/>
            <w:tcBorders>
              <w:top w:val="single" w:sz="8" w:color="CFF0FC"/>
            </w:tcBorders>
          </w:tcPr>
          <w:p>
            <w:pPr>
              <w:spacing w:after="0"/>
              <w:rPr>
                <w:sz w:val="18"/>
                <w:szCs w:val="18"/>
                <w:color w:val="auto"/>
              </w:rPr>
            </w:pPr>
          </w:p>
        </w:tc>
      </w:tr>
      <w:tr>
        <w:trPr>
          <w:trHeight w:val="249"/>
        </w:trPr>
        <w:tc>
          <w:tcPr>
            <w:tcW w:w="7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432,208</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460,990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-4079875</wp:posOffset>
            </wp:positionV>
            <wp:extent cx="7747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-3788410</wp:posOffset>
            </wp:positionV>
            <wp:extent cx="12604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0475"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-2665095</wp:posOffset>
            </wp:positionV>
            <wp:extent cx="7747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-1551305</wp:posOffset>
            </wp:positionV>
            <wp:extent cx="7747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7747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 w:name="page4"/>
    <w:bookmarkEnd w:id="3"/>
    <w:p>
      <w:pPr>
        <w:ind w:left="332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5"/>
          </w:tcPr>
          <w:p>
            <w:pPr>
              <w:jc w:val="right"/>
              <w:ind w:right="45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42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Products and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112,821</w:t>
            </w:r>
          </w:p>
        </w:tc>
        <w:tc>
          <w:tcPr>
            <w:tcW w:w="3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53,229</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257,224</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116,463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264,401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PRODUCTS AND SERVICES SOLD</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70,271</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32,449</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166,353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46,192</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21,468</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13,474</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12,499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impairment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740" w:type="dxa"/>
            <w:vAlign w:val="bottom"/>
          </w:tcPr>
          <w:p>
            <w:pPr>
              <w:ind w:left="200"/>
              <w:spacing w:after="0" w:line="175" w:lineRule="exact"/>
              <w:rPr>
                <w:sz w:val="20"/>
                <w:szCs w:val="20"/>
                <w:color w:val="auto"/>
              </w:rPr>
            </w:pPr>
            <w:r>
              <w:rPr>
                <w:rFonts w:ascii="Arial" w:cs="Arial" w:eastAsia="Arial" w:hAnsi="Arial"/>
                <w:sz w:val="18"/>
                <w:szCs w:val="18"/>
                <w:color w:val="auto"/>
              </w:rPr>
              <w:t>Change in the estimated fair value of acquisition-related contingent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22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(500 )</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(36 )</w:t>
            </w:r>
          </w:p>
        </w:tc>
        <w:tc>
          <w:tcPr>
            <w:tcW w:w="260" w:type="dxa"/>
            <w:vAlign w:val="bottom"/>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(1,526 )</w:t>
            </w:r>
          </w:p>
        </w:tc>
        <w:tc>
          <w:tcPr>
            <w:tcW w:w="0" w:type="dxa"/>
            <w:vAlign w:val="bottom"/>
          </w:tcPr>
          <w:p>
            <w:pPr>
              <w:spacing w:after="0"/>
              <w:rPr>
                <w:sz w:val="1"/>
                <w:szCs w:val="1"/>
                <w:color w:val="auto"/>
              </w:rPr>
            </w:pPr>
          </w:p>
        </w:tc>
      </w:tr>
      <w:tr>
        <w:trPr>
          <w:trHeight w:val="217"/>
        </w:trPr>
        <w:tc>
          <w:tcPr>
            <w:tcW w:w="5740" w:type="dxa"/>
            <w:vAlign w:val="bottom"/>
          </w:tcPr>
          <w:p>
            <w:pPr>
              <w:ind w:left="200"/>
              <w:spacing w:after="0"/>
              <w:rPr>
                <w:sz w:val="20"/>
                <w:szCs w:val="20"/>
                <w:color w:val="auto"/>
              </w:rPr>
            </w:pPr>
            <w:r>
              <w:rPr>
                <w:rFonts w:ascii="Arial" w:cs="Arial" w:eastAsia="Arial" w:hAnsi="Arial"/>
                <w:sz w:val="18"/>
                <w:szCs w:val="18"/>
                <w:color w:val="auto"/>
              </w:rPr>
              <w:t>consideration</w:t>
            </w: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45,317</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34,481</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134,440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(13,013 )</w:t>
            </w:r>
          </w:p>
        </w:tc>
        <w:tc>
          <w:tcPr>
            <w:tcW w:w="1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(36,392 )</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(793 )</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0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(12,913 )</w:t>
            </w:r>
          </w:p>
        </w:tc>
        <w:tc>
          <w:tcPr>
            <w:tcW w:w="1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(31,872 )</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(1,143 )</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5,273</w:t>
            </w:r>
          </w:p>
        </w:tc>
        <w:tc>
          <w:tcPr>
            <w:tcW w:w="3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(15,015 )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(33,496 )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(12,605 )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PER SHARE:</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3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(0.21 )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(0.46 )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0.07</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(0.21</w:t>
            </w:r>
          </w:p>
        </w:tc>
        <w:tc>
          <w:tcPr>
            <w:tcW w:w="34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(0.46</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SHARES USED IN COMPUTING INCOME (LOSS) PER SHARE: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72,616</w:t>
            </w:r>
          </w:p>
        </w:tc>
        <w:tc>
          <w:tcPr>
            <w:tcW w:w="3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72,023</w:t>
            </w:r>
          </w:p>
        </w:tc>
        <w:tc>
          <w:tcPr>
            <w:tcW w:w="3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72,448</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71,962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740" w:type="dxa"/>
            <w:vAlign w:val="bottom"/>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72,785</w:t>
            </w: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72,023</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72,448</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-3179445</wp:posOffset>
            </wp:positionV>
            <wp:extent cx="7747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-3179445</wp:posOffset>
            </wp:positionV>
            <wp:extent cx="7747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-3179445</wp:posOffset>
            </wp:positionV>
            <wp:extent cx="6858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-2896870</wp:posOffset>
            </wp:positionV>
            <wp:extent cx="7747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-2896870</wp:posOffset>
            </wp:positionV>
            <wp:extent cx="7747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-2896870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-1662430</wp:posOffset>
            </wp:positionV>
            <wp:extent cx="7747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-1662430</wp:posOffset>
            </wp:positionV>
            <wp:extent cx="7747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-1662430</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-1379220</wp:posOffset>
            </wp:positionV>
            <wp:extent cx="7747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-1379220</wp:posOffset>
            </wp:positionV>
            <wp:extent cx="7747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-1379220</wp:posOffset>
            </wp:positionV>
            <wp:extent cx="685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-1096645</wp:posOffset>
            </wp:positionV>
            <wp:extent cx="7747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-1096645</wp:posOffset>
            </wp:positionV>
            <wp:extent cx="7747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-1096645</wp:posOffset>
            </wp:positionV>
            <wp:extent cx="685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-487680</wp:posOffset>
            </wp:positionV>
            <wp:extent cx="2794635"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16256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279463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4635"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22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69"/>
        </w:trPr>
        <w:tc>
          <w:tcPr>
            <w:tcW w:w="58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Currency translation adjustments</w:t>
            </w: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(9,828 )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(4,117 )</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(12,421 )</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(1,362 )</w:t>
            </w: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(161 )</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(262 )</w:t>
            </w:r>
          </w:p>
        </w:tc>
      </w:tr>
      <w:tr>
        <w:trPr>
          <w:trHeight w:val="250"/>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(45,750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2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5"/>
          </w:tcPr>
          <w:p>
            <w:pPr>
              <w:jc w:val="right"/>
              <w:ind w:right="340"/>
              <w:spacing w:after="0"/>
              <w:rPr>
                <w:sz w:val="20"/>
                <w:szCs w:val="20"/>
                <w:color w:val="auto"/>
              </w:rPr>
            </w:pPr>
            <w:r>
              <w:rPr>
                <w:rFonts w:ascii="Arial" w:cs="Arial" w:eastAsia="Arial" w:hAnsi="Arial"/>
                <w:sz w:val="17"/>
                <w:szCs w:val="17"/>
                <w:b w:val="1"/>
                <w:bCs w:val="1"/>
                <w:color w:val="auto"/>
                <w:w w:val="94"/>
              </w:rPr>
              <w:t>Nine Months Ended September 30,</w:t>
            </w:r>
          </w:p>
        </w:tc>
      </w:tr>
      <w:tr>
        <w:trPr>
          <w:trHeight w:val="198"/>
        </w:trPr>
        <w:tc>
          <w:tcPr>
            <w:tcW w:w="78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7"/>
                <w:szCs w:val="17"/>
                <w:color w:val="auto"/>
              </w:rPr>
            </w:pPr>
          </w:p>
        </w:tc>
      </w:tr>
      <w:tr>
        <w:trPr>
          <w:trHeight w:val="196"/>
        </w:trPr>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OPERATING ACTIVITIES:</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spacing w:after="0"/>
              <w:rPr>
                <w:sz w:val="20"/>
                <w:szCs w:val="20"/>
                <w:color w:val="auto"/>
              </w:rPr>
            </w:pPr>
            <w:r>
              <w:rPr>
                <w:rFonts w:ascii="Arial" w:cs="Arial" w:eastAsia="Arial" w:hAnsi="Arial"/>
                <w:sz w:val="17"/>
                <w:szCs w:val="17"/>
                <w:color w:val="auto"/>
              </w:rPr>
              <w:t>Net income (loss)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115"/>
              <w:spacing w:after="0"/>
              <w:rPr>
                <w:sz w:val="20"/>
                <w:szCs w:val="20"/>
                <w:color w:val="auto"/>
              </w:rPr>
            </w:pPr>
            <w:r>
              <w:rPr>
                <w:rFonts w:ascii="Arial" w:cs="Arial" w:eastAsia="Arial" w:hAnsi="Arial"/>
                <w:sz w:val="17"/>
                <w:szCs w:val="17"/>
                <w:color w:val="auto"/>
              </w:rPr>
              <w:t>(33,496 )</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(12,605 )</w:t>
            </w:r>
          </w:p>
        </w:tc>
      </w:tr>
      <w:tr>
        <w:trPr>
          <w:trHeight w:val="203"/>
        </w:trPr>
        <w:tc>
          <w:tcPr>
            <w:tcW w:w="78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Adjustments to reconcile net income (loss) to net cash used in operating activities:</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Stock-based compensation</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9,100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5,155</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Depreciation and amortization</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11,391</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8,479</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Loss on impairment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17,101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Other non-cash amortization</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411</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664</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Provision for doubtful accounts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974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1,228</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Inventory reserve</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977</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2,908</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Unrealized foreign currency gain</w:t>
            </w:r>
          </w:p>
        </w:tc>
        <w:tc>
          <w:tcPr>
            <w:tcW w:w="200" w:type="dxa"/>
            <w:vAlign w:val="bottom"/>
          </w:tcPr>
          <w:p>
            <w:pPr>
              <w:spacing w:after="0"/>
              <w:rPr>
                <w:sz w:val="17"/>
                <w:szCs w:val="17"/>
                <w:color w:val="auto"/>
              </w:rPr>
            </w:pPr>
          </w:p>
        </w:tc>
        <w:tc>
          <w:tcPr>
            <w:tcW w:w="1520" w:type="dxa"/>
            <w:vAlign w:val="bottom"/>
            <w:gridSpan w:val="2"/>
          </w:tcPr>
          <w:p>
            <w:pPr>
              <w:jc w:val="right"/>
              <w:ind w:right="115"/>
              <w:spacing w:after="0"/>
              <w:rPr>
                <w:sz w:val="20"/>
                <w:szCs w:val="20"/>
                <w:color w:val="auto"/>
              </w:rPr>
            </w:pPr>
            <w:r>
              <w:rPr>
                <w:rFonts w:ascii="Arial" w:cs="Arial" w:eastAsia="Arial" w:hAnsi="Arial"/>
                <w:sz w:val="17"/>
                <w:szCs w:val="17"/>
                <w:color w:val="auto"/>
              </w:rPr>
              <w:t>(396 )</w:t>
            </w:r>
          </w:p>
        </w:tc>
        <w:tc>
          <w:tcPr>
            <w:tcW w:w="3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(319 )</w:t>
            </w: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Interest expense on finance leases</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(324 )</w:t>
            </w: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Loss on disposal of fixed assets</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Change in the estimated fair value of acquisition-related contingent consideration</w:t>
            </w:r>
          </w:p>
        </w:tc>
        <w:tc>
          <w:tcPr>
            <w:tcW w:w="200" w:type="dxa"/>
            <w:vAlign w:val="bottom"/>
          </w:tcPr>
          <w:p>
            <w:pPr>
              <w:spacing w:after="0"/>
              <w:rPr>
                <w:sz w:val="17"/>
                <w:szCs w:val="17"/>
                <w:color w:val="auto"/>
              </w:rPr>
            </w:pPr>
          </w:p>
        </w:tc>
        <w:tc>
          <w:tcPr>
            <w:tcW w:w="1520" w:type="dxa"/>
            <w:vAlign w:val="bottom"/>
            <w:gridSpan w:val="2"/>
          </w:tcPr>
          <w:p>
            <w:pPr>
              <w:jc w:val="right"/>
              <w:ind w:right="115"/>
              <w:spacing w:after="0"/>
              <w:rPr>
                <w:sz w:val="20"/>
                <w:szCs w:val="20"/>
                <w:color w:val="auto"/>
              </w:rPr>
            </w:pPr>
            <w:r>
              <w:rPr>
                <w:rFonts w:ascii="Arial" w:cs="Arial" w:eastAsia="Arial" w:hAnsi="Arial"/>
                <w:sz w:val="17"/>
                <w:szCs w:val="17"/>
                <w:color w:val="auto"/>
              </w:rPr>
              <w:t>(36 )</w:t>
            </w:r>
          </w:p>
        </w:tc>
        <w:tc>
          <w:tcPr>
            <w:tcW w:w="3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(1,526 )</w:t>
            </w: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Payment of acquisition-related contingent consideration</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(142 )</w:t>
            </w: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Changes in assets and liabilities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540"/>
              <w:spacing w:after="0"/>
              <w:rPr>
                <w:sz w:val="20"/>
                <w:szCs w:val="20"/>
                <w:color w:val="auto"/>
              </w:rPr>
            </w:pPr>
            <w:r>
              <w:rPr>
                <w:rFonts w:ascii="Arial" w:cs="Arial" w:eastAsia="Arial" w:hAnsi="Arial"/>
                <w:sz w:val="17"/>
                <w:szCs w:val="17"/>
                <w:color w:val="auto"/>
              </w:rPr>
              <w:t>Accounts receivable</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(19,152 )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(2,102 )</w:t>
            </w:r>
          </w:p>
        </w:tc>
      </w:tr>
      <w:tr>
        <w:trPr>
          <w:trHeight w:val="203"/>
        </w:trPr>
        <w:tc>
          <w:tcPr>
            <w:tcW w:w="7820" w:type="dxa"/>
            <w:vAlign w:val="bottom"/>
          </w:tcPr>
          <w:p>
            <w:pPr>
              <w:ind w:left="540"/>
              <w:spacing w:after="0"/>
              <w:rPr>
                <w:sz w:val="20"/>
                <w:szCs w:val="20"/>
                <w:color w:val="auto"/>
              </w:rPr>
            </w:pPr>
            <w:r>
              <w:rPr>
                <w:rFonts w:ascii="Arial" w:cs="Arial" w:eastAsia="Arial" w:hAnsi="Arial"/>
                <w:sz w:val="17"/>
                <w:szCs w:val="17"/>
                <w:color w:val="auto"/>
              </w:rPr>
              <w:t>Inventories</w:t>
            </w:r>
          </w:p>
        </w:tc>
        <w:tc>
          <w:tcPr>
            <w:tcW w:w="200" w:type="dxa"/>
            <w:vAlign w:val="bottom"/>
          </w:tcPr>
          <w:p>
            <w:pPr>
              <w:spacing w:after="0"/>
              <w:rPr>
                <w:sz w:val="17"/>
                <w:szCs w:val="17"/>
                <w:color w:val="auto"/>
              </w:rPr>
            </w:pPr>
          </w:p>
        </w:tc>
        <w:tc>
          <w:tcPr>
            <w:tcW w:w="1520" w:type="dxa"/>
            <w:vAlign w:val="bottom"/>
            <w:gridSpan w:val="2"/>
          </w:tcPr>
          <w:p>
            <w:pPr>
              <w:jc w:val="right"/>
              <w:ind w:right="115"/>
              <w:spacing w:after="0"/>
              <w:rPr>
                <w:sz w:val="20"/>
                <w:szCs w:val="20"/>
                <w:color w:val="auto"/>
              </w:rPr>
            </w:pPr>
            <w:r>
              <w:rPr>
                <w:rFonts w:ascii="Arial" w:cs="Arial" w:eastAsia="Arial" w:hAnsi="Arial"/>
                <w:sz w:val="17"/>
                <w:szCs w:val="17"/>
                <w:color w:val="auto"/>
              </w:rPr>
              <w:t>(27,586 )</w:t>
            </w:r>
          </w:p>
        </w:tc>
        <w:tc>
          <w:tcPr>
            <w:tcW w:w="3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(24,597 )</w:t>
            </w:r>
          </w:p>
        </w:tc>
      </w:tr>
      <w:tr>
        <w:trPr>
          <w:trHeight w:val="203"/>
        </w:trPr>
        <w:tc>
          <w:tcPr>
            <w:tcW w:w="7820" w:type="dxa"/>
            <w:vAlign w:val="bottom"/>
            <w:shd w:val="clear" w:color="auto" w:fill="CFF0FC"/>
          </w:tcPr>
          <w:p>
            <w:pPr>
              <w:ind w:left="540"/>
              <w:spacing w:after="0"/>
              <w:rPr>
                <w:sz w:val="20"/>
                <w:szCs w:val="20"/>
                <w:color w:val="auto"/>
              </w:rPr>
            </w:pPr>
            <w:r>
              <w:rPr>
                <w:rFonts w:ascii="Arial" w:cs="Arial" w:eastAsia="Arial" w:hAnsi="Arial"/>
                <w:sz w:val="17"/>
                <w:szCs w:val="17"/>
                <w:color w:val="auto"/>
              </w:rPr>
              <w:t>Prepaid expenses and other assets</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(5,990 )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(1,942 )</w:t>
            </w:r>
          </w:p>
        </w:tc>
      </w:tr>
      <w:tr>
        <w:trPr>
          <w:trHeight w:val="203"/>
        </w:trPr>
        <w:tc>
          <w:tcPr>
            <w:tcW w:w="7820" w:type="dxa"/>
            <w:vAlign w:val="bottom"/>
          </w:tcPr>
          <w:p>
            <w:pPr>
              <w:ind w:left="540"/>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16,246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2,790</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54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(312 )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(1,331 )</w:t>
            </w:r>
          </w:p>
        </w:tc>
      </w:tr>
      <w:tr>
        <w:trPr>
          <w:trHeight w:val="203"/>
        </w:trPr>
        <w:tc>
          <w:tcPr>
            <w:tcW w:w="7820" w:type="dxa"/>
            <w:vAlign w:val="bottom"/>
          </w:tcPr>
          <w:p>
            <w:pPr>
              <w:ind w:left="540"/>
              <w:spacing w:after="0"/>
              <w:rPr>
                <w:sz w:val="20"/>
                <w:szCs w:val="20"/>
                <w:color w:val="auto"/>
              </w:rPr>
            </w:pPr>
            <w:r>
              <w:rPr>
                <w:rFonts w:ascii="Arial" w:cs="Arial" w:eastAsia="Arial" w:hAnsi="Arial"/>
                <w:sz w:val="17"/>
                <w:szCs w:val="17"/>
                <w:color w:val="auto"/>
              </w:rPr>
              <w:t>Accrued expenses and other liabilities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w:t>
            </w:r>
          </w:p>
        </w:tc>
        <w:tc>
          <w:tcPr>
            <w:tcW w:w="100" w:type="dxa"/>
            <w:vAlign w:val="bottom"/>
          </w:tcPr>
          <w:p>
            <w:pPr>
              <w:spacing w:after="0"/>
              <w:rPr>
                <w:sz w:val="17"/>
                <w:szCs w:val="17"/>
                <w:color w:val="auto"/>
              </w:rPr>
            </w:pPr>
          </w:p>
        </w:tc>
      </w:tr>
      <w:tr>
        <w:trPr>
          <w:trHeight w:val="196"/>
        </w:trPr>
        <w:tc>
          <w:tcPr>
            <w:tcW w:w="78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7"/>
                <w:szCs w:val="17"/>
                <w:color w:val="auto"/>
              </w:rPr>
              <w:t>Net cash used in operating activities</w:t>
            </w: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(29,190</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(22,598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820" w:type="dxa"/>
            <w:vAlign w:val="bottom"/>
          </w:tcPr>
          <w:p>
            <w:pPr>
              <w:spacing w:after="0"/>
              <w:rPr>
                <w:sz w:val="20"/>
                <w:szCs w:val="20"/>
                <w:color w:val="auto"/>
              </w:rPr>
            </w:pPr>
            <w:r>
              <w:rPr>
                <w:rFonts w:ascii="Arial" w:cs="Arial" w:eastAsia="Arial" w:hAnsi="Arial"/>
                <w:sz w:val="17"/>
                <w:szCs w:val="17"/>
                <w:color w:val="auto"/>
              </w:rPr>
              <w:t>INVESTING ACTIVITIES: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Purchases of investments</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(22,873 )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(25,443 )</w:t>
            </w: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Proceeds from maturities and redemptions of investments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47,415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53,745</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Purchases of property and equipment</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(28,081 )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(27,508 )</w:t>
            </w: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Purchase of property and equipment under government contracts</w:t>
            </w:r>
          </w:p>
        </w:tc>
        <w:tc>
          <w:tcPr>
            <w:tcW w:w="200" w:type="dxa"/>
            <w:vAlign w:val="bottom"/>
          </w:tcPr>
          <w:p>
            <w:pPr>
              <w:spacing w:after="0"/>
              <w:rPr>
                <w:sz w:val="17"/>
                <w:szCs w:val="17"/>
                <w:color w:val="auto"/>
              </w:rPr>
            </w:pPr>
          </w:p>
        </w:tc>
        <w:tc>
          <w:tcPr>
            <w:tcW w:w="1520" w:type="dxa"/>
            <w:vAlign w:val="bottom"/>
            <w:gridSpan w:val="2"/>
          </w:tcPr>
          <w:p>
            <w:pPr>
              <w:jc w:val="right"/>
              <w:ind w:right="115"/>
              <w:spacing w:after="0"/>
              <w:rPr>
                <w:sz w:val="20"/>
                <w:szCs w:val="20"/>
                <w:color w:val="auto"/>
              </w:rPr>
            </w:pPr>
            <w:r>
              <w:rPr>
                <w:rFonts w:ascii="Arial" w:cs="Arial" w:eastAsia="Arial" w:hAnsi="Arial"/>
                <w:sz w:val="17"/>
                <w:szCs w:val="17"/>
                <w:color w:val="auto"/>
              </w:rPr>
              <w:t>(38,705 )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Proceeds from funding under government contract</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37,756</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Other investing activities</w:t>
            </w:r>
          </w:p>
        </w:tc>
        <w:tc>
          <w:tcPr>
            <w:tcW w:w="200" w:type="dxa"/>
            <w:vAlign w:val="bottom"/>
          </w:tcPr>
          <w:p>
            <w:pPr>
              <w:spacing w:after="0"/>
              <w:rPr>
                <w:sz w:val="17"/>
                <w:szCs w:val="17"/>
                <w:color w:val="auto"/>
              </w:rPr>
            </w:pPr>
          </w:p>
        </w:tc>
        <w:tc>
          <w:tcPr>
            <w:tcW w:w="152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(18 )</w:t>
            </w:r>
          </w:p>
        </w:tc>
      </w:tr>
      <w:tr>
        <w:trPr>
          <w:trHeight w:val="196"/>
        </w:trPr>
        <w:tc>
          <w:tcPr>
            <w:tcW w:w="78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7"/>
                <w:szCs w:val="17"/>
                <w:color w:val="auto"/>
              </w:rPr>
              <w:t>Net cash (used in) provided by investing activities</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(4,488</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20" w:type="dxa"/>
            <w:vAlign w:val="bottom"/>
          </w:tcPr>
          <w:p>
            <w:pPr>
              <w:spacing w:after="0"/>
              <w:rPr>
                <w:sz w:val="20"/>
                <w:szCs w:val="20"/>
                <w:color w:val="auto"/>
              </w:rPr>
            </w:pPr>
            <w:r>
              <w:rPr>
                <w:rFonts w:ascii="Arial" w:cs="Arial" w:eastAsia="Arial" w:hAnsi="Arial"/>
                <w:sz w:val="17"/>
                <w:szCs w:val="17"/>
                <w:color w:val="auto"/>
              </w:rPr>
              <w:t>FINANCING ACTIVITIES: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Cash payments for lease liabilities</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(826 )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(1,111 )</w:t>
            </w: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Proceeds from exercise of stock options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7"/>
                <w:szCs w:val="17"/>
                <w:color w:val="auto"/>
              </w:rPr>
            </w:pPr>
          </w:p>
        </w:tc>
      </w:tr>
      <w:tr>
        <w:trPr>
          <w:trHeight w:val="202"/>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Payment of acquisition-related contingent consideration</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(208 )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(264 )</w:t>
            </w: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Repurchase of common stock</w:t>
            </w:r>
          </w:p>
        </w:tc>
        <w:tc>
          <w:tcPr>
            <w:tcW w:w="200" w:type="dxa"/>
            <w:vAlign w:val="bottom"/>
          </w:tcPr>
          <w:p>
            <w:pPr>
              <w:spacing w:after="0"/>
              <w:rPr>
                <w:sz w:val="17"/>
                <w:szCs w:val="17"/>
                <w:color w:val="auto"/>
              </w:rPr>
            </w:pPr>
          </w:p>
        </w:tc>
        <w:tc>
          <w:tcPr>
            <w:tcW w:w="1520" w:type="dxa"/>
            <w:vAlign w:val="bottom"/>
            <w:gridSpan w:val="2"/>
          </w:tcPr>
          <w:p>
            <w:pPr>
              <w:jc w:val="right"/>
              <w:ind w:right="115"/>
              <w:spacing w:after="0"/>
              <w:rPr>
                <w:sz w:val="20"/>
                <w:szCs w:val="20"/>
                <w:color w:val="auto"/>
              </w:rPr>
            </w:pPr>
            <w:r>
              <w:rPr>
                <w:rFonts w:ascii="Arial" w:cs="Arial" w:eastAsia="Arial" w:hAnsi="Arial"/>
                <w:sz w:val="17"/>
                <w:szCs w:val="17"/>
                <w:color w:val="auto"/>
              </w:rPr>
              <w:t>(2,008 )</w:t>
            </w:r>
          </w:p>
        </w:tc>
        <w:tc>
          <w:tcPr>
            <w:tcW w:w="3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(1,924 )</w:t>
            </w:r>
          </w:p>
        </w:tc>
      </w:tr>
      <w:tr>
        <w:trPr>
          <w:trHeight w:val="196"/>
        </w:trPr>
        <w:tc>
          <w:tcPr>
            <w:tcW w:w="78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7"/>
                <w:szCs w:val="17"/>
                <w:color w:val="auto"/>
              </w:rPr>
              <w:t>Net cash used in financing activities</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(3,027</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820" w:type="dxa"/>
            <w:vAlign w:val="bottom"/>
          </w:tcPr>
          <w:p>
            <w:pPr>
              <w:spacing w:after="0"/>
              <w:rPr>
                <w:sz w:val="20"/>
                <w:szCs w:val="20"/>
                <w:color w:val="auto"/>
              </w:rPr>
            </w:pPr>
            <w:r>
              <w:rPr>
                <w:rFonts w:ascii="Arial" w:cs="Arial" w:eastAsia="Arial" w:hAnsi="Arial"/>
                <w:sz w:val="17"/>
                <w:szCs w:val="17"/>
                <w:color w:val="auto"/>
              </w:rPr>
              <w:t>EFFECT OF FOREIGN EXCHANGE RATE CHANGES ON CASH</w:t>
            </w:r>
          </w:p>
        </w:tc>
        <w:tc>
          <w:tcPr>
            <w:tcW w:w="200" w:type="dxa"/>
            <w:vAlign w:val="bottom"/>
          </w:tcPr>
          <w:p>
            <w:pPr>
              <w:spacing w:after="0"/>
              <w:rPr>
                <w:sz w:val="17"/>
                <w:szCs w:val="17"/>
                <w:color w:val="auto"/>
              </w:rPr>
            </w:pPr>
          </w:p>
        </w:tc>
        <w:tc>
          <w:tcPr>
            <w:tcW w:w="1520" w:type="dxa"/>
            <w:vAlign w:val="bottom"/>
            <w:gridSpan w:val="2"/>
          </w:tcPr>
          <w:p>
            <w:pPr>
              <w:jc w:val="right"/>
              <w:ind w:right="115"/>
              <w:spacing w:after="0"/>
              <w:rPr>
                <w:sz w:val="20"/>
                <w:szCs w:val="20"/>
                <w:color w:val="auto"/>
              </w:rPr>
            </w:pPr>
            <w:r>
              <w:rPr>
                <w:rFonts w:ascii="Arial" w:cs="Arial" w:eastAsia="Arial" w:hAnsi="Arial"/>
                <w:sz w:val="17"/>
                <w:szCs w:val="17"/>
                <w:color w:val="auto"/>
              </w:rPr>
              <w:t xml:space="preserve">(4,852 </w:t>
            </w:r>
            <w:r>
              <w:rPr>
                <w:rFonts w:ascii="Arial" w:cs="Arial" w:eastAsia="Arial" w:hAnsi="Arial"/>
                <w:sz w:val="17"/>
                <w:szCs w:val="17"/>
                <w:color w:val="auto"/>
                <w:highlight w:val="white"/>
              </w:rPr>
              <w:t>)</w:t>
            </w:r>
          </w:p>
        </w:tc>
        <w:tc>
          <w:tcPr>
            <w:tcW w:w="3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 xml:space="preserve">(966 </w:t>
            </w:r>
            <w:r>
              <w:rPr>
                <w:rFonts w:ascii="Arial" w:cs="Arial" w:eastAsia="Arial" w:hAnsi="Arial"/>
                <w:sz w:val="17"/>
                <w:szCs w:val="17"/>
                <w:color w:val="auto"/>
                <w:highlight w:val="white"/>
              </w:rPr>
              <w:t>)</w:t>
            </w:r>
          </w:p>
        </w:tc>
      </w:tr>
      <w:tr>
        <w:trPr>
          <w:trHeight w:val="203"/>
        </w:trPr>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NET DECREASE IN CASH AND CASH EQUIVALENTS</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(41,557 )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(25,840 )</w:t>
            </w:r>
          </w:p>
        </w:tc>
      </w:tr>
      <w:tr>
        <w:trPr>
          <w:trHeight w:val="203"/>
        </w:trPr>
        <w:tc>
          <w:tcPr>
            <w:tcW w:w="782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116,762</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160,802</w:t>
            </w:r>
          </w:p>
        </w:tc>
        <w:tc>
          <w:tcPr>
            <w:tcW w:w="100" w:type="dxa"/>
            <w:vAlign w:val="bottom"/>
          </w:tcPr>
          <w:p>
            <w:pPr>
              <w:spacing w:after="0"/>
              <w:rPr>
                <w:sz w:val="17"/>
                <w:szCs w:val="17"/>
                <w:color w:val="auto"/>
              </w:rPr>
            </w:pPr>
          </w:p>
        </w:tc>
      </w:tr>
      <w:tr>
        <w:trPr>
          <w:trHeight w:val="236"/>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END OF PERIOD</w:t>
            </w: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75,205</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134,962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4"/>
        </w:trPr>
        <w:tc>
          <w:tcPr>
            <w:tcW w:w="7820" w:type="dxa"/>
            <w:vAlign w:val="bottom"/>
          </w:tcPr>
          <w:p>
            <w:pPr>
              <w:spacing w:after="0"/>
              <w:rPr>
                <w:sz w:val="20"/>
                <w:szCs w:val="20"/>
                <w:color w:val="auto"/>
              </w:rPr>
            </w:pPr>
            <w:r>
              <w:rPr>
                <w:rFonts w:ascii="Arial" w:cs="Arial" w:eastAsia="Arial" w:hAnsi="Arial"/>
                <w:sz w:val="17"/>
                <w:szCs w:val="17"/>
                <w:color w:val="auto"/>
              </w:rPr>
              <w:t>SUPPLEMENTAL DISCLOSURES OF CASH FLOW INFORMATION:</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Cash paid for income taxes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9,400</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12,540</w:t>
            </w:r>
          </w:p>
        </w:tc>
        <w:tc>
          <w:tcPr>
            <w:tcW w:w="100" w:type="dxa"/>
            <w:vAlign w:val="bottom"/>
            <w:shd w:val="clear" w:color="auto" w:fill="CFF0FC"/>
          </w:tcPr>
          <w:p>
            <w:pPr>
              <w:spacing w:after="0"/>
              <w:rPr>
                <w:sz w:val="17"/>
                <w:szCs w:val="17"/>
                <w:color w:val="auto"/>
              </w:rPr>
            </w:pPr>
          </w:p>
        </w:tc>
      </w:tr>
      <w:tr>
        <w:trPr>
          <w:trHeight w:val="202"/>
        </w:trPr>
        <w:tc>
          <w:tcPr>
            <w:tcW w:w="7820" w:type="dxa"/>
            <w:vAlign w:val="bottom"/>
          </w:tcPr>
          <w:p>
            <w:pPr>
              <w:spacing w:after="0"/>
              <w:rPr>
                <w:sz w:val="20"/>
                <w:szCs w:val="20"/>
                <w:color w:val="auto"/>
              </w:rPr>
            </w:pPr>
            <w:r>
              <w:rPr>
                <w:rFonts w:ascii="Arial" w:cs="Arial" w:eastAsia="Arial" w:hAnsi="Arial"/>
                <w:sz w:val="17"/>
                <w:szCs w:val="17"/>
                <w:color w:val="auto"/>
              </w:rPr>
              <w:t>Non-cash investing and financing activities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Accrued property and equipment purchases</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1,463</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4,382</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tcPr>
          <w:p>
            <w:pPr>
              <w:ind w:left="360"/>
              <w:spacing w:after="0"/>
              <w:rPr>
                <w:sz w:val="20"/>
                <w:szCs w:val="20"/>
                <w:color w:val="auto"/>
              </w:rPr>
            </w:pPr>
            <w:r>
              <w:rPr>
                <w:rFonts w:ascii="Arial" w:cs="Arial" w:eastAsia="Arial" w:hAnsi="Arial"/>
                <w:sz w:val="17"/>
                <w:szCs w:val="17"/>
                <w:color w:val="auto"/>
              </w:rPr>
              <w:t>Accrued property and equipment purchases under government contracts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2,374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3"/>
        </w:trPr>
        <w:tc>
          <w:tcPr>
            <w:tcW w:w="78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Unrealized gain (loss) on marketable securities</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5886450</wp:posOffset>
            </wp:positionH>
            <wp:positionV relativeFrom="paragraph">
              <wp:posOffset>-3291205</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-3291205</wp:posOffset>
            </wp:positionV>
            <wp:extent cx="68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-2245360</wp:posOffset>
            </wp:positionV>
            <wp:extent cx="685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-2245360</wp:posOffset>
            </wp:positionV>
            <wp:extent cx="685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-925195</wp:posOffset>
            </wp:positionV>
            <wp:extent cx="1165860"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65860" cy="283210"/>
                    </a:xfrm>
                    <a:prstGeom prst="rect">
                      <a:avLst/>
                    </a:prstGeom>
                    <a:noFill/>
                  </pic:spPr>
                </pic:pic>
              </a:graphicData>
            </a:graphic>
          </wp:anchor>
        </w:drawing>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4" w:right="399" w:bottom="1440" w:gutter="0" w:footer="0" w:header="0"/>
        </w:sectPr>
      </w:pPr>
    </w:p>
    <w:bookmarkStart w:id="6" w:name="page7"/>
    <w:bookmarkEnd w:id="6"/>
    <w:p>
      <w:pPr>
        <w:ind w:left="332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unless otherwise indicated)</w:t>
      </w:r>
    </w:p>
    <w:p>
      <w:pPr>
        <w:spacing w:after="0" w:line="34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u w:val="single" w:color="auto"/>
          <w:color w:val="auto"/>
        </w:rPr>
        <w:t>Principles of Consolidation and Basis of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interim unaudited consolidated financial statements include the accounts of</w:t>
      </w:r>
      <w:r>
        <w:rPr>
          <w:rFonts w:ascii="Arial" w:cs="Arial" w:eastAsia="Arial" w:hAnsi="Arial"/>
          <w:sz w:val="17"/>
          <w:szCs w:val="17"/>
          <w:i w:val="1"/>
          <w:iCs w:val="1"/>
          <w:color w:val="auto"/>
        </w:rPr>
        <w:t xml:space="preserve"> </w:t>
      </w:r>
      <w:r>
        <w:rPr>
          <w:rFonts w:ascii="Arial" w:cs="Arial" w:eastAsia="Arial" w:hAnsi="Arial"/>
          <w:sz w:val="17"/>
          <w:szCs w:val="17"/>
          <w:color w:val="auto"/>
        </w:rPr>
        <w:t>OraSure Technologies, Inc. (“OraSure”) and its wholly-owned subsidiaries, DNA Genotek Inc. (“DNAG”), Diversigen, Inc. (“Diversigen”), and Novosanis NV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our financial position and results of operations for these interim periods. These financial statements should be read in conjunction with the financial statements and notes thereto included in our Annual Report on Form 10-K for the fiscal year ended December 31, 2021. Results of operations for the three and nine months ended September 30, 2022 are not necessarily indicative of the results of operations expected for the full year.</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u w:val="single" w:color="auto"/>
          <w:color w:val="auto"/>
        </w:rPr>
        <w:t>Summary of Significant Accounting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There have been no changes to the Company's significant accounting policies described 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fiscal year ended December 31, 2021 that have had a material impact on the consolidated financial statements and related notes except as discussed herein.</w:t>
      </w:r>
    </w:p>
    <w:p>
      <w:pPr>
        <w:spacing w:after="0" w:line="18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i w:val="1"/>
          <w:iCs w:val="1"/>
          <w:u w:val="single" w:color="auto"/>
          <w:color w:val="auto"/>
        </w:rPr>
        <w:t>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We consider all investments in debt securities to be available-for-sale securities. These securities consist of guaranteed investment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corporate bonds purchased with maturities greater than ninety days. Available-for-sale securities are carried at fair value, based upon quoted market prices, with unrealized gains and losses, if any, reported in stockholders’ equity as a component of accumulated other comprehensive loss.</w:t>
      </w:r>
    </w:p>
    <w:p>
      <w:pPr>
        <w:spacing w:after="0" w:line="12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record an allowance for credit loss for our available-for-sale securities when a decline in investment market value is due to credit-related factors. When evaluating an investment for impairment, we review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During the nine months ended September 30, 2022, we recognized a provision for expected credit losses for our available-for-sale securities of $56.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available-for-sale securities as of September 30, 2022 and December 31, 2021:</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left="139"/>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2"/>
                <w:szCs w:val="12"/>
                <w:color w:val="auto"/>
              </w:rPr>
            </w:pPr>
          </w:p>
        </w:tc>
        <w:tc>
          <w:tcPr>
            <w:tcW w:w="980" w:type="dxa"/>
            <w:vAlign w:val="bottom"/>
          </w:tcPr>
          <w:p>
            <w:pPr>
              <w:jc w:val="center"/>
              <w:ind w:left="139"/>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980" w:type="dxa"/>
            <w:vAlign w:val="bottom"/>
          </w:tcPr>
          <w:p>
            <w:pPr>
              <w:jc w:val="center"/>
              <w:ind w:left="13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6"/>
                <w:szCs w:val="16"/>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Guaranteed investment certificates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21,688</w:t>
            </w:r>
          </w:p>
        </w:tc>
        <w:tc>
          <w:tcPr>
            <w:tcW w:w="122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21,688</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(267 )</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FF0FC"/>
          </w:tcPr>
          <w:p>
            <w:pPr>
              <w:spacing w:after="0"/>
              <w:rPr>
                <w:sz w:val="18"/>
                <w:szCs w:val="18"/>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26,699</w:t>
            </w:r>
          </w:p>
        </w:tc>
        <w:tc>
          <w:tcPr>
            <w:tcW w:w="24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26,432</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December 31, 2021</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Guaranteed investment certificates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33,249</w:t>
            </w:r>
          </w:p>
        </w:tc>
        <w:tc>
          <w:tcPr>
            <w:tcW w:w="122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20,473</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(434 )</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20,039</w:t>
            </w:r>
          </w:p>
        </w:tc>
        <w:tc>
          <w:tcPr>
            <w:tcW w:w="100" w:type="dxa"/>
            <w:vAlign w:val="bottom"/>
            <w:shd w:val="clear" w:color="auto" w:fill="CFF0FC"/>
          </w:tcPr>
          <w:p>
            <w:pPr>
              <w:spacing w:after="0"/>
              <w:rPr>
                <w:sz w:val="18"/>
                <w:szCs w:val="18"/>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53,722</w:t>
            </w:r>
          </w:p>
        </w:tc>
        <w:tc>
          <w:tcPr>
            <w:tcW w:w="24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53,288</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1"/>
        </w:trPr>
        <w:tc>
          <w:tcPr>
            <w:tcW w:w="5020" w:type="dxa"/>
            <w:vAlign w:val="bottom"/>
            <w:shd w:val="clear" w:color="auto" w:fill="CFF0FC"/>
          </w:tcPr>
          <w:p>
            <w:pPr>
              <w:spacing w:after="0" w:line="151" w:lineRule="exact"/>
              <w:rPr>
                <w:sz w:val="20"/>
                <w:szCs w:val="20"/>
                <w:color w:val="auto"/>
              </w:rPr>
            </w:pPr>
            <w:r>
              <w:rPr>
                <w:rFonts w:ascii="Arial" w:cs="Arial" w:eastAsia="Arial" w:hAnsi="Arial"/>
                <w:sz w:val="17"/>
                <w:szCs w:val="17"/>
                <w:b w:val="1"/>
                <w:bCs w:val="1"/>
                <w:color w:val="auto"/>
              </w:rPr>
              <w:t>At September 30, 2022, maturities of our available-for-sale</w:t>
            </w: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4"/>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securities were as follows:</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Less than one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26,699</w:t>
            </w:r>
          </w:p>
        </w:tc>
        <w:tc>
          <w:tcPr>
            <w:tcW w:w="122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26,432</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0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Greater than one year</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9"/>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-1336675</wp:posOffset>
            </wp:positionV>
            <wp:extent cx="685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-1336675</wp:posOffset>
            </wp:positionV>
            <wp:extent cx="6858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-1336675</wp:posOffset>
            </wp:positionV>
            <wp:extent cx="6032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-1336675</wp:posOffset>
            </wp:positionV>
            <wp:extent cx="6032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-753745</wp:posOffset>
            </wp:positionV>
            <wp:extent cx="685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-753745</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-753745</wp:posOffset>
            </wp:positionV>
            <wp:extent cx="6032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-753745</wp:posOffset>
            </wp:positionV>
            <wp:extent cx="6032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u w:val="single" w:color="auto"/>
          <w:color w:val="auto"/>
        </w:rPr>
        <w:t>Fair Value of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September 30, 2022 and December 31, 2021, the carrying values of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accounts payable, and accrued expenses approximate their respective fair values based on their short-term 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129"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63"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All of our available-for-sale debt securities are measured as Level 2 instruments as of September 30, 2022 and December 31, 2021. Our available-for-sale guaranteed investment certificates are measured as Level 1 instruments as of September 30, 2022 and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Included in cash and cash equivalents at September 30, 2022 and December 31, 2021, was $1,717 and $1,160 invested in government money market funds.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funds have investments in government securities and are measured as Level 1 instruments.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offer a nonqualified deferred compensation plan for certain eligible employees and members of our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September 30, 2022 and December 31, 2021 was $1,599 and $1,763, respectively, and was calculated using the quoted market prices of the assets as of those dates. All investments in the plan are classified as trading securities and measured as Level 1 instruments. The fair value of plan assets is included in both current assets and noncurrent assets with the same amount included in accrued expenses and other noncurrent liabilities in the accompanying consolidated balance sheets.</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u w:val="single" w:color="auto"/>
          <w:color w:val="auto"/>
        </w:rPr>
        <w:t>Property, Plant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are stated at cost. Additions or improvements are capitalized, while repairs and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are charged to expense. Depreciation and amortization are provided using the straight-line method over the estimated useful lives of the related assets. Buildings are depreciated over twenty years, while computer equipment, machinery and equipment, and furniture and fixtures are depreciated over two to ten years. Building improvements are amortized over their estimated useful lives. When assets are sold, retired, or discarded, the related property amounts are relieved from the accounts, and any gain or loss is recorded in the consolidated statements of operations. Accumulated depreciation of property, plant and equipment as of September 30, 2022 and December 31, 2021 was $68,626 and $61,157, respectively.</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Intangible Assets</w:t>
      </w:r>
      <w:r>
        <w:rPr>
          <w:rFonts w:ascii="Arial" w:cs="Arial" w:eastAsia="Arial" w:hAnsi="Arial"/>
          <w:sz w:val="17"/>
          <w:szCs w:val="17"/>
          <w:color w:val="auto"/>
        </w:rPr>
        <w:t>. Intangible assets consist of customer relationships, patents and product rights, acquired technology and tradenames. Patents and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rights consist of costs associated with the acquisition of patents, licenses, and product distribution rights. Intangible assets are amortized using the straight-line method over their estimated useful lives of five to fifteen years. Accumulated amortization of intangible assets as of September 30, 2022 and December 31, 2021 was $29,943 and $30,412, respectively. The decrease in intangible assets from $14,343 as of December 31, 2021 to $11,919 as of September 30, 2022 was due to $1,617 in amortization expense and foreign currency translation losses of $807.</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u w:val="single" w:color="auto"/>
          <w:color w:val="auto"/>
        </w:rPr>
        <w:t>Impairment of Long-Lived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Long-lived assets, which include property and equipment and definite-lived intangible assets, are tested for</w:t>
      </w:r>
      <w:r>
        <w:rPr>
          <w:rFonts w:ascii="Arial" w:cs="Arial" w:eastAsia="Arial" w:hAnsi="Arial"/>
          <w:sz w:val="17"/>
          <w:szCs w:val="17"/>
          <w:i w:val="1"/>
          <w:iCs w:val="1"/>
          <w:color w:val="auto"/>
        </w:rPr>
        <w:t xml:space="preserve"> </w:t>
      </w:r>
      <w:r>
        <w:rPr>
          <w:rFonts w:ascii="Arial" w:cs="Arial" w:eastAsia="Arial" w:hAnsi="Arial"/>
          <w:sz w:val="17"/>
          <w:szCs w:val="17"/>
          <w:color w:val="auto"/>
        </w:rPr>
        <w:t>recoverability whenever events or changes in business circumstances indicate that the carrying amount of the assets may not be fully recoverable. We assess the recoverability of our long-lived assets by determining whether the carrying value of such assets can be recovered through the sum of the undiscounted future cash flows generated from the use and eventual disposition of the asset. If indicators of impairment exist, we measure the amount of such impairment by comparing the carrying value of the assets to the fair value of these assets, which is generally determined based on the present value of the expected future cash flows associated with the use of the assets. Expected future cash flows reflect our assumptions about selling prices, volumes, costs and market conditions over a reasonable period of time.</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three months ended September 30, 2022, management determined several manufacturing lines and associated supporting assets will not be utilized due to changes in forecasted demand for the products the lines are intended to produce. As a result of this decision, we determined that the carrying values of the equipment is not recoverable and recorded an aggregate pre-tax asset impairment charge of $6,559 during the three months ended September 30, 2022 to write the assets down to their estimated fair values. This charge is reported within loss on impairment in the consolidated statement of operations.</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estimated the fair value of the impaired long-lived assets using a market approach, which required us to estimate the value that would be received for the equipment in the most advantageous market for that equipment in an orderly transaction between market participants. Due to the extremely specialized nature of the manufacturing equipment and various market data points, the estimated fair value was not significant. Our fair value estimates were representative of Level 3 measurements within the fair value hierarchy due to the significant level of estimation involved and the lack of transparency as to the inputs used.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8"/>
          <w:szCs w:val="18"/>
          <w:i w:val="1"/>
          <w:iCs w:val="1"/>
          <w:u w:val="single" w:color="auto"/>
          <w:color w:val="auto"/>
        </w:rPr>
        <w:t>Foreign Currency Translation</w:t>
      </w:r>
      <w:r>
        <w:rPr>
          <w:rFonts w:ascii="Arial" w:cs="Arial" w:eastAsia="Arial" w:hAnsi="Arial"/>
          <w:sz w:val="18"/>
          <w:szCs w:val="18"/>
          <w:color w:val="auto"/>
        </w:rPr>
        <w:t>. The assets and liabilities of our foreign operations are translated into U.S. dollars at current exchange rates as of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date, and revenues and expenses are translated at average exchange rates for the period. Resulting translation adjustments are reflected in accumulated other comprehensive loss, which is a separate component of stockholders’ equity.</w:t>
      </w:r>
    </w:p>
    <w:p>
      <w:pPr>
        <w:spacing w:after="0" w:line="17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Transaction gains and losses resulting from exchange rate changes on transactions denominated in currencies other than a functional currency are included in our consolidated statements of operations in the period in which the change occurs. Net foreign exchange gains resulting from foreign currency transactions that are included in other income in our consolidated statements of operations were $2,342 and $7 for the three months ended September 30, 2022 and 2021, respectively. Net foreign exchange gains (losses) were $2,396 and $(371) for the nine months ended September 30, 2022 and 2021, respectively.</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Accumulated Other Comprehensive Loss</w:t>
      </w:r>
      <w:r>
        <w:rPr>
          <w:rFonts w:ascii="Arial" w:cs="Arial" w:eastAsia="Arial" w:hAnsi="Arial"/>
          <w:sz w:val="18"/>
          <w:szCs w:val="18"/>
          <w:i w:val="1"/>
          <w:iCs w:val="1"/>
          <w:color w:val="auto"/>
        </w:rPr>
        <w:t xml:space="preserve">. </w:t>
      </w:r>
      <w:r>
        <w:rPr>
          <w:rFonts w:ascii="Arial" w:cs="Arial" w:eastAsia="Arial" w:hAnsi="Arial"/>
          <w:sz w:val="18"/>
          <w:szCs w:val="18"/>
          <w:color w:val="auto"/>
        </w:rPr>
        <w:t>We classify items of other comprehensive loss by their nature and disclose the accumulated balance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loss separately from accumulated deficit and additional paid-in capital in the stockholders’ equity section of our consolidated balance sheets.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defined the Canadian dollar as the functional currency of our Canadian subsidiary, DNAG, and we have defined the Euro as the functional currency of our Belgian subsidiary, Novosanis. The results of operations for those subsidiaries are translated into U.S. dollars, which is the reporting currency of the Company. Accumulated other comprehensive loss at September 30, 2022 consisted of $22,064 of currency translation adjustments and $267 of net unrealized losses on marketable securities, which represents the fair market value adjustment for our investment portfolio. Accumulated other comprehensive loss at December 31, 2021 consists of $9,643 of currency translation adjustments and $434 of net unrealized losses on marketable securities, which represents the fair market value adjustment for our investments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March 2020, the FASB issued Accounting Standards Update (“ASU”) No.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(Topic 848) </w:t>
      </w:r>
      <w:r>
        <w:rPr>
          <w:rFonts w:ascii="Arial" w:cs="Arial" w:eastAsia="Arial" w:hAnsi="Arial"/>
          <w:sz w:val="17"/>
          <w:szCs w:val="17"/>
          <w:i w:val="1"/>
          <w:iCs w:val="1"/>
          <w:color w:val="auto"/>
        </w:rPr>
        <w:t>Facilitation of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Reference Rate Reform on Financial Reporting</w:t>
      </w:r>
      <w:r>
        <w:rPr>
          <w:rFonts w:ascii="Arial" w:cs="Arial" w:eastAsia="Arial" w:hAnsi="Arial"/>
          <w:sz w:val="17"/>
          <w:szCs w:val="17"/>
          <w:color w:val="auto"/>
        </w:rPr>
        <w:t>. The purpose of this update is to provide optional guidance for a limited time to ease the potential burden in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(or recognizing the effects of) reference rate reform on financial reporting. The amendments provide optional expedients and exceptions for applying GAAP to contracts, hedging relationships, and other transactions affected by reference rate reform if certain criteria are met. The amendments in this ASU were effective upon issuance and could be applied prospectively through December 31, 2022. The FASB issued a proposed amendment to the ASU in April 2022 which, if approved, will extend the date for prospective application to December 31, 2024. Management has evaluated this ASU and concluded that it will not have a material impact on the Company's Consolidated Financial Statements.</w:t>
      </w:r>
    </w:p>
    <w:p>
      <w:pPr>
        <w:spacing w:after="0" w:line="200" w:lineRule="exact"/>
        <w:rPr>
          <w:sz w:val="20"/>
          <w:szCs w:val="20"/>
          <w:color w:val="auto"/>
        </w:rPr>
      </w:pPr>
    </w:p>
    <w:p>
      <w:pPr>
        <w:spacing w:after="0" w:line="323" w:lineRule="exact"/>
        <w:rPr>
          <w:sz w:val="20"/>
          <w:szCs w:val="20"/>
          <w:color w:val="auto"/>
        </w:rPr>
      </w:pPr>
    </w:p>
    <w:p>
      <w:pPr>
        <w:ind w:left="780" w:hanging="772"/>
        <w:spacing w:after="0"/>
        <w:tabs>
          <w:tab w:leader="none" w:pos="7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Capital Contracts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September 2021, we entered into an agreement for $109,000 in funding from the U.S. Department of Defense (the “DOD”), in coordination with the Department of Health and Human Services, to build additional manufacturing capacity in the United States for our InteliSwab</w:t>
      </w:r>
      <w:r>
        <w:rPr>
          <w:rFonts w:ascii="Arial" w:cs="Arial" w:eastAsia="Arial" w:hAnsi="Arial"/>
          <w:sz w:val="7"/>
          <w:szCs w:val="7"/>
          <w:color w:val="auto"/>
        </w:rPr>
        <w:t>®</w:t>
      </w:r>
      <w:r>
        <w:rPr>
          <w:rFonts w:ascii="Arial" w:cs="Arial" w:eastAsia="Arial" w:hAnsi="Arial"/>
          <w:sz w:val="18"/>
          <w:szCs w:val="18"/>
          <w:color w:val="auto"/>
        </w:rPr>
        <w:t xml:space="preserve"> COVID-19 Rapid Tests as part of the nation’s pandemic preparedness plan. Funding will be paid to the Company based on achievement of milestones through March 2024 for the design, acquisition, installation, qualification and acceptance of the manufacturing equipment, as set forth in the agreement. In accordance with the milestone payment schedule, 15% of the total will not be funded until the completion of the final equipment validation, which is scheduled to occur in late 2023 or early 2024. We began making payments to vendors for the capital project during the fourth quarter of 2021 and began receiving funds from the DOD in January 2022.</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during 2021, we received $531 in funding from the Commonwealth of Pennsylvania, acting through the Department of Community and Economic Development, for the purchase of machinery and equipment as part of an expansion of manufacturing operations in Pennsylvania. All related purchases were completed in 2021.</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Activity for these capital contracts is accounted for pursuant to International Accounting Standard ("IAS") 20, Accounting for Government Grants and Disclosure of Government Assistance. Funding earned in relation to capital-related costs incurred for government contracts is recorded as a reduction to 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 Amounts earned in excess of our expected cost of the project for project management are recognized straight-line in other income over the term of the government contract. We recognized $561 and $1,684 of such income for the three and nine months ended September 30, 2022, respectively, which is reported as other income in our consolidated statement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balances corresponding to government contracts included in our consolidated balance sheet are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1"/>
              </w:rPr>
              <w:t>September 30, 2022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0"/>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120"/>
              <w:spacing w:after="0"/>
              <w:rPr>
                <w:sz w:val="20"/>
                <w:szCs w:val="20"/>
                <w:color w:val="auto"/>
              </w:rPr>
            </w:pPr>
            <w:r>
              <w:rPr>
                <w:rFonts w:ascii="Arial" w:cs="Arial" w:eastAsia="Arial" w:hAnsi="Arial"/>
                <w:sz w:val="18"/>
                <w:szCs w:val="18"/>
                <w:color w:val="auto"/>
              </w:rPr>
              <w:t>Billed receivables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1,489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Unbilled receivables</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13,840</w:t>
            </w:r>
          </w:p>
        </w:tc>
        <w:tc>
          <w:tcPr>
            <w:tcW w:w="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Total other current assets</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120"/>
              <w:spacing w:after="0"/>
              <w:rPr>
                <w:sz w:val="20"/>
                <w:szCs w:val="20"/>
                <w:color w:val="auto"/>
              </w:rPr>
            </w:pPr>
            <w:r>
              <w:rPr>
                <w:rFonts w:ascii="Arial" w:cs="Arial" w:eastAsia="Arial" w:hAnsi="Arial"/>
                <w:sz w:val="18"/>
                <w:szCs w:val="18"/>
                <w:color w:val="auto"/>
              </w:rPr>
              <w:t>Cost of assets, cumulative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50,200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Reduction for funding earned to date, not yet received</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(11,913 )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(10,964 )</w:t>
            </w:r>
          </w:p>
        </w:tc>
        <w:tc>
          <w:tcPr>
            <w:tcW w:w="0" w:type="dxa"/>
            <w:vAlign w:val="bottom"/>
          </w:tcPr>
          <w:p>
            <w:pPr>
              <w:spacing w:after="0"/>
              <w:rPr>
                <w:sz w:val="1"/>
                <w:szCs w:val="1"/>
                <w:color w:val="auto"/>
              </w:rPr>
            </w:pPr>
          </w:p>
        </w:tc>
      </w:tr>
      <w:tr>
        <w:trPr>
          <w:trHeight w:val="216"/>
        </w:trPr>
        <w:tc>
          <w:tcPr>
            <w:tcW w:w="7660" w:type="dxa"/>
            <w:vAlign w:val="bottom"/>
            <w:gridSpan w:val="2"/>
          </w:tcPr>
          <w:p>
            <w:pPr>
              <w:ind w:left="120"/>
              <w:spacing w:after="0"/>
              <w:rPr>
                <w:sz w:val="20"/>
                <w:szCs w:val="20"/>
                <w:color w:val="auto"/>
              </w:rPr>
            </w:pPr>
            <w:r>
              <w:rPr>
                <w:rFonts w:ascii="Arial" w:cs="Arial" w:eastAsia="Arial" w:hAnsi="Arial"/>
                <w:sz w:val="18"/>
                <w:szCs w:val="18"/>
                <w:color w:val="auto"/>
              </w:rPr>
              <w:t>Reduction for funding received to date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(38,287 )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(531 )</w:t>
            </w:r>
          </w:p>
        </w:tc>
        <w:tc>
          <w:tcPr>
            <w:tcW w:w="0" w:type="dxa"/>
            <w:vAlign w:val="bottom"/>
          </w:tcPr>
          <w:p>
            <w:pPr>
              <w:spacing w:after="0"/>
              <w:rPr>
                <w:sz w:val="1"/>
                <w:szCs w:val="1"/>
                <w:color w:val="auto"/>
              </w:rPr>
            </w:pPr>
          </w:p>
        </w:tc>
      </w:tr>
      <w:tr>
        <w:trPr>
          <w:trHeight w:val="210"/>
        </w:trPr>
        <w:tc>
          <w:tcPr>
            <w:tcW w:w="180" w:type="dxa"/>
            <w:vAlign w:val="bottom"/>
            <w:tcBorders>
              <w:bottom w:val="single" w:sz="8" w:color="CFF0FC"/>
            </w:tcBorders>
            <w:shd w:val="clear" w:color="auto" w:fill="CFF0FC"/>
          </w:tcPr>
          <w:p>
            <w:pPr>
              <w:spacing w:after="0"/>
              <w:rPr>
                <w:sz w:val="18"/>
                <w:szCs w:val="18"/>
                <w:color w:val="auto"/>
              </w:rPr>
            </w:pPr>
          </w:p>
        </w:tc>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property, plant and equipment, net</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Other non-current assets - unbilled receivables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2,489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28"/>
        </w:trPr>
        <w:tc>
          <w:tcPr>
            <w:tcW w:w="180" w:type="dxa"/>
            <w:vAlign w:val="bottom"/>
          </w:tcPr>
          <w:p>
            <w:pPr>
              <w:spacing w:after="0"/>
              <w:rPr>
                <w:sz w:val="20"/>
                <w:szCs w:val="20"/>
                <w:color w:val="auto"/>
              </w:rPr>
            </w:pPr>
            <w:r>
              <w:rPr>
                <w:rFonts w:ascii="Arial" w:cs="Arial" w:eastAsia="Arial" w:hAnsi="Arial"/>
                <w:sz w:val="18"/>
                <w:szCs w:val="18"/>
                <w:b w:val="1"/>
                <w:bCs w:val="1"/>
                <w:color w:val="auto"/>
              </w:rPr>
              <w:t>3.</w:t>
            </w:r>
          </w:p>
        </w:tc>
        <w:tc>
          <w:tcPr>
            <w:tcW w:w="7480" w:type="dxa"/>
            <w:vAlign w:val="bottom"/>
          </w:tcPr>
          <w:p>
            <w:pPr>
              <w:ind w:left="100"/>
              <w:spacing w:after="0"/>
              <w:rPr>
                <w:sz w:val="20"/>
                <w:szCs w:val="20"/>
                <w:color w:val="auto"/>
              </w:rPr>
            </w:pPr>
            <w:r>
              <w:rPr>
                <w:rFonts w:ascii="Arial" w:cs="Arial" w:eastAsia="Arial" w:hAnsi="Arial"/>
                <w:sz w:val="18"/>
                <w:szCs w:val="18"/>
                <w:b w:val="1"/>
                <w:bCs w:val="1"/>
                <w:color w:val="auto"/>
              </w:rPr>
              <w:t>Inventories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September 30, 2022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37,137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2,499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39,169</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78,805</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74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Earnings (Loss) Per Share</w:t>
            </w: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-2673985</wp:posOffset>
            </wp:positionV>
            <wp:extent cx="7683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-1824990</wp:posOffset>
            </wp:positionV>
            <wp:extent cx="7683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-1534160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-445135</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5"/>
                <w:szCs w:val="15"/>
                <w:color w:val="auto"/>
              </w:rPr>
            </w:pPr>
          </w:p>
        </w:tc>
        <w:tc>
          <w:tcPr>
            <w:tcW w:w="2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(15,015 )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(33,496 )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(12,605 )</w:t>
            </w:r>
          </w:p>
        </w:tc>
        <w:tc>
          <w:tcPr>
            <w:tcW w:w="0" w:type="dxa"/>
            <w:vAlign w:val="bottom"/>
          </w:tcPr>
          <w:p>
            <w:pPr>
              <w:spacing w:after="0"/>
              <w:rPr>
                <w:sz w:val="1"/>
                <w:szCs w:val="1"/>
                <w:color w:val="auto"/>
              </w:rPr>
            </w:pPr>
          </w:p>
        </w:tc>
      </w:tr>
      <w:tr>
        <w:trPr>
          <w:trHeight w:val="197"/>
        </w:trPr>
        <w:tc>
          <w:tcPr>
            <w:tcW w:w="57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Weighted-average shares of common stock outstanding:</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72,023</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72,448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700" w:type="dxa"/>
            <w:vAlign w:val="bottom"/>
          </w:tcPr>
          <w:p>
            <w:pPr>
              <w:ind w:left="300"/>
              <w:spacing w:after="0" w:line="175" w:lineRule="exact"/>
              <w:rPr>
                <w:sz w:val="20"/>
                <w:szCs w:val="20"/>
                <w:color w:val="auto"/>
              </w:rPr>
            </w:pPr>
            <w:r>
              <w:rPr>
                <w:rFonts w:ascii="Arial" w:cs="Arial" w:eastAsia="Arial" w:hAnsi="Arial"/>
                <w:sz w:val="18"/>
                <w:szCs w:val="18"/>
                <w:color w:val="auto"/>
                <w:w w:val="95"/>
              </w:rPr>
              <w:t>Dilutive effect of stock options, restricted stock, and performance stock</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700" w:type="dxa"/>
            <w:vAlign w:val="bottom"/>
          </w:tcPr>
          <w:p>
            <w:pPr>
              <w:ind w:left="300"/>
              <w:spacing w:after="0"/>
              <w:rPr>
                <w:sz w:val="20"/>
                <w:szCs w:val="20"/>
                <w:color w:val="auto"/>
              </w:rPr>
            </w:pPr>
            <w:r>
              <w:rPr>
                <w:rFonts w:ascii="Arial" w:cs="Arial" w:eastAsia="Arial" w:hAnsi="Arial"/>
                <w:sz w:val="18"/>
                <w:szCs w:val="18"/>
                <w:color w:val="auto"/>
              </w:rPr>
              <w:t>units</w:t>
            </w: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72,785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72,023</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72,448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Earnings (loss) per share: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(0.21 )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(0.46 )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0.07</w:t>
            </w:r>
          </w:p>
        </w:tc>
        <w:tc>
          <w:tcPr>
            <w:tcW w:w="260" w:type="dxa"/>
            <w:vAlign w:val="bottom"/>
          </w:tcPr>
          <w:p>
            <w:pPr>
              <w:spacing w:after="0"/>
              <w:rPr>
                <w:sz w:val="17"/>
                <w:szCs w:val="17"/>
                <w:color w:val="auto"/>
              </w:rPr>
            </w:pP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(0.21 )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(0.46 )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-1597660</wp:posOffset>
            </wp:positionV>
            <wp:extent cx="3527425" cy="278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27425" cy="27813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-1182370</wp:posOffset>
            </wp:positionV>
            <wp:extent cx="279463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635" cy="16319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-488315</wp:posOffset>
            </wp:positionV>
            <wp:extent cx="279463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635" cy="16319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279463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635" cy="188595"/>
                    </a:xfrm>
                    <a:prstGeom prst="rect">
                      <a:avLst/>
                    </a:prstGeom>
                    <a:noFill/>
                  </pic:spPr>
                </pic:pic>
              </a:graphicData>
            </a:graphic>
          </wp:anchor>
        </w:drawing>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three months ended September 30,2022, outstanding common stock options, unvested restricted stock, and unvested performance stock units representing 1,734 shares were excluded from the computation of diluted earnings per share as their inclusion would have been anti-dilutive. For the nine months ended September 30, 2022, and the three and nine months ended September 30, 2021, outstanding common stock options, unvested restricted stock, and unvested performance stock units representing 383, 859, and 847 shares, respectively, were excluded from the computation of diluted loss per share.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product line</w:t>
      </w:r>
      <w:r>
        <w:rPr>
          <w:rFonts w:ascii="Arial" w:cs="Arial" w:eastAsia="Arial" w:hAnsi="Arial"/>
          <w:sz w:val="18"/>
          <w:szCs w:val="18"/>
          <w:color w:val="auto"/>
        </w:rPr>
        <w:t>. The following table represents total net revenues by product line: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4"/>
                <w:szCs w:val="14"/>
                <w:color w:val="auto"/>
              </w:rPr>
            </w:pPr>
          </w:p>
        </w:tc>
      </w:tr>
      <w:tr>
        <w:trPr>
          <w:trHeight w:val="169"/>
        </w:trPr>
        <w:tc>
          <w:tcPr>
            <w:tcW w:w="4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COVID-19</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79,920</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154,331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54,147</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Genomics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13,980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19,018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44,558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49,333</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HIV</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9,054</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29,745</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HCV</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10,182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9,382</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Substance abuse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Microbiome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services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Other product and service revenues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8"/>
                <w:szCs w:val="18"/>
                <w:color w:val="auto"/>
              </w:rPr>
            </w:pPr>
          </w:p>
        </w:tc>
      </w:tr>
      <w:tr>
        <w:trPr>
          <w:trHeight w:val="209"/>
        </w:trPr>
        <w:tc>
          <w:tcPr>
            <w:tcW w:w="4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product and services revenues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112,821</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53,229</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257,224</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20" w:type="dxa"/>
            <w:vAlign w:val="bottom"/>
          </w:tcPr>
          <w:p>
            <w:pPr>
              <w:ind w:left="20"/>
              <w:spacing w:after="0"/>
              <w:rPr>
                <w:sz w:val="20"/>
                <w:szCs w:val="20"/>
                <w:color w:val="auto"/>
              </w:rPr>
            </w:pPr>
            <w:r>
              <w:rPr>
                <w:rFonts w:ascii="Arial" w:cs="Arial" w:eastAsia="Arial" w:hAnsi="Arial"/>
                <w:sz w:val="18"/>
                <w:szCs w:val="18"/>
                <w:color w:val="auto"/>
              </w:rPr>
              <w:t>Royalty income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r>
      <w:tr>
        <w:trPr>
          <w:trHeight w:val="216"/>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non-product revenues*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20" w:type="dxa"/>
            <w:vAlign w:val="bottom"/>
          </w:tcPr>
          <w:p>
            <w:pPr>
              <w:ind w:left="200"/>
              <w:spacing w:after="0"/>
              <w:rPr>
                <w:sz w:val="20"/>
                <w:szCs w:val="20"/>
                <w:color w:val="auto"/>
              </w:rPr>
            </w:pPr>
            <w:r>
              <w:rPr>
                <w:rFonts w:ascii="Arial" w:cs="Arial" w:eastAsia="Arial" w:hAnsi="Arial"/>
                <w:sz w:val="18"/>
                <w:szCs w:val="18"/>
                <w:color w:val="auto"/>
              </w:rPr>
              <w:t>Other revenues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8"/>
                <w:szCs w:val="18"/>
                <w:color w:val="auto"/>
              </w:rPr>
            </w:pPr>
          </w:p>
        </w:tc>
      </w:tr>
      <w:tr>
        <w:trPr>
          <w:trHeight w:val="249"/>
        </w:trPr>
        <w:tc>
          <w:tcPr>
            <w:tcW w:w="45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116,463</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53,917</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264,401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-599440</wp:posOffset>
            </wp:positionV>
            <wp:extent cx="7747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-599440</wp:posOffset>
            </wp:positionV>
            <wp:extent cx="7747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-599440</wp:posOffset>
            </wp:positionV>
            <wp:extent cx="6858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-316230</wp:posOffset>
            </wp:positionV>
            <wp:extent cx="7747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-316230</wp:posOffset>
            </wp:positionV>
            <wp:extent cx="7747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-316230</wp:posOffset>
            </wp:positionV>
            <wp:extent cx="6858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-25400</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*Other non-product revenues include funded research and development under our BARDA contracts and other grant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geographic area</w:t>
      </w:r>
      <w:r>
        <w:rPr>
          <w:rFonts w:ascii="Arial" w:cs="Arial" w:eastAsia="Arial" w:hAnsi="Arial"/>
          <w:sz w:val="18"/>
          <w:szCs w:val="18"/>
          <w:color w:val="auto"/>
        </w:rPr>
        <w:t>. The following table represents total net revenues by geographic area, based on the location of the customer: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4"/>
              </w:rPr>
              <w:t>Three Months Ended September 30,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108,941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237,248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139,669</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regions</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116,463</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53,917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264,401</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170,106</w:t>
            </w: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u w:val="single" w:color="auto"/>
          <w:color w:val="auto"/>
        </w:rPr>
        <w:t>Customer and Vendor Concentrations</w:t>
      </w:r>
      <w:r>
        <w:rPr>
          <w:rFonts w:ascii="Arial" w:cs="Arial" w:eastAsia="Arial" w:hAnsi="Arial"/>
          <w:sz w:val="18"/>
          <w:szCs w:val="18"/>
          <w:color w:val="auto"/>
        </w:rPr>
        <w:t>. At September 30, 2022, one non-commercial customer accounted for 47% of our accounts receivable. No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more than 10% of our accounts receivable as of December 31, 2021. One non-commercial customer accounted for 69% and 53% of net consolidated revenues for the three and nine months ended September 30, 2022, respectively. One customer accounted for 14% of net consolidated revenues for the three months ended September 30, 2021. Another customer accounted for 10% of net consolidated revenues for the nine months ended September 30, 2021.</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currently purchase certain products and critical components of our products from sole-supply vendors. If these vendors are unable or unwilling to supply the required components and products, we could be subject to increased costs and substantial delays in the delivery of our products to our customers. Third-party suppliers also manufacture certain products. Our inability to have a timely supply of any of these components and products could have a material adverse effect on our business, as well as our financial condition and results of operations.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u w:val="single" w:color="auto"/>
          <w:color w:val="auto"/>
        </w:rPr>
        <w:t>Deferred Revenue</w:t>
      </w:r>
      <w:r>
        <w:rPr>
          <w:rFonts w:ascii="Arial" w:cs="Arial" w:eastAsia="Arial" w:hAnsi="Arial"/>
          <w:sz w:val="17"/>
          <w:szCs w:val="17"/>
          <w:color w:val="auto"/>
        </w:rPr>
        <w:t>. We record deferred revenue when funds are received prior to the recognition of the associated revenue. Deferred revenue as of</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2022 and December 31, 2021 includes customer prepayments of $1,762 and $1,843, respectively. Deferred revenue as of September 30, 2022 and December 31, 2021 also includes $774 and $1,093, respectively, associated with a long-term contract that has variable pricing based on volume. The average price over the life of the contract was determined and revenue is recognized at that average price.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goodwill by operating segment for the nine months ended September 30,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Diagnostics</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Molecular Solutions</w:t>
            </w:r>
          </w:p>
        </w:tc>
      </w:tr>
      <w:tr>
        <w:trPr>
          <w:trHeight w:val="209"/>
        </w:trPr>
        <w:tc>
          <w:tcPr>
            <w:tcW w:w="7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January 1, 2022</w:t>
            </w:r>
          </w:p>
        </w:tc>
        <w:tc>
          <w:tcPr>
            <w:tcW w:w="1300" w:type="dxa"/>
            <w:vAlign w:val="bottom"/>
            <w:tcBorders>
              <w:top w:val="single" w:sz="8" w:color="auto"/>
            </w:tcBorders>
            <w:shd w:val="clear" w:color="auto" w:fill="CFF0FC"/>
          </w:tcPr>
          <w:p>
            <w:pPr>
              <w:jc w:val="right"/>
              <w:ind w:right="11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w:t>
            </w:r>
          </w:p>
        </w:tc>
        <w:tc>
          <w:tcPr>
            <w:tcW w:w="3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36,675</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(3,604 )</w:t>
            </w: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related to foreign currency translation</w:t>
            </w:r>
          </w:p>
        </w:tc>
        <w:tc>
          <w:tcPr>
            <w:tcW w:w="13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(2,199 )</w:t>
            </w:r>
          </w:p>
        </w:tc>
      </w:tr>
      <w:tr>
        <w:trPr>
          <w:trHeight w:val="210"/>
        </w:trPr>
        <w:tc>
          <w:tcPr>
            <w:tcW w:w="71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September 30, 2022</w:t>
            </w:r>
          </w:p>
        </w:tc>
        <w:tc>
          <w:tcPr>
            <w:tcW w:w="130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34,476</w:t>
            </w:r>
          </w:p>
        </w:tc>
        <w:tc>
          <w:tcPr>
            <w:tcW w:w="100" w:type="dxa"/>
            <w:vAlign w:val="bottom"/>
            <w:tcBorders>
              <w:top w:val="single" w:sz="8" w:color="CFF0FC"/>
            </w:tcBorders>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7747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During the second quarter of 2022, we determined that a triggering event occurred in relation to the depressed market price of the Company's common stock and corresponding significant decline in our market capitalization. As a result, we performed an interim goodwill impairment test and concluded that the carrying value of our Diagnostics reporting unit exceeded its estimated fair value and the goodwill balance for that segment was fully impaired. Thus, we recognized a pre-tax impairment charge of $3.6 million during the three months ended June 30, 2022, which is reported in loss on impairments in our condensed consolidated statement of operations.</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second quarter, we estimated fair values of both of our reporting units using a combined income-based approach and market-based approach. Our income approach utilized projected future cash flows that were discounted at a rate of 22% for the Diagnostic reporting unit and 20% for the Molecular Solutions reporting unit based on a weighted-average cost of capital analysis that reflected current market conditions. The market comparable approach primarily considered earnings, revenue and other multiples of comparable companies and applied those multiples to certain key drivers of the reporting units. This market approach utilized a revenue multiple weighted by year for the Diagnostics reporting unit and both a revenue and EBITDA multiple for the Molecular Solutions reporting unit. We assigned a weight of 75% to the results of our income-based approach and 25% to the results from the market-based approach for estimation of the reporting units' fair value. Our fair value estimates utilize significant unobservable inputs and thus represent Level 3 fair value measurements.</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perform an annual goodwill impairment assessment as of July 31 each year. Historically this involved a qualitative analysis that resulted in a conclusion that it was more likely than not that the fair value of our reporting units is greater than their carrying value. In 2022, as a result of the depressed market price of the Company's common stock and corresponding significant decline in our market capitalization, we performed a quantitative analysis by comparing the estimated fair values of our reporting units to their respective carrying values. Our quantitative goodwill impairment test assessment as of July 31, 2022 concluded that the carrying value of our Molecular Solutions reporting unit exceeded its estimated fair value and no impairment of the related goodwill exists.</w:t>
      </w:r>
    </w:p>
    <w:p>
      <w:pPr>
        <w:spacing w:after="0" w:line="1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more frequent evaluation is performed if an event occurs or circumstances change between annual tests that could more likely than not reduce the fair value of a reporting unit below its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right"/>
              <w:ind w:right="41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6860" w:type="dxa"/>
            <w:vAlign w:val="bottom"/>
          </w:tcPr>
          <w:p>
            <w:pPr>
              <w:spacing w:after="0"/>
              <w:rPr>
                <w:sz w:val="16"/>
                <w:szCs w:val="16"/>
                <w:color w:val="auto"/>
              </w:rPr>
            </w:pP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benefits</w:t>
            </w:r>
          </w:p>
        </w:tc>
        <w:tc>
          <w:tcPr>
            <w:tcW w:w="1560" w:type="dxa"/>
            <w:vAlign w:val="bottom"/>
            <w:shd w:val="clear" w:color="auto" w:fill="CFF0FC"/>
          </w:tcPr>
          <w:p>
            <w:pPr>
              <w:jc w:val="right"/>
              <w:ind w:right="13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11,263</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Commitment to purchase under government contract</w:t>
            </w:r>
          </w:p>
        </w:tc>
        <w:tc>
          <w:tcPr>
            <w:tcW w:w="1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8,103</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Professional fees</w:t>
            </w:r>
          </w:p>
        </w:tc>
        <w:tc>
          <w:tcPr>
            <w:tcW w:w="15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4,771</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Sales tax payable</w:t>
            </w:r>
          </w:p>
        </w:tc>
        <w:tc>
          <w:tcPr>
            <w:tcW w:w="1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8"/>
                <w:szCs w:val="18"/>
                <w:color w:val="auto"/>
              </w:rPr>
            </w:pPr>
          </w:p>
        </w:tc>
      </w:tr>
      <w:tr>
        <w:trPr>
          <w:trHeight w:val="216"/>
        </w:trPr>
        <w:tc>
          <w:tcPr>
            <w:tcW w:w="6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8,006</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1560" w:type="dxa"/>
            <w:vAlign w:val="bottom"/>
          </w:tcPr>
          <w:p>
            <w:pPr>
              <w:jc w:val="right"/>
              <w:ind w:right="137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25,412</w:t>
            </w: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33,778</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determine whether an arrangement is a lease at inception. We have operating and finance leases for corporate offices, warehouse space and equipment (including vehicles). As of September 30, 2022, we are the lessee in all agreements. Our leases have remaining lease terms of 1 to 11 years, some of which include options to extend the leases based on agreed upon terms, and some of which include options to terminate the leases within 1 year.</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lease payments.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 w:name="page13"/>
    <w:bookmarkEnd w:id="12"/>
    <w:p>
      <w:pPr>
        <w:ind w:right="60"/>
        <w:spacing w:after="0" w:line="277" w:lineRule="auto"/>
        <w:rPr>
          <w:sz w:val="20"/>
          <w:szCs w:val="20"/>
          <w:color w:val="auto"/>
        </w:rPr>
      </w:pPr>
      <w:r>
        <w:rPr>
          <w:rFonts w:ascii="Arial" w:cs="Arial" w:eastAsia="Arial" w:hAnsi="Arial"/>
          <w:sz w:val="18"/>
          <w:szCs w:val="18"/>
          <w:color w:val="auto"/>
        </w:rPr>
        <w:t>We have lease agreements that contain both lease and non-lease components (e.g., common-area maintenance). For these agreements, we account for lease components separate from non-lease components.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700" w:type="dxa"/>
            <w:vAlign w:val="bottom"/>
            <w:tcBorders>
              <w:bottom w:val="single" w:sz="8" w:color="auto"/>
            </w:tcBorders>
            <w:gridSpan w:val="5"/>
          </w:tcPr>
          <w:p>
            <w:pPr>
              <w:jc w:val="right"/>
              <w:ind w:right="153"/>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190"/>
        </w:trPr>
        <w:tc>
          <w:tcPr>
            <w:tcW w:w="55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20" w:type="dxa"/>
            <w:vAlign w:val="bottom"/>
            <w:gridSpan w:val="2"/>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Variable and short-term lease cost</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Amortization of right-of use assets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on lease liabilities</w:t>
            </w:r>
          </w:p>
        </w:tc>
        <w:tc>
          <w:tcPr>
            <w:tcW w:w="7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60" w:type="dxa"/>
            <w:vAlign w:val="bottom"/>
          </w:tcPr>
          <w:p>
            <w:pPr>
              <w:ind w:left="300"/>
              <w:spacing w:after="0"/>
              <w:rPr>
                <w:sz w:val="20"/>
                <w:szCs w:val="20"/>
                <w:color w:val="auto"/>
              </w:rPr>
            </w:pPr>
            <w:r>
              <w:rPr>
                <w:rFonts w:ascii="Arial" w:cs="Arial" w:eastAsia="Arial" w:hAnsi="Arial"/>
                <w:sz w:val="18"/>
                <w:szCs w:val="18"/>
                <w:color w:val="auto"/>
              </w:rPr>
              <w:t>Total finance lease cost</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r>
      <w:tr>
        <w:trPr>
          <w:trHeight w:val="250"/>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1,536</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4,019</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-316230</wp:posOffset>
            </wp:positionV>
            <wp:extent cx="7747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-316230</wp:posOffset>
            </wp:positionV>
            <wp:extent cx="6858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-316230</wp:posOffset>
            </wp:positionV>
            <wp:extent cx="6858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80" w:type="dxa"/>
            <w:vAlign w:val="bottom"/>
            <w:gridSpan w:val="12"/>
          </w:tcPr>
          <w:p>
            <w:pPr>
              <w:ind w:left="480"/>
              <w:spacing w:after="0"/>
              <w:rPr>
                <w:sz w:val="20"/>
                <w:szCs w:val="20"/>
                <w:color w:val="auto"/>
              </w:rPr>
            </w:pPr>
            <w:r>
              <w:rPr>
                <w:rFonts w:ascii="Arial" w:cs="Arial" w:eastAsia="Arial" w:hAnsi="Arial"/>
                <w:sz w:val="14"/>
                <w:szCs w:val="14"/>
                <w:b w:val="1"/>
                <w:bCs w:val="1"/>
                <w:color w:val="auto"/>
              </w:rPr>
              <w:t>Nine Months Ended September 30,</w:t>
            </w:r>
          </w:p>
        </w:tc>
      </w:tr>
      <w:tr>
        <w:trPr>
          <w:trHeight w:val="189"/>
        </w:trPr>
        <w:tc>
          <w:tcPr>
            <w:tcW w:w="5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Operating cash flows from operating leases</w:t>
            </w:r>
          </w:p>
        </w:tc>
        <w:tc>
          <w:tcPr>
            <w:tcW w:w="21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tcPr>
          <w:p>
            <w:pPr>
              <w:ind w:left="300"/>
              <w:spacing w:after="0"/>
              <w:rPr>
                <w:sz w:val="20"/>
                <w:szCs w:val="20"/>
                <w:color w:val="auto"/>
              </w:rPr>
            </w:pPr>
            <w:r>
              <w:rPr>
                <w:rFonts w:ascii="Arial" w:cs="Arial" w:eastAsia="Arial" w:hAnsi="Arial"/>
                <w:sz w:val="18"/>
                <w:szCs w:val="18"/>
                <w:color w:val="auto"/>
              </w:rPr>
              <w:t>Operating cash flows from financing leases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Financing cash flows from financing leases</w:t>
            </w:r>
          </w:p>
        </w:tc>
        <w:tc>
          <w:tcPr>
            <w:tcW w:w="1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Non-cash activity:</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9"/>
              </w:rPr>
              <w:t>Right-of-use assets obtained in exchange for operating lease obligations</w:t>
            </w:r>
          </w:p>
        </w:tc>
        <w:tc>
          <w:tcPr>
            <w:tcW w:w="1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9,038</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500" w:type="dxa"/>
            <w:vAlign w:val="bottom"/>
          </w:tcPr>
          <w:p>
            <w:pPr>
              <w:ind w:left="300"/>
              <w:spacing w:after="0"/>
              <w:rPr>
                <w:sz w:val="20"/>
                <w:szCs w:val="20"/>
                <w:color w:val="auto"/>
              </w:rPr>
            </w:pPr>
            <w:r>
              <w:rPr>
                <w:rFonts w:ascii="Arial" w:cs="Arial" w:eastAsia="Arial" w:hAnsi="Arial"/>
                <w:sz w:val="18"/>
                <w:szCs w:val="18"/>
                <w:color w:val="auto"/>
                <w:w w:val="92"/>
              </w:rPr>
              <w:t>Right-of-use assets obtained in exchange for finance lease obligations</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4"/>
        </w:trPr>
        <w:tc>
          <w:tcPr>
            <w:tcW w:w="5500" w:type="dxa"/>
            <w:vAlign w:val="bottom"/>
          </w:tcPr>
          <w:p>
            <w:pPr>
              <w:spacing w:after="0"/>
              <w:rPr>
                <w:sz w:val="20"/>
                <w:szCs w:val="20"/>
                <w:color w:val="auto"/>
              </w:rPr>
            </w:pPr>
            <w:r>
              <w:rPr>
                <w:rFonts w:ascii="Arial" w:cs="Arial" w:eastAsia="Arial" w:hAnsi="Arial"/>
                <w:sz w:val="18"/>
                <w:szCs w:val="18"/>
                <w:color w:val="auto"/>
                <w:w w:val="96"/>
              </w:rPr>
              <w:t>Supplemental balance sheet information related to leases is as follows:</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15"/>
        </w:trPr>
        <w:tc>
          <w:tcPr>
            <w:tcW w:w="5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2021</w:t>
            </w: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Leases</w:t>
            </w:r>
          </w:p>
        </w:tc>
        <w:tc>
          <w:tcPr>
            <w:tcW w:w="1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Right-of-use assets</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15,769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Lease liabilities:</w:t>
            </w:r>
          </w:p>
        </w:tc>
        <w:tc>
          <w:tcPr>
            <w:tcW w:w="1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tcPr>
          <w:p>
            <w:pPr>
              <w:ind w:left="300"/>
              <w:spacing w:after="0"/>
              <w:rPr>
                <w:sz w:val="20"/>
                <w:szCs w:val="20"/>
                <w:color w:val="auto"/>
              </w:rPr>
            </w:pPr>
            <w:r>
              <w:rPr>
                <w:rFonts w:ascii="Arial" w:cs="Arial" w:eastAsia="Arial" w:hAnsi="Arial"/>
                <w:sz w:val="18"/>
                <w:szCs w:val="18"/>
                <w:color w:val="auto"/>
              </w:rPr>
              <w:t>Current lease liabilities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1,938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Non-current lease liabilities</w:t>
            </w:r>
          </w:p>
        </w:tc>
        <w:tc>
          <w:tcPr>
            <w:tcW w:w="18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14,493</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7,202</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16,431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9,383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 Leases</w:t>
            </w:r>
          </w:p>
        </w:tc>
        <w:tc>
          <w:tcPr>
            <w:tcW w:w="1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Right-of-use assets</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18"/>
                <w:szCs w:val="18"/>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Lease liabilities:</w:t>
            </w:r>
          </w:p>
        </w:tc>
        <w:tc>
          <w:tcPr>
            <w:tcW w:w="1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tcPr>
          <w:p>
            <w:pPr>
              <w:ind w:left="300"/>
              <w:spacing w:after="0"/>
              <w:rPr>
                <w:sz w:val="20"/>
                <w:szCs w:val="20"/>
                <w:color w:val="auto"/>
              </w:rPr>
            </w:pPr>
            <w:r>
              <w:rPr>
                <w:rFonts w:ascii="Arial" w:cs="Arial" w:eastAsia="Arial" w:hAnsi="Arial"/>
                <w:sz w:val="18"/>
                <w:szCs w:val="18"/>
                <w:color w:val="auto"/>
              </w:rPr>
              <w:t>Current lease liabilities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Non-current lease liabilities</w:t>
            </w:r>
          </w:p>
        </w:tc>
        <w:tc>
          <w:tcPr>
            <w:tcW w:w="18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color w:val="auto"/>
              </w:rPr>
              <w:t>Total finance lease liabilities</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18"/>
                <w:szCs w:val="18"/>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1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Weighted-average remaining lease term—operating leases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4"/>
          </w:tcPr>
          <w:p>
            <w:pPr>
              <w:ind w:left="820"/>
              <w:spacing w:after="0"/>
              <w:rPr>
                <w:sz w:val="20"/>
                <w:szCs w:val="20"/>
                <w:color w:val="auto"/>
              </w:rPr>
            </w:pPr>
            <w:r>
              <w:rPr>
                <w:rFonts w:ascii="Arial" w:cs="Arial" w:eastAsia="Arial" w:hAnsi="Arial"/>
                <w:sz w:val="18"/>
                <w:szCs w:val="18"/>
                <w:color w:val="auto"/>
                <w:w w:val="99"/>
              </w:rPr>
              <w:t>7.46 years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4"/>
          </w:tcPr>
          <w:p>
            <w:pPr>
              <w:ind w:left="780"/>
              <w:spacing w:after="0"/>
              <w:rPr>
                <w:sz w:val="20"/>
                <w:szCs w:val="20"/>
                <w:color w:val="auto"/>
              </w:rPr>
            </w:pPr>
            <w:r>
              <w:rPr>
                <w:rFonts w:ascii="Arial" w:cs="Arial" w:eastAsia="Arial" w:hAnsi="Arial"/>
                <w:sz w:val="18"/>
                <w:szCs w:val="18"/>
                <w:color w:val="auto"/>
                <w:w w:val="99"/>
              </w:rPr>
              <w:t>5.26 years</w:t>
            </w:r>
          </w:p>
        </w:tc>
        <w:tc>
          <w:tcPr>
            <w:tcW w:w="60" w:type="dxa"/>
            <w:vAlign w:val="bottom"/>
          </w:tcPr>
          <w:p>
            <w:pPr>
              <w:spacing w:after="0"/>
              <w:rPr>
                <w:sz w:val="18"/>
                <w:szCs w:val="18"/>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term—finance leases</w:t>
            </w:r>
          </w:p>
        </w:tc>
        <w:tc>
          <w:tcPr>
            <w:tcW w:w="1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ind w:left="820"/>
              <w:spacing w:after="0"/>
              <w:rPr>
                <w:sz w:val="20"/>
                <w:szCs w:val="20"/>
                <w:color w:val="auto"/>
              </w:rPr>
            </w:pPr>
            <w:r>
              <w:rPr>
                <w:rFonts w:ascii="Arial" w:cs="Arial" w:eastAsia="Arial" w:hAnsi="Arial"/>
                <w:sz w:val="18"/>
                <w:szCs w:val="18"/>
                <w:color w:val="auto"/>
                <w:w w:val="99"/>
              </w:rPr>
              <w:t>1.59 years</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gridSpan w:val="4"/>
            <w:shd w:val="clear" w:color="auto" w:fill="CFF0FC"/>
          </w:tcPr>
          <w:p>
            <w:pPr>
              <w:ind w:left="780"/>
              <w:spacing w:after="0"/>
              <w:rPr>
                <w:sz w:val="20"/>
                <w:szCs w:val="20"/>
                <w:color w:val="auto"/>
              </w:rPr>
            </w:pPr>
            <w:r>
              <w:rPr>
                <w:rFonts w:ascii="Arial" w:cs="Arial" w:eastAsia="Arial" w:hAnsi="Arial"/>
                <w:sz w:val="18"/>
                <w:szCs w:val="18"/>
                <w:color w:val="auto"/>
                <w:w w:val="99"/>
              </w:rPr>
              <w:t>2.21 years</w:t>
            </w:r>
          </w:p>
        </w:tc>
        <w:tc>
          <w:tcPr>
            <w:tcW w:w="60" w:type="dxa"/>
            <w:vAlign w:val="bottom"/>
          </w:tcPr>
          <w:p>
            <w:pPr>
              <w:spacing w:after="0"/>
              <w:rPr>
                <w:sz w:val="18"/>
                <w:szCs w:val="18"/>
                <w:color w:val="auto"/>
              </w:rPr>
            </w:pPr>
          </w:p>
        </w:tc>
      </w:tr>
      <w:tr>
        <w:trPr>
          <w:trHeight w:val="432"/>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5"/>
          </w:tcPr>
          <w:p>
            <w:pPr>
              <w:jc w:val="right"/>
              <w:spacing w:after="0"/>
              <w:rPr>
                <w:sz w:val="20"/>
                <w:szCs w:val="20"/>
                <w:color w:val="auto"/>
              </w:rPr>
            </w:pPr>
            <w:r>
              <w:rPr>
                <w:rFonts w:ascii="Arial" w:cs="Arial" w:eastAsia="Arial" w:hAnsi="Arial"/>
                <w:sz w:val="18"/>
                <w:szCs w:val="18"/>
                <w:color w:val="auto"/>
              </w:rPr>
              <w:t>4.25 %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3.90 %</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Weighted-average discount rate—finance leases</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5"/>
          </w:tcPr>
          <w:p>
            <w:pPr>
              <w:jc w:val="right"/>
              <w:spacing w:after="0"/>
              <w:rPr>
                <w:sz w:val="20"/>
                <w:szCs w:val="20"/>
                <w:color w:val="auto"/>
              </w:rPr>
            </w:pPr>
            <w:r>
              <w:rPr>
                <w:rFonts w:ascii="Arial" w:cs="Arial" w:eastAsia="Arial" w:hAnsi="Arial"/>
                <w:sz w:val="18"/>
                <w:szCs w:val="18"/>
                <w:color w:val="auto"/>
              </w:rPr>
              <w:t>3.45 %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3.57 %</w:t>
            </w:r>
          </w:p>
        </w:tc>
      </w:tr>
      <w:tr>
        <w:trPr>
          <w:trHeight w:val="620"/>
        </w:trPr>
        <w:tc>
          <w:tcPr>
            <w:tcW w:w="5500" w:type="dxa"/>
            <w:vAlign w:val="bottom"/>
          </w:tcPr>
          <w:p>
            <w:pPr>
              <w:spacing w:after="0"/>
              <w:rPr>
                <w:sz w:val="24"/>
                <w:szCs w:val="24"/>
                <w:color w:val="auto"/>
              </w:rPr>
            </w:pPr>
          </w:p>
        </w:tc>
        <w:tc>
          <w:tcPr>
            <w:tcW w:w="1860" w:type="dxa"/>
            <w:vAlign w:val="bottom"/>
          </w:tcPr>
          <w:p>
            <w:pPr>
              <w:jc w:val="right"/>
              <w:ind w:right="1550"/>
              <w:spacing w:after="0"/>
              <w:rPr>
                <w:sz w:val="20"/>
                <w:szCs w:val="20"/>
                <w:color w:val="auto"/>
              </w:rPr>
            </w:pPr>
            <w:r>
              <w:rPr>
                <w:rFonts w:ascii="Arial" w:cs="Arial" w:eastAsia="Arial" w:hAnsi="Arial"/>
                <w:sz w:val="18"/>
                <w:szCs w:val="18"/>
                <w:color w:val="auto"/>
                <w:w w:val="99"/>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550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-2716530</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-1731010</wp:posOffset>
            </wp:positionV>
            <wp:extent cx="685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-744855</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4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As of September 30, 2022, minimum lease payments by period are expected to be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Pr>
          <w:p>
            <w:pPr>
              <w:spacing w:after="0"/>
              <w:rPr>
                <w:sz w:val="16"/>
                <w:szCs w:val="16"/>
                <w:color w:val="auto"/>
              </w:rPr>
            </w:pPr>
          </w:p>
        </w:tc>
        <w:tc>
          <w:tcPr>
            <w:tcW w:w="1180" w:type="dxa"/>
            <w:vAlign w:val="bottom"/>
          </w:tcPr>
          <w:p>
            <w:pPr>
              <w:jc w:val="right"/>
              <w:ind w:right="16"/>
              <w:spacing w:after="0"/>
              <w:rPr>
                <w:sz w:val="20"/>
                <w:szCs w:val="20"/>
                <w:color w:val="auto"/>
              </w:rPr>
            </w:pPr>
            <w:r>
              <w:rPr>
                <w:rFonts w:ascii="Arial" w:cs="Arial" w:eastAsia="Arial" w:hAnsi="Arial"/>
                <w:sz w:val="14"/>
                <w:szCs w:val="14"/>
                <w:b w:val="1"/>
                <w:bCs w:val="1"/>
                <w:color w:val="auto"/>
              </w:rPr>
              <w:t>Finance</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Operating</w:t>
            </w:r>
          </w:p>
        </w:tc>
      </w:tr>
      <w:tr>
        <w:trPr>
          <w:trHeight w:val="209"/>
        </w:trPr>
        <w:tc>
          <w:tcPr>
            <w:tcW w:w="75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2022 (excluding the nine months ended September 30, 2022)</w:t>
            </w:r>
          </w:p>
        </w:tc>
        <w:tc>
          <w:tcPr>
            <w:tcW w:w="1180" w:type="dxa"/>
            <w:vAlign w:val="bottom"/>
            <w:tcBorders>
              <w:top w:val="single" w:sz="8" w:color="auto"/>
            </w:tcBorders>
            <w:shd w:val="clear" w:color="auto" w:fill="CFF0FC"/>
          </w:tcPr>
          <w:p>
            <w:pPr>
              <w:jc w:val="right"/>
              <w:ind w:right="9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00"/>
              <w:spacing w:after="0"/>
              <w:rPr>
                <w:sz w:val="20"/>
                <w:szCs w:val="20"/>
                <w:color w:val="auto"/>
              </w:rPr>
            </w:pPr>
            <w:r>
              <w:rPr>
                <w:rFonts w:ascii="Arial" w:cs="Arial" w:eastAsia="Arial" w:hAnsi="Arial"/>
                <w:sz w:val="18"/>
                <w:szCs w:val="18"/>
                <w:color w:val="auto"/>
              </w:rPr>
              <w:t>2023</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2024</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00"/>
              <w:spacing w:after="0"/>
              <w:rPr>
                <w:sz w:val="20"/>
                <w:szCs w:val="20"/>
                <w:color w:val="auto"/>
              </w:rPr>
            </w:pPr>
            <w:r>
              <w:rPr>
                <w:rFonts w:ascii="Arial" w:cs="Arial" w:eastAsia="Arial" w:hAnsi="Arial"/>
                <w:sz w:val="18"/>
                <w:szCs w:val="18"/>
                <w:color w:val="auto"/>
              </w:rPr>
              <w:t>2025</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2026</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00"/>
              <w:spacing w:after="0"/>
              <w:rPr>
                <w:sz w:val="20"/>
                <w:szCs w:val="20"/>
                <w:color w:val="auto"/>
              </w:rPr>
            </w:pPr>
            <w:r>
              <w:rPr>
                <w:rFonts w:ascii="Arial" w:cs="Arial" w:eastAsia="Arial" w:hAnsi="Arial"/>
                <w:sz w:val="18"/>
                <w:szCs w:val="18"/>
                <w:color w:val="auto"/>
              </w:rPr>
              <w:t>Thereafter</w:t>
            </w:r>
          </w:p>
        </w:tc>
        <w:tc>
          <w:tcPr>
            <w:tcW w:w="1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18"/>
                <w:szCs w:val="18"/>
                <w:color w:val="auto"/>
              </w:rPr>
            </w:pPr>
          </w:p>
        </w:tc>
      </w:tr>
      <w:tr>
        <w:trPr>
          <w:trHeight w:val="209"/>
        </w:trPr>
        <w:tc>
          <w:tcPr>
            <w:tcW w:w="75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minimum lease payments</w:t>
            </w:r>
          </w:p>
        </w:tc>
        <w:tc>
          <w:tcPr>
            <w:tcW w:w="11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19,553</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00"/>
              <w:spacing w:after="0"/>
              <w:rPr>
                <w:sz w:val="20"/>
                <w:szCs w:val="20"/>
                <w:color w:val="auto"/>
              </w:rPr>
            </w:pPr>
            <w:r>
              <w:rPr>
                <w:rFonts w:ascii="Arial" w:cs="Arial" w:eastAsia="Arial" w:hAnsi="Arial"/>
                <w:sz w:val="18"/>
                <w:szCs w:val="18"/>
                <w:color w:val="auto"/>
              </w:rPr>
              <w:t>Less: imputed interest</w:t>
            </w:r>
          </w:p>
        </w:tc>
        <w:tc>
          <w:tcPr>
            <w:tcW w:w="1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(88 )</w:t>
            </w:r>
          </w:p>
        </w:tc>
        <w:tc>
          <w:tcPr>
            <w:tcW w:w="3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(3,122 )</w:t>
            </w:r>
          </w:p>
        </w:tc>
      </w:tr>
      <w:tr>
        <w:trPr>
          <w:trHeight w:val="210"/>
        </w:trPr>
        <w:tc>
          <w:tcPr>
            <w:tcW w:w="7500" w:type="dxa"/>
            <w:vAlign w:val="bottom"/>
          </w:tcPr>
          <w:p>
            <w:pPr>
              <w:ind w:left="300"/>
              <w:spacing w:after="0"/>
              <w:rPr>
                <w:sz w:val="20"/>
                <w:szCs w:val="20"/>
                <w:color w:val="auto"/>
              </w:rPr>
            </w:pPr>
            <w:r>
              <w:rPr>
                <w:rFonts w:ascii="Arial" w:cs="Arial" w:eastAsia="Arial" w:hAnsi="Arial"/>
                <w:sz w:val="18"/>
                <w:szCs w:val="18"/>
                <w:color w:val="auto"/>
              </w:rPr>
              <w:t>Present value of lease liabilities</w:t>
            </w:r>
          </w:p>
        </w:tc>
        <w:tc>
          <w:tcPr>
            <w:tcW w:w="118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16,431</w:t>
            </w: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On October 19, 2022, the Company entered into a termination agreement for a warehouse entered into on January 3, 2022, related to its 96,010 square foot facility in York, Pennsylvania. Pursuant to the terms of the termination agreement, the lease terminated, effective on October 31, 2022. The Company is not required to pay a termination fee, and has been released from all further rent obligations under the lease, resulting in ongoing annual cash savings of approximately $735. Termination will result in an operating right-of-use assets and lease liabilities reduction of $4,927 and $5,146, respectively.</w:t>
      </w:r>
    </w:p>
    <w:p>
      <w:pPr>
        <w:spacing w:after="0" w:line="2"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6"/>
          <w:szCs w:val="16"/>
          <w:b w:val="1"/>
          <w:bCs w:val="1"/>
          <w:color w:val="auto"/>
        </w:rPr>
      </w:pPr>
      <w:r>
        <w:rPr>
          <w:rFonts w:ascii="Arial" w:cs="Arial" w:eastAsia="Arial" w:hAnsi="Arial"/>
          <w:sz w:val="18"/>
          <w:szCs w:val="18"/>
          <w:b w:val="1"/>
          <w:bCs w:val="1"/>
          <w:color w:val="auto"/>
        </w:rPr>
        <w:t>Stockholders’ Equity</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Reconciliation of the changes in stockholders' equity for the three and nine months ended September 30, 2022 and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2200" w:type="dxa"/>
            <w:vAlign w:val="bottom"/>
            <w:gridSpan w:val="3"/>
            <w:vMerge w:val="restart"/>
          </w:tcPr>
          <w:p>
            <w:pPr>
              <w:jc w:val="right"/>
              <w:ind w:right="41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3"/>
                <w:szCs w:val="13"/>
                <w:color w:val="auto"/>
              </w:rPr>
            </w:pPr>
          </w:p>
        </w:tc>
        <w:tc>
          <w:tcPr>
            <w:tcW w:w="1220" w:type="dxa"/>
            <w:vAlign w:val="bottom"/>
            <w:gridSpan w:val="2"/>
          </w:tcPr>
          <w:p>
            <w:pPr>
              <w:jc w:val="center"/>
              <w:ind w:right="270"/>
              <w:spacing w:after="0" w:line="158"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jc w:val="right"/>
              <w:ind w:right="23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22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Paid-in</w:t>
            </w:r>
          </w:p>
        </w:tc>
        <w:tc>
          <w:tcPr>
            <w:tcW w:w="136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1"/>
              </w:rPr>
              <w:t>Comprehensive</w:t>
            </w:r>
          </w:p>
        </w:tc>
        <w:tc>
          <w:tcPr>
            <w:tcW w:w="12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2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0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72,069</w:t>
            </w:r>
          </w:p>
        </w:tc>
        <w:tc>
          <w:tcPr>
            <w:tcW w:w="26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511,063</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(120,453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380,533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20" w:type="dxa"/>
            <w:vAlign w:val="bottom"/>
          </w:tcPr>
          <w:p>
            <w:pPr>
              <w:ind w:left="20"/>
              <w:spacing w:after="0"/>
              <w:rPr>
                <w:sz w:val="20"/>
                <w:szCs w:val="20"/>
                <w:color w:val="auto"/>
              </w:rPr>
            </w:pPr>
            <w:r>
              <w:rPr>
                <w:rFonts w:ascii="Arial" w:cs="Arial" w:eastAsia="Arial" w:hAnsi="Arial"/>
                <w:sz w:val="18"/>
                <w:szCs w:val="18"/>
                <w:color w:val="auto"/>
                <w:w w:val="94"/>
              </w:rPr>
              <w:t>Common stock issued upon exercise of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Vesting of restricted stock and performance</w:t>
            </w: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(116 )</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(1,049 )</w:t>
            </w:r>
          </w:p>
        </w:tc>
        <w:tc>
          <w:tcPr>
            <w:tcW w:w="14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(1,049 )</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(19,967 )</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(19,967 )</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adjustments</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72,307</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6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513,553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(140,420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8"/>
                <w:szCs w:val="18"/>
                <w:color w:val="auto"/>
                <w:w w:val="94"/>
              </w:rPr>
              <w:t>Common stock issued upon exercise of options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Vesting of restricted stock and performance</w:t>
            </w: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(142 )</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(905 )</w:t>
            </w:r>
          </w:p>
        </w:tc>
        <w:tc>
          <w:tcPr>
            <w:tcW w:w="14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(905 )</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(18,802 )</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(18,802 )</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adjustments</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(4,349 )</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(4,349 )</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72,572</w:t>
            </w: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515,928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(159,222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line="196" w:lineRule="exact"/>
              <w:rPr>
                <w:sz w:val="20"/>
                <w:szCs w:val="20"/>
                <w:color w:val="auto"/>
              </w:rPr>
            </w:pPr>
            <w:r>
              <w:rPr>
                <w:rFonts w:ascii="Arial" w:cs="Arial" w:eastAsia="Arial" w:hAnsi="Arial"/>
                <w:sz w:val="18"/>
                <w:szCs w:val="18"/>
                <w:color w:val="auto"/>
                <w:w w:val="94"/>
              </w:rPr>
              <w:t>Common stock issued upon exercise of options</w:t>
            </w:r>
          </w:p>
        </w:tc>
        <w:tc>
          <w:tcPr>
            <w:tcW w:w="13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40" w:type="dxa"/>
            <w:vAlign w:val="bottom"/>
          </w:tcPr>
          <w:p>
            <w:pPr>
              <w:ind w:left="4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Vesting of restricted stock and performance</w:t>
            </w: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(19 )</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(54 )</w:t>
            </w:r>
          </w:p>
        </w:tc>
        <w:tc>
          <w:tcPr>
            <w:tcW w:w="14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adjustments</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(9,828 )</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(9,828 )</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72,619</w:t>
            </w: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518,170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(153,949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341,890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-2982595</wp:posOffset>
            </wp:positionV>
            <wp:extent cx="76835"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-2982595</wp:posOffset>
            </wp:positionV>
            <wp:extent cx="7747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-2982595</wp:posOffset>
            </wp:positionV>
            <wp:extent cx="6858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-2982595</wp:posOffset>
            </wp:positionV>
            <wp:extent cx="6858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-2982595</wp:posOffset>
            </wp:positionV>
            <wp:extent cx="6858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-1748155</wp:posOffset>
            </wp:positionV>
            <wp:extent cx="414909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49090" cy="16256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-496570</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-479425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-496570</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-479425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-496570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-479425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-496570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-479425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-496570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-479425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2200" w:type="dxa"/>
            <w:vAlign w:val="bottom"/>
            <w:gridSpan w:val="3"/>
            <w:vMerge w:val="restart"/>
          </w:tcPr>
          <w:p>
            <w:pPr>
              <w:jc w:val="right"/>
              <w:ind w:right="41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1260" w:type="dxa"/>
            <w:vAlign w:val="bottom"/>
            <w:gridSpan w:val="2"/>
          </w:tcPr>
          <w:p>
            <w:pPr>
              <w:jc w:val="center"/>
              <w:ind w:right="270"/>
              <w:spacing w:after="0" w:line="15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11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22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Paid-in</w:t>
            </w:r>
          </w:p>
        </w:tc>
        <w:tc>
          <w:tcPr>
            <w:tcW w:w="138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1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560" w:type="dxa"/>
            <w:vAlign w:val="bottom"/>
            <w:vMerge w:val="continue"/>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71,738</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505,123</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(97,455</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Common stock issued upon exercise of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5" w:lineRule="exact"/>
              <w:rPr>
                <w:sz w:val="20"/>
                <w:szCs w:val="20"/>
                <w:color w:val="auto"/>
              </w:rPr>
            </w:pPr>
            <w:r>
              <w:rPr>
                <w:rFonts w:ascii="Arial" w:cs="Arial" w:eastAsia="Arial" w:hAnsi="Arial"/>
                <w:sz w:val="18"/>
                <w:szCs w:val="18"/>
                <w:color w:val="auto"/>
              </w:rPr>
              <w:t>Vesting of restricted stock and performance</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(111 )</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(1,730 )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(1,730 )</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080" w:type="dxa"/>
            <w:vAlign w:val="bottom"/>
          </w:tcPr>
          <w:p>
            <w:pPr>
              <w:jc w:val="right"/>
              <w:spacing w:after="0"/>
              <w:rPr>
                <w:sz w:val="20"/>
                <w:szCs w:val="20"/>
                <w:color w:val="auto"/>
              </w:rPr>
            </w:pPr>
            <w:r>
              <w:rPr>
                <w:rFonts w:ascii="Arial" w:cs="Arial" w:eastAsia="Arial" w:hAnsi="Arial"/>
                <w:sz w:val="18"/>
                <w:szCs w:val="18"/>
                <w:color w:val="auto"/>
              </w:rPr>
              <w:t>71,956</w:t>
            </w:r>
          </w:p>
        </w:tc>
        <w:tc>
          <w:tcPr>
            <w:tcW w:w="260" w:type="dxa"/>
            <w:vAlign w:val="bottom"/>
          </w:tcPr>
          <w:p>
            <w:pPr>
              <w:spacing w:after="0"/>
              <w:rPr>
                <w:sz w:val="18"/>
                <w:szCs w:val="18"/>
                <w:color w:val="auto"/>
              </w:rPr>
            </w:pP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504,949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(7,724 )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(93,681 )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Common stock issued upon exercise of options</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5" w:lineRule="exact"/>
              <w:rPr>
                <w:sz w:val="20"/>
                <w:szCs w:val="20"/>
                <w:color w:val="auto"/>
              </w:rPr>
            </w:pPr>
            <w:r>
              <w:rPr>
                <w:rFonts w:ascii="Arial" w:cs="Arial" w:eastAsia="Arial" w:hAnsi="Arial"/>
                <w:sz w:val="18"/>
                <w:szCs w:val="18"/>
                <w:color w:val="auto"/>
              </w:rPr>
              <w:t>Vesting of restricted stock and performance</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(15 )</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(1,364 )</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(1,364 )</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(122 )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080" w:type="dxa"/>
            <w:vAlign w:val="bottom"/>
          </w:tcPr>
          <w:p>
            <w:pPr>
              <w:jc w:val="right"/>
              <w:spacing w:after="0"/>
              <w:rPr>
                <w:sz w:val="20"/>
                <w:szCs w:val="20"/>
                <w:color w:val="auto"/>
              </w:rPr>
            </w:pPr>
            <w:r>
              <w:rPr>
                <w:rFonts w:ascii="Arial" w:cs="Arial" w:eastAsia="Arial" w:hAnsi="Arial"/>
                <w:sz w:val="18"/>
                <w:szCs w:val="18"/>
                <w:color w:val="auto"/>
              </w:rPr>
              <w:t>72,008</w:t>
            </w:r>
          </w:p>
        </w:tc>
        <w:tc>
          <w:tcPr>
            <w:tcW w:w="260" w:type="dxa"/>
            <w:vAlign w:val="bottom"/>
          </w:tcPr>
          <w:p>
            <w:pPr>
              <w:spacing w:after="0"/>
              <w:rPr>
                <w:sz w:val="18"/>
                <w:szCs w:val="18"/>
                <w:color w:val="auto"/>
              </w:rPr>
            </w:pP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506,304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(6,443 )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(95,045 )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3"/>
              </w:rPr>
              <w:t>Common stock issued upon exercise of options</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5" w:lineRule="exact"/>
              <w:rPr>
                <w:sz w:val="20"/>
                <w:szCs w:val="20"/>
                <w:color w:val="auto"/>
              </w:rPr>
            </w:pPr>
            <w:r>
              <w:rPr>
                <w:rFonts w:ascii="Arial" w:cs="Arial" w:eastAsia="Arial" w:hAnsi="Arial"/>
                <w:sz w:val="18"/>
                <w:szCs w:val="18"/>
                <w:color w:val="auto"/>
              </w:rPr>
              <w:t>Vesting of restricted stock and performance</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(4 )</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(15,015 )</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(15,015 )</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(4,117 )</w:t>
            </w:r>
          </w:p>
        </w:tc>
        <w:tc>
          <w:tcPr>
            <w:tcW w:w="10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(4,117 )</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(161 )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080" w:type="dxa"/>
            <w:vAlign w:val="bottom"/>
          </w:tcPr>
          <w:p>
            <w:pPr>
              <w:jc w:val="right"/>
              <w:spacing w:after="0"/>
              <w:rPr>
                <w:sz w:val="20"/>
                <w:szCs w:val="20"/>
                <w:color w:val="auto"/>
              </w:rPr>
            </w:pPr>
            <w:r>
              <w:rPr>
                <w:rFonts w:ascii="Arial" w:cs="Arial" w:eastAsia="Arial" w:hAnsi="Arial"/>
                <w:sz w:val="18"/>
                <w:szCs w:val="18"/>
                <w:color w:val="auto"/>
              </w:rPr>
              <w:t>72,038</w:t>
            </w:r>
          </w:p>
        </w:tc>
        <w:tc>
          <w:tcPr>
            <w:tcW w:w="260" w:type="dxa"/>
            <w:vAlign w:val="bottom"/>
          </w:tcPr>
          <w:p>
            <w:pPr>
              <w:spacing w:after="0"/>
              <w:rPr>
                <w:sz w:val="18"/>
                <w:szCs w:val="18"/>
                <w:color w:val="auto"/>
              </w:rPr>
            </w:pP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508,601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(10,721 )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(110,060 )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387,820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-2656840</wp:posOffset>
            </wp:positionV>
            <wp:extent cx="76835"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-2656840</wp:posOffset>
            </wp:positionV>
            <wp:extent cx="6858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-2656840</wp:posOffset>
            </wp:positionV>
            <wp:extent cx="6858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-2656840</wp:posOffset>
            </wp:positionV>
            <wp:extent cx="6858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-2656840</wp:posOffset>
            </wp:positionV>
            <wp:extent cx="6858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-1422400</wp:posOffset>
            </wp:positionV>
            <wp:extent cx="7683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-1422400</wp:posOffset>
            </wp:positionV>
            <wp:extent cx="685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-1422400</wp:posOffset>
            </wp:positionV>
            <wp:extent cx="685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-1422400</wp:posOffset>
            </wp:positionV>
            <wp:extent cx="685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-1422400</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-170815</wp:posOffset>
            </wp:positionV>
            <wp:extent cx="76835"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-170815</wp:posOffset>
            </wp:positionV>
            <wp:extent cx="685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6858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Awards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grant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 We account for stock-based compensation to employees and directors using the fair value method. We recognize compensation expense for stock option and restricted stock awards issued to employees and directors on a straight-line basis over the requisite service period of the award. We recognize compensation expense related to performance-based restricted stock units based on assumptions as to what percentage of each performance target will be achieved. We evaluate these target assumptions on a quarterly basis and adjust compensation expense related to these awards, as appropriate. To satisfy the exercise of options, issuance of restricted stock, or redemption of performance-based restricted stock units, we issue new shares rather than shares purchased on the open market.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Total compensation expense related to stock options for the nine months ended September 30, 2022 and 2021 was $1,213 and $793,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9100" w:type="dxa"/>
            <w:vAlign w:val="bottom"/>
          </w:tcPr>
          <w:p>
            <w:pPr>
              <w:spacing w:after="0"/>
              <w:rPr>
                <w:sz w:val="16"/>
                <w:szCs w:val="16"/>
                <w:color w:val="auto"/>
              </w:rPr>
            </w:pPr>
          </w:p>
        </w:tc>
        <w:tc>
          <w:tcPr>
            <w:tcW w:w="21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Options</w:t>
            </w:r>
          </w:p>
        </w:tc>
      </w:tr>
      <w:tr>
        <w:trPr>
          <w:trHeight w:val="209"/>
        </w:trPr>
        <w:tc>
          <w:tcPr>
            <w:tcW w:w="9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on January 1, 2022</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80" w:type="dxa"/>
            <w:vAlign w:val="bottom"/>
            <w:shd w:val="clear" w:color="auto" w:fill="CFF0FC"/>
          </w:tcPr>
          <w:p>
            <w:pPr>
              <w:spacing w:after="0"/>
              <w:rPr>
                <w:sz w:val="18"/>
                <w:szCs w:val="18"/>
                <w:color w:val="auto"/>
              </w:rPr>
            </w:pPr>
          </w:p>
        </w:tc>
      </w:tr>
      <w:tr>
        <w:trPr>
          <w:trHeight w:val="216"/>
        </w:trPr>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Pr>
          <w:p>
            <w:pPr>
              <w:spacing w:after="0"/>
              <w:rPr>
                <w:sz w:val="18"/>
                <w:szCs w:val="18"/>
                <w:color w:val="auto"/>
              </w:rPr>
            </w:pPr>
          </w:p>
        </w:tc>
      </w:tr>
      <w:tr>
        <w:trPr>
          <w:trHeight w:val="216"/>
        </w:trPr>
        <w:tc>
          <w:tcPr>
            <w:tcW w:w="9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2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(2 )</w:t>
            </w:r>
          </w:p>
        </w:tc>
      </w:tr>
      <w:tr>
        <w:trPr>
          <w:trHeight w:val="216"/>
        </w:trPr>
        <w:tc>
          <w:tcPr>
            <w:tcW w:w="9100" w:type="dxa"/>
            <w:vAlign w:val="bottom"/>
          </w:tcPr>
          <w:p>
            <w:pPr>
              <w:ind w:left="200"/>
              <w:spacing w:after="0"/>
              <w:rPr>
                <w:sz w:val="20"/>
                <w:szCs w:val="20"/>
                <w:color w:val="auto"/>
              </w:rPr>
            </w:pPr>
            <w:r>
              <w:rPr>
                <w:rFonts w:ascii="Arial" w:cs="Arial" w:eastAsia="Arial" w:hAnsi="Arial"/>
                <w:sz w:val="18"/>
                <w:szCs w:val="18"/>
                <w:color w:val="auto"/>
              </w:rPr>
              <w:t>Expired</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(20 )</w:t>
            </w:r>
          </w:p>
        </w:tc>
      </w:tr>
      <w:tr>
        <w:trPr>
          <w:trHeight w:val="216"/>
        </w:trPr>
        <w:tc>
          <w:tcPr>
            <w:tcW w:w="9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2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(173 )</w:t>
            </w:r>
          </w:p>
        </w:tc>
      </w:tr>
      <w:tr>
        <w:trPr>
          <w:trHeight w:val="210"/>
        </w:trPr>
        <w:tc>
          <w:tcPr>
            <w:tcW w:w="9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on September 30, 2022</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80" w:type="dxa"/>
            <w:vAlign w:val="bottom"/>
            <w:tcBorders>
              <w:top w:val="single" w:sz="8" w:color="CFF0FC"/>
            </w:tcBorders>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expense of $7,047 and $2,891 related to restricted shares was recognized during the nine months ended September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time-vested restricted stock award and restricted stock unit activity for the nine months ended September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00" w:type="dxa"/>
            <w:vAlign w:val="bottom"/>
          </w:tcPr>
          <w:p>
            <w:pPr>
              <w:spacing w:after="0"/>
              <w:rPr>
                <w:sz w:val="16"/>
                <w:szCs w:val="16"/>
                <w:color w:val="auto"/>
              </w:rPr>
            </w:pPr>
          </w:p>
        </w:tc>
        <w:tc>
          <w:tcPr>
            <w:tcW w:w="21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Units</w:t>
            </w:r>
          </w:p>
        </w:tc>
      </w:tr>
      <w:tr>
        <w:trPr>
          <w:trHeight w:val="209"/>
        </w:trPr>
        <w:tc>
          <w:tcPr>
            <w:tcW w:w="9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unvested, January 1, 2022</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80" w:type="dxa"/>
            <w:vAlign w:val="bottom"/>
            <w:shd w:val="clear" w:color="auto" w:fill="CFF0FC"/>
          </w:tcPr>
          <w:p>
            <w:pPr>
              <w:spacing w:after="0"/>
              <w:rPr>
                <w:sz w:val="18"/>
                <w:szCs w:val="18"/>
                <w:color w:val="auto"/>
              </w:rPr>
            </w:pPr>
          </w:p>
        </w:tc>
      </w:tr>
      <w:tr>
        <w:trPr>
          <w:trHeight w:val="216"/>
        </w:trPr>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spacing w:after="0"/>
              <w:rPr>
                <w:sz w:val="20"/>
                <w:szCs w:val="20"/>
                <w:color w:val="auto"/>
              </w:rPr>
            </w:pPr>
            <w:r>
              <w:rPr>
                <w:rFonts w:ascii="Arial" w:cs="Arial" w:eastAsia="Arial" w:hAnsi="Arial"/>
                <w:sz w:val="18"/>
                <w:szCs w:val="18"/>
                <w:color w:val="auto"/>
              </w:rPr>
              <w:t>2,964</w:t>
            </w:r>
          </w:p>
        </w:tc>
        <w:tc>
          <w:tcPr>
            <w:tcW w:w="280" w:type="dxa"/>
            <w:vAlign w:val="bottom"/>
          </w:tcPr>
          <w:p>
            <w:pPr>
              <w:spacing w:after="0"/>
              <w:rPr>
                <w:sz w:val="18"/>
                <w:szCs w:val="18"/>
                <w:color w:val="auto"/>
              </w:rPr>
            </w:pPr>
          </w:p>
        </w:tc>
      </w:tr>
      <w:tr>
        <w:trPr>
          <w:trHeight w:val="216"/>
        </w:trPr>
        <w:tc>
          <w:tcPr>
            <w:tcW w:w="9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2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(618 )</w:t>
            </w:r>
          </w:p>
        </w:tc>
      </w:tr>
      <w:tr>
        <w:trPr>
          <w:trHeight w:val="216"/>
        </w:trPr>
        <w:tc>
          <w:tcPr>
            <w:tcW w:w="91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(270 )</w:t>
            </w:r>
          </w:p>
        </w:tc>
      </w:tr>
      <w:tr>
        <w:trPr>
          <w:trHeight w:val="249"/>
        </w:trPr>
        <w:tc>
          <w:tcPr>
            <w:tcW w:w="9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Issued and unvested, September 30, 2022</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w:t>
            </w:r>
          </w:p>
        </w:tc>
        <w:tc>
          <w:tcPr>
            <w:tcW w:w="2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grant performance-based restricted stock units (“PSUs”) to certain executives. Vesting of these PSUs is dependent upon achievement of certain performance-based metrics during a one-year or three-year period from the date of grant. Assuming achievement of each performance-based metric, the executive must also generally remain employed for three years from the grant date. If the one-year target is achieved, the PSUs will then vest three years from grant date. If the three-year target is achieved, the corresponding PSUs will then vest three years from grant date. PSUs are converted into shares of our common stock once vested.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of $840 and $1,471 related to PSUs was recognized during the nine months ended September 30, 2022 and 2021,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PSU activity for the nine months ended September 30,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00" w:type="dxa"/>
            <w:vAlign w:val="bottom"/>
          </w:tcPr>
          <w:p>
            <w:pPr>
              <w:spacing w:after="0"/>
              <w:rPr>
                <w:sz w:val="16"/>
                <w:szCs w:val="16"/>
                <w:color w:val="auto"/>
              </w:rPr>
            </w:pPr>
          </w:p>
        </w:tc>
        <w:tc>
          <w:tcPr>
            <w:tcW w:w="21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Units</w:t>
            </w:r>
          </w:p>
        </w:tc>
      </w:tr>
      <w:tr>
        <w:trPr>
          <w:trHeight w:val="210"/>
        </w:trPr>
        <w:tc>
          <w:tcPr>
            <w:tcW w:w="9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unvested, January 1, 2022</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80" w:type="dxa"/>
            <w:vAlign w:val="bottom"/>
            <w:shd w:val="clear" w:color="auto" w:fill="CFF0FC"/>
          </w:tcPr>
          <w:p>
            <w:pPr>
              <w:spacing w:after="0"/>
              <w:rPr>
                <w:sz w:val="18"/>
                <w:szCs w:val="18"/>
                <w:color w:val="auto"/>
              </w:rPr>
            </w:pPr>
          </w:p>
        </w:tc>
      </w:tr>
      <w:tr>
        <w:trPr>
          <w:trHeight w:val="216"/>
        </w:trPr>
        <w:tc>
          <w:tcPr>
            <w:tcW w:w="9100" w:type="dxa"/>
            <w:vAlign w:val="bottom"/>
          </w:tcPr>
          <w:p>
            <w:pPr>
              <w:ind w:left="200"/>
              <w:spacing w:after="0" w:line="216"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4"/>
                <w:szCs w:val="24"/>
                <w:color w:val="auto"/>
                <w:vertAlign w:val="superscript"/>
              </w:rPr>
              <w:t>(1)</w:t>
            </w:r>
          </w:p>
        </w:tc>
        <w:tc>
          <w:tcPr>
            <w:tcW w:w="1860" w:type="dxa"/>
            <w:vAlign w:val="bottom"/>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8"/>
                <w:szCs w:val="18"/>
                <w:color w:val="auto"/>
              </w:rPr>
            </w:pPr>
          </w:p>
        </w:tc>
      </w:tr>
      <w:tr>
        <w:trPr>
          <w:trHeight w:val="216"/>
        </w:trPr>
        <w:tc>
          <w:tcPr>
            <w:tcW w:w="9100" w:type="dxa"/>
            <w:vAlign w:val="bottom"/>
            <w:shd w:val="clear" w:color="auto" w:fill="CFF0FC"/>
          </w:tcPr>
          <w:p>
            <w:pPr>
              <w:ind w:left="200"/>
              <w:spacing w:after="0" w:line="216" w:lineRule="exact"/>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4"/>
                <w:szCs w:val="24"/>
                <w:color w:val="auto"/>
                <w:vertAlign w:val="superscript"/>
              </w:rPr>
              <w:t>(2)</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8"/>
                <w:szCs w:val="18"/>
                <w:color w:val="auto"/>
              </w:rPr>
            </w:pPr>
          </w:p>
        </w:tc>
      </w:tr>
      <w:tr>
        <w:trPr>
          <w:trHeight w:val="216"/>
        </w:trPr>
        <w:tc>
          <w:tcPr>
            <w:tcW w:w="9100" w:type="dxa"/>
            <w:vAlign w:val="bottom"/>
          </w:tcPr>
          <w:p>
            <w:pPr>
              <w:ind w:left="200"/>
              <w:spacing w:after="0"/>
              <w:rPr>
                <w:sz w:val="20"/>
                <w:szCs w:val="20"/>
                <w:color w:val="auto"/>
              </w:rPr>
            </w:pPr>
            <w:r>
              <w:rPr>
                <w:rFonts w:ascii="Arial" w:cs="Arial" w:eastAsia="Arial" w:hAnsi="Arial"/>
                <w:sz w:val="18"/>
                <w:szCs w:val="18"/>
                <w:color w:val="auto"/>
              </w:rPr>
              <w:t>Vested</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(207 )</w:t>
            </w:r>
          </w:p>
        </w:tc>
      </w:tr>
      <w:tr>
        <w:trPr>
          <w:trHeight w:val="216"/>
        </w:trPr>
        <w:tc>
          <w:tcPr>
            <w:tcW w:w="9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2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(200 )</w:t>
            </w:r>
          </w:p>
        </w:tc>
      </w:tr>
      <w:tr>
        <w:trPr>
          <w:trHeight w:val="210"/>
        </w:trPr>
        <w:tc>
          <w:tcPr>
            <w:tcW w:w="9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Issued and unvested, September 30, 2022</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80" w:type="dxa"/>
            <w:vAlign w:val="bottom"/>
            <w:tcBorders>
              <w:top w:val="single" w:sz="8" w:color="CFF0FC"/>
            </w:tcBorders>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41"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Grant activity for all PSUs disclosed at target</w:t>
      </w:r>
    </w:p>
    <w:p>
      <w:pPr>
        <w:spacing w:after="0" w:line="59"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Reflects the performance adjustment based on actual performance measured at the end of the performance period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5, 2008, our Board of Directors approved a share repurchase program pursuant to which we are permitted to acquire up to $25,000 of our outstanding common shares. No shares were purchased and retired during the nine months ended September 30, 2022 and 2021.</w:t>
      </w:r>
    </w:p>
    <w:p>
      <w:pPr>
        <w:spacing w:after="0" w:line="277"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costs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December 31, 2021, the Company's Board of Directors approved the termination of Stephen S. Tang, the Company’s former President and Chief Executive Officer, without cause under his existing employment agreement with the Company, with such termination effective as of March 31, 2022. On January 2, 2022, Dr. Tang and the Company entered into a transition agreement ("Transition Agreement") providing for the terms of the cessation of Dr. Tang’s employment with the Company, including the cessation of his service as President and Chief Executive Officer of the Company and as a member of the Board. Dr. Tang’s service to the Company in all capacities ended on March 31, 2022.</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Transition Agreement, Dr. Tang received severance of $1,569, which was accrued in the consolidated financial statements at December 31, 2021 and paid in April 2022. Additionally, in accordance with his Transition Agreement, certain of his unvested time-vesting restricted stock awards and unvested PSUs that were outstanding at March 31, 2022 vested on April 8, 2022. His remaining unvested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both"/>
        <w:spacing w:after="0" w:line="303" w:lineRule="auto"/>
        <w:rPr>
          <w:sz w:val="20"/>
          <w:szCs w:val="20"/>
          <w:color w:val="auto"/>
        </w:rPr>
      </w:pPr>
      <w:r>
        <w:rPr>
          <w:rFonts w:ascii="Arial" w:cs="Arial" w:eastAsia="Arial" w:hAnsi="Arial"/>
          <w:sz w:val="16"/>
          <w:szCs w:val="16"/>
          <w:color w:val="auto"/>
        </w:rPr>
        <w:t>time-vesting restricted stock awards and PSUs were forfeited on March 31, 2022. These payments, rights and benefits are substantially similar to the severance benefits contemplated by his previous employment agreement in respect to a termination without cause thereunder. In aggregate, we recognized a net $0 and $1,508 of expense in relation to Dr. Tang's stock compensation during the three and nine months ended September 30, 2022, respectively.</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April 1, 2022 the Company's Board of Directors appointed Nancy J. Gagliano, M.D., M.B.A., to serve as the Company’s Interim Chief Executive Officer. In connection therewith, the Company and Dr. Gagliano entered into an employment agreement, dated as of March 21, 2022 (the “Employment Agreement”). Pursuant to the Employment Agreement, on April 1, 2022, Dr. Gagliano began receiving a monthly base salary of $56 per month and was also granted a one-time award of fully vested shares of the Company’s common stock with a grant date fair value of $100. Additionally, she was granted a one-time restricted stock unit award with a grant date fair value of $670 scheduled to vest in twelve equal monthly installments starting in April through her employment term, of which $168 vested during the three months ended June 30, 2022 and the remainder was forfeited when her employment ceased in June 2022.</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May 20, 2022, the Company entered into an employment agreement with Carrie Eglinton Manner, and in connection therewith, the Company's Board of Directors appointed Ms. Eglinton Manner as the Company’s President and Chief Executive Officer, effective June 4, 2022 (the “Effective Date”). Pursuant to the employment agreement, Ms. Eglinton Manner’s initial annual base salary is $700 and she will participate in the Company’s annual incentive plan with a target annual incentive amount of at least 100% of her annual base salary. Additionally, she received inducement grants comprised of (i) a restricted stock unit award with a grant date fair value of $4,000, which vests on the second anniversary of the Effective Date (ii) a restricted stock award with a grant date fair value of $1,600, which vests annually starting on the first anniversary of the Effective Date and (iii) a PSU award, which will be subject to the same vesting and performance conditions as are applicable to the 2022 performance-based restricted stock unit awards granted to the Company’s other executive officers.</w:t>
      </w:r>
    </w:p>
    <w:p>
      <w:pPr>
        <w:spacing w:after="0" w:line="200" w:lineRule="exact"/>
        <w:rPr>
          <w:sz w:val="20"/>
          <w:szCs w:val="20"/>
          <w:color w:val="auto"/>
        </w:rPr>
      </w:pPr>
    </w:p>
    <w:p>
      <w:pPr>
        <w:spacing w:after="0" w:line="333"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three and nine months ended September 30, 2022, we recorded an income tax expense (benefit) of $(1,143) and $1,624, respectively. Tax expense for the nine months ended September 30, 2022 includes $1,683 of withholding tax paid on the repatriation of $65,000 of unremitted earnings from Canada to the United States. The remaining tax expense for the first nine months of 2022 is comprised of U.S. state income taxes of $379 and a foreign tax benefit of $438. During the three and nine months ended September 30, 2021, we recorded income tax expense of $2,102 and $12,241, respectively, which primarily consists of foreign tax expense. The decline in foreign tax expense in both periods of 2022 compared to 2021 is a result of the decrease in income before taxes generated by our Canadian subsidiary.</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our total deferred tax liability as of September 30, 2022 and December 31, 2021 relate to the tax effects of the basis difference between the intangible assets acquired in our acquisitions for financial reporting and for tax purposes along with basis differences arising from accelerated tax depreciation of fixed assets.</w:t>
      </w:r>
    </w:p>
    <w:p>
      <w:pPr>
        <w:spacing w:after="0" w:line="1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2008, we established a full valuation allowance against our U.S. deferred tax asset. Management believes the full valuation allowance is still appropriate at both September 30, 2022 and December 31, 2021 since the facts and circumstances necessitating the allowance have not changed.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2"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From time to time, we are involved in certain legal actions arising in the ordinary course of business. In management’s opinion, the outcomes of such actions, either individually or in the aggregate, are not expected to have a material adverse effect on our future financial position or results of operations.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and subsequently filed a request for review of the second patent at the Patent and Trademark Office. DNAG filed a motion to dismiss Spectrum’s counterclaims in October 2021, which was denied by the Court on March 30, 2022. Fact discovery is ongoing. The final pretrial conference is set for September 7, 2023.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3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business consists of two segments: our “Diagnostics” business, which primarily consists of the development, manufacture, and sale of rapid diagnostic tests used to determine if a person has a variety of infectious diseases including, HIV, HCV, and COVID-19. The Diagnostic business also manufactures and sells oral fluid substance abuse testing products. Our “Molecular Solutions” business is operated by our wholly-owned subsidiaries DNAG, Diversigen, and Novosanis. This segment of the business consists of the development, manufacture, and sale of kits that are used to collect, stabilize, transport and store a biological sample of genetic material for molecular testing. In addition, our Molecular Solutions business provides microbiome laboratory services.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organized our operating segments according to the nature of the products included in those segments. The accounting policies of the segments are the same as those described in the summary of significant accounting policies (see Note 1). We evaluate performance of our operating segments based on revenue and operating income. We do not allocate interest income, interest expense, other income, other expenses or income taxes to our operating segments. Inter-segment revenues and expenses are eliminated.</w:t>
      </w:r>
    </w:p>
    <w:p>
      <w:pPr>
        <w:spacing w:after="0" w:line="19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operating segment information for the three and nine months ended September 30, 2022 and 2021, and asset information as of September 30, 2022 and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69"/>
        </w:trPr>
        <w:tc>
          <w:tcPr>
            <w:tcW w:w="58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Diagnostics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97,651</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23,511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196,416</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57,368</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67,985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116,463</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53,917</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264,401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170,106</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Diagnostics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11,289</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(18,446 )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(20,274 )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(42,413 )</w:t>
            </w:r>
          </w:p>
        </w:tc>
      </w:tr>
      <w:tr>
        <w:trPr>
          <w:trHeight w:val="216"/>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(10,414 )</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(16,118 )</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41,620</w:t>
            </w:r>
          </w:p>
        </w:tc>
        <w:tc>
          <w:tcPr>
            <w:tcW w:w="100" w:type="dxa"/>
            <w:vAlign w:val="bottom"/>
            <w:shd w:val="clear" w:color="auto" w:fill="CFF0FC"/>
          </w:tcPr>
          <w:p>
            <w:pPr>
              <w:spacing w:after="0"/>
              <w:rPr>
                <w:sz w:val="18"/>
                <w:szCs w:val="18"/>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4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(13,013 )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(36,392 )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(793 )</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Diagnostics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2,112</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5,742</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4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8,479</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on impairment:</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Diagnostics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8,517</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4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6,559</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17,101</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40" w:type="dxa"/>
            <w:vAlign w:val="bottom"/>
          </w:tcPr>
          <w:p>
            <w:pPr>
              <w:ind w:left="200"/>
              <w:spacing w:after="0" w:line="216" w:lineRule="exact"/>
              <w:rPr>
                <w:sz w:val="20"/>
                <w:szCs w:val="20"/>
                <w:color w:val="auto"/>
              </w:rPr>
            </w:pPr>
            <w:r>
              <w:rPr>
                <w:rFonts w:ascii="Arial" w:cs="Arial" w:eastAsia="Arial" w:hAnsi="Arial"/>
                <w:sz w:val="18"/>
                <w:szCs w:val="18"/>
                <w:color w:val="auto"/>
              </w:rPr>
              <w:t>Diagnostics</w:t>
            </w:r>
            <w:r>
              <w:rPr>
                <w:rFonts w:ascii="Arial" w:cs="Arial" w:eastAsia="Arial" w:hAnsi="Arial"/>
                <w:sz w:val="24"/>
                <w:szCs w:val="2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2,212</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3,647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25,646</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19,797</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4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27,508</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-2502535</wp:posOffset>
            </wp:positionV>
            <wp:extent cx="685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-2502535</wp:posOffset>
            </wp:positionV>
            <wp:extent cx="6858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-2502535</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-1919605</wp:posOffset>
            </wp:positionV>
            <wp:extent cx="6858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-1919605</wp:posOffset>
            </wp:positionV>
            <wp:extent cx="685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-1919605</wp:posOffset>
            </wp:positionV>
            <wp:extent cx="685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-1336675</wp:posOffset>
            </wp:positionV>
            <wp:extent cx="6858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-1336675</wp:posOffset>
            </wp:positionV>
            <wp:extent cx="685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-1336675</wp:posOffset>
            </wp:positionV>
            <wp:extent cx="6858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-753745</wp:posOffset>
            </wp:positionV>
            <wp:extent cx="6858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-753745</wp:posOffset>
            </wp:positionV>
            <wp:extent cx="6858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-753745</wp:posOffset>
            </wp:positionV>
            <wp:extent cx="6858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6858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22" w:lineRule="exact"/>
        <w:rPr>
          <w:sz w:val="20"/>
          <w:szCs w:val="20"/>
          <w:color w:val="auto"/>
        </w:rPr>
      </w:pPr>
    </w:p>
    <w:p>
      <w:pPr>
        <w:ind w:right="120" w:firstLine="8"/>
        <w:spacing w:after="0" w:line="207" w:lineRule="auto"/>
        <w:tabs>
          <w:tab w:leader="none" w:pos="237"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Excludes $4,902 and $38,705 for purchases of property and equipment under government contracts for the three and nine months ended September 30, 2022,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337"/>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3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0"/>
              <w:spacing w:after="0"/>
              <w:rPr>
                <w:sz w:val="20"/>
                <w:szCs w:val="20"/>
                <w:color w:val="auto"/>
              </w:rPr>
            </w:pPr>
            <w:r>
              <w:rPr>
                <w:rFonts w:ascii="Arial" w:cs="Arial" w:eastAsia="Arial" w:hAnsi="Arial"/>
                <w:sz w:val="18"/>
                <w:szCs w:val="18"/>
                <w:color w:val="auto"/>
              </w:rPr>
              <w:t>Diagnostics</w:t>
            </w:r>
          </w:p>
        </w:tc>
        <w:tc>
          <w:tcPr>
            <w:tcW w:w="4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265,790</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209,674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37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166,418</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380"/>
              <w:spacing w:after="0"/>
              <w:rPr>
                <w:sz w:val="20"/>
                <w:szCs w:val="20"/>
                <w:color w:val="auto"/>
              </w:rPr>
            </w:pPr>
            <w:r>
              <w:rPr>
                <w:rFonts w:ascii="Arial" w:cs="Arial" w:eastAsia="Arial" w:hAnsi="Arial"/>
                <w:sz w:val="18"/>
                <w:szCs w:val="18"/>
                <w:color w:val="auto"/>
              </w:rPr>
              <w:t>Total</w:t>
            </w:r>
          </w:p>
        </w:tc>
        <w:tc>
          <w:tcPr>
            <w:tcW w:w="4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432,208</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460,990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760" w:type="dxa"/>
            <w:vAlign w:val="bottom"/>
            <w:vMerge w:val="restart"/>
          </w:tcPr>
          <w:p>
            <w:pPr>
              <w:jc w:val="right"/>
              <w:ind w:right="1550"/>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6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0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-779780</wp:posOffset>
            </wp:positionV>
            <wp:extent cx="7747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Statements below regarding future events or performance are “forward-looking statements” within the meaning of the Federal securities laws. These may include statements about our expected revenues, earnings, losses, expenses, or other financial performance, future product performance or development, expected regulatory filings and approvals, planned business transactions, expected manufacturing performance, views of future industry, competitive or market conditions, and other factors that could affect our future operations, results of operations or financial position. These statements often include words such as “believes,” “expects,” “anticipates,” “intends,” “plans,” “estimates,” “may,” “will,” “should,” “could,” or similar expressions. 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64"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market and sell products, whether through our internal, direct sales force or third parties;</w:t>
      </w:r>
    </w:p>
    <w:p>
      <w:pPr>
        <w:spacing w:after="0" w:line="10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fulfill our commitments under our contracts with the U.S. government for </w:t>
      </w:r>
      <w:r>
        <w:rPr>
          <w:rFonts w:ascii="Arial" w:cs="Arial" w:eastAsia="Arial" w:hAnsi="Arial"/>
          <w:sz w:val="18"/>
          <w:szCs w:val="18"/>
          <w:i w:val="1"/>
          <w:iCs w:val="1"/>
          <w:color w:val="0E101A"/>
        </w:rPr>
        <w:t>InteliSwab</w:t>
      </w:r>
      <w:r>
        <w:rPr>
          <w:rFonts w:ascii="Arial" w:cs="Arial" w:eastAsia="Arial" w:hAnsi="Arial"/>
          <w:sz w:val="24"/>
          <w:szCs w:val="24"/>
          <w:i w:val="1"/>
          <w:iCs w:val="1"/>
          <w:color w:val="0E101A"/>
          <w:vertAlign w:val="superscript"/>
        </w:rPr>
        <w:t>®</w:t>
      </w:r>
      <w:r>
        <w:rPr>
          <w:rFonts w:ascii="Arial" w:cs="Arial" w:eastAsia="Arial" w:hAnsi="Arial"/>
          <w:sz w:val="18"/>
          <w:szCs w:val="18"/>
          <w:i w:val="1"/>
          <w:iCs w:val="1"/>
          <w:color w:val="auto"/>
        </w:rPr>
        <w:t xml:space="preserve"> COVID-19 Rapid Tests;</w:t>
      </w:r>
    </w:p>
    <w:p>
      <w:pPr>
        <w:spacing w:after="0" w:line="5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impact of significant customer concentration in the genomics business;</w:t>
      </w:r>
    </w:p>
    <w:p>
      <w:pPr>
        <w:spacing w:after="0" w:line="12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successfully scale-up our manufacturing for </w:t>
      </w:r>
      <w:r>
        <w:rPr>
          <w:rFonts w:ascii="Arial" w:cs="Arial" w:eastAsia="Arial" w:hAnsi="Arial"/>
          <w:sz w:val="18"/>
          <w:szCs w:val="18"/>
          <w:i w:val="1"/>
          <w:iCs w:val="1"/>
          <w:color w:val="0E101A"/>
        </w:rPr>
        <w:t>InteliSwab</w:t>
      </w:r>
      <w:r>
        <w:rPr>
          <w:rFonts w:ascii="Arial" w:cs="Arial" w:eastAsia="Arial" w:hAnsi="Arial"/>
          <w:sz w:val="24"/>
          <w:szCs w:val="24"/>
          <w:i w:val="1"/>
          <w:iCs w:val="1"/>
          <w:color w:val="0E101A"/>
          <w:vertAlign w:val="superscript"/>
        </w:rPr>
        <w:t>®</w:t>
      </w:r>
      <w:r>
        <w:rPr>
          <w:rFonts w:ascii="Arial" w:cs="Arial" w:eastAsia="Arial" w:hAnsi="Arial"/>
          <w:sz w:val="18"/>
          <w:szCs w:val="18"/>
          <w:i w:val="1"/>
          <w:iCs w:val="1"/>
          <w:color w:val="auto"/>
        </w:rPr>
        <w:t>COVID-19 Rapid Tests;</w:t>
      </w:r>
    </w:p>
    <w:p>
      <w:pPr>
        <w:spacing w:after="0" w:line="5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failure of distributors or other customers to meet purchase forecasts, historic purchase levels or minimum purchase requirements for our products;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our ability to manufacture products in accordance with applicable specifications, performance standards and quality requirements;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obtain, and timing and cost of obtaining, necessary regulatory approvals for new products or new indications or applications for existing products;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comply with applicable regulatory requirements;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effectively resolve warning letters, audit observations and other findings or comments from the U.S. Food and Drug Administration (or “FDA”), or other regulators;</w:t>
      </w:r>
    </w:p>
    <w:p>
      <w:pPr>
        <w:spacing w:after="0" w:line="7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potential impact of healthcare reform in the United States, including the Inflation Reduction Act of 2022, and measures being taken worldwide designed to reduce healthcare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impact of the COVID-19 pandemic on our business and labor force and supply chain;</w:t>
      </w:r>
    </w:p>
    <w:p>
      <w:pPr>
        <w:spacing w:after="0" w:line="117"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successfully develop new products, validate the expanded use of existing collector products, receive necessary regulatory approvals and authorizations, transport work-in-process goods and finished products and commercialize such products for COVID-19 testing;</w:t>
      </w:r>
    </w:p>
    <w:p>
      <w:pPr>
        <w:spacing w:after="0" w:line="7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changes in relationships, including disputes or disagreements, with strategic partners or other parties and reliance on strategic partners for the performance of critical activities under collaborative arrangements;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meet increased demand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diversify our customer base;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impact of replacing distributors on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inventory levels at distributors and other customers;</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achieve our financial and strategic objectives and continue to increase our revenues, including the ability to expand international sales;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impact of competitors, competing products and technology changes on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reduction or deferral of public funding available to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competition from new or better technology or lower cost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develop, commercialize and market new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market acceptance of oral fluid or urine testing, collection or other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market acceptance and uptake of microbiome informatics, microbial genetics technology and related analytics services;</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changes in market acceptance of products based on product performance or other factors, including changes in testing guidelines, algorithms or other recommendations by the Centers for Disease Control and Prevention, or (the “CDC”) or other agencies; ability to fund research and development and other products and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new or existing product distribution channels;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reliance on sole supply sources for critical products and components;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availability of related products produced by third parties or products required for use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impact of contracting with the U.S. government on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impact of negative economic conditions on our business; including as a result of inflation, hostilities or war;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achieve and maintain sustained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increase our gross margins;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utilize net operating loss carry forwards or other deferred tax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volatility of our stock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uncertainty relating to patent protection and potential patent infringement claims;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uncertainty and costs of litigation relating to patents and other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availability of licenses to patents or other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enter into international manufacturing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obstacles to international marketing and manufacturing of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sell products internationally, including the impact of changes in international funding sources and testing algorithms;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adverse movements in foreign currency exchange rates;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loss or impairment of sources of capital;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qualified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exposure to product liability and other types of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changes in international, federal or state laws and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customer consolidations and inventory practices;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equipment failures and ability to obtain needed raw materials and components;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general political, business and economic conditions.</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These and other factors that could affect our results are discussed more fully in our Securities and Exchange Commission (“SEC”) filings, including our registration statements, Annual Report on Form 10-K for the year ended December 31, 2021, Quarterly Reports on Form 10-Q, and other filings with the SEC.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we undertake no duty to update these statements</w:t>
      </w:r>
      <w:r>
        <w:rPr>
          <w:rFonts w:ascii="Arial" w:cs="Arial" w:eastAsia="Arial" w:hAnsi="Arial"/>
          <w:sz w:val="18"/>
          <w:szCs w:val="18"/>
          <w:b w:val="1"/>
          <w:bCs w:val="1"/>
          <w:i w:val="1"/>
          <w:iCs w:val="1"/>
          <w:color w:val="auto"/>
        </w:rPr>
        <w:t>.</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Investors should also be aware that while we do, from time to time, communicate with securities analysts, it is against our policy to disclose any material non-public information or other confidential commercial information. Accordingly, stockholders should not assume that we agree with any statement or report issued by any analyst irrespective of the content of the statement or report. Furthermore, we have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19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discussion should be read in conjunction with our consolidated financial statements contained herein and the notes thereto, along with the Section entitled “Critical Accounting Policies and Estimates,” set forth below.</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Overview and Business Segments</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overall goal of our Company is to empower the global community to improve health and wellness by providing access to accurate essential information. Our business consists of two segments: our “Diagnostics” segment and our “Molecular Solutions” segment.</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Our Diagnostics business primarily consists of the development, manufacture, marketing and sale of simple, easy to use diagnostic products and specimen collection devices using our proprietary technologies, as well as other diagnostic products including immunoassays and other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tests that are used on other specimen types. The Diagnostics business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COVID-19 and HIV products are also sold in a consumer-friendly format in the over-the-counter (“OTC”) market in the U.S. and, in the case of the HIV product, as a self-test to individuals in a number of other countries. Through our Diagnostics business we are also developing and commercializing products that measure adherence to HIV medications including pre-exposure prophylaxis ("PrEP"), the daily medication to prevent HIV, and anti-retroviral medications to suppress HIV. These products include laboratory-based tests that can measure levels of the medications in a patient’s urine or blood, as well as point-of-care products currently in development. We began recording revenues on the sales of our InteliSwab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Rapid Tests during the third quarter of 2021.</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0E101A"/>
        </w:rPr>
        <w:t>Our Molecular Solutions business is operated by our wholly-owned subsidiaries, DNA Genotek Inc. ("DNAG"), Diversigen, Inc. ('Diversigen"), and Novosanis NV ("Novosanis"). Our Molecular Solutions business sells its products and services directly to its customers, primarily through its internal sales force in the U.S. domestic market, and in many international markets, also through distributors. Our products primarily consist of collection kits and services used by clinical laboratories, direct-to-consumer laboratories, researchers, pharmaceutical companies, and animal health service and product providers. Most of our Molecular Solutions revenues are derived from product sales to commercial customers and sales into the academic and research markets. A significant portion of our total sales is from repeat customers in both markets. Molecular Solutions customers span the disease risk management, diagnostics, pharmaceutical, biotech, companion animal and environmental markets.</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0E101A"/>
        </w:rPr>
        <w:t>In 2020, we expanded the market focus of our Molecular Solutions business by selling existing collection products for use with COVID-19 tests. In 2022, demand for COVID-19 PCR testing has declined driven by the availability of antigen tests and the wider availability of vaccines, thereby negatively impacting the sales of the collection products. We have also developed collection devices for the emerging microbiome market, which focuses on studying microbiomes and their effect on human and animal health.</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0E101A"/>
        </w:rPr>
        <w:t>Our Molecular Solutions segment includes the Colli-Pee</w:t>
      </w:r>
      <w:r>
        <w:rPr>
          <w:rFonts w:ascii="Arial" w:cs="Arial" w:eastAsia="Arial" w:hAnsi="Arial"/>
          <w:sz w:val="21"/>
          <w:szCs w:val="21"/>
          <w:color w:val="0E101A"/>
          <w:vertAlign w:val="superscript"/>
        </w:rPr>
        <w:t>®</w:t>
      </w:r>
      <w:r>
        <w:rPr>
          <w:rFonts w:ascii="Arial" w:cs="Arial" w:eastAsia="Arial" w:hAnsi="Arial"/>
          <w:sz w:val="16"/>
          <w:szCs w:val="16"/>
          <w:color w:val="0E101A"/>
        </w:rPr>
        <w:t xml:space="preserve"> device, developed and sold by our Novosanis subsidiary, for the volumetric collection of first void urine. This product is in its early stages, and initial sales are occurring primarily through distributors and collaborations in the liquid biopsy and sexually transmitted disease markets. Our Molecular Solutions business also offers laboratory and analytical services for both genomics and microbiome customers to more fully meet their needs. These services are primarily provided to pharmaceutical, biotech companies, and research institutions.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COVID-19 continues to impact the economy of the United States and other countries around the world, we are committed to being a part of the response to this unprecedented challenge. We have made substantial investments to expand our operations in order to manufacture product used for COVID-19 testing in the United States.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Due to COVID-19, we have experienced volatility, including periods of material decline compared to prior year periods in testing volume of our base business (which excludes COVID-19 testing) and periods of significant demand for our COVID-19 testing product, with demand generally fluctuating in line with changes in prevalence of the virus and related variants. While demand for our COVID-19 PCR testing has declined in 2022, it is difficult for us to predict the duration or magnitude of the outbreak’s effects on our business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BARDA Funding for Ebola Product</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September 2022, we entered into an agreement with Biomedical Advanced Research and Development Authority ("BARDA"), which is part of the office of the Assistant Secretary for Preparedness and Response at the U.S. Department of Health and Human Services ("HHS"), pursuant to which BARDA will provide up to $8.6 million in funding to us to develop a 2nd generation Ebola test on the OraQuick® testing platform. Our current OraQuick® Ebola Rapid Antigen Test is de novo authorized for use with whole blood or cadaveric oral fluid. The test received de novo authorization from the FDA in 2019, making it the first and only rapid antigen test to receive authorization for the detection of Ebola virus.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Contract for In-Home HIV Tests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1" w:name="page22"/>
    <w:bookmarkEnd w:id="21"/>
    <w:p>
      <w:pPr>
        <w:jc w:val="both"/>
        <w:spacing w:after="0" w:line="243" w:lineRule="auto"/>
        <w:rPr>
          <w:sz w:val="20"/>
          <w:szCs w:val="20"/>
          <w:color w:val="auto"/>
        </w:rPr>
      </w:pPr>
      <w:r>
        <w:rPr>
          <w:rFonts w:ascii="Arial" w:cs="Arial" w:eastAsia="Arial" w:hAnsi="Arial"/>
          <w:sz w:val="18"/>
          <w:szCs w:val="18"/>
          <w:color w:val="auto"/>
        </w:rPr>
        <w:t>In September 2022, we were selected to provide our OraQuick® In-Home HIV tests in support of the Centers for Disease Control and Preventions (CDC) “Together Take Me Home,” HIV self-test program. Under the program, the CDC will provide $41.5 million over a five-year period to support community testing. Emory University will manage the program and closely collaborate with a number of partner organizations, including OraSure, to supply tests to communities not equitably reached by HIV testing services across the United States.</w:t>
      </w:r>
    </w:p>
    <w:p>
      <w:pPr>
        <w:spacing w:after="0" w:line="1" w:lineRule="exact"/>
        <w:rPr>
          <w:sz w:val="20"/>
          <w:szCs w:val="20"/>
          <w:color w:val="auto"/>
        </w:rPr>
      </w:pPr>
    </w:p>
    <w:p>
      <w:pPr>
        <w:jc w:val="both"/>
        <w:ind w:firstLine="64"/>
        <w:spacing w:after="0" w:line="242" w:lineRule="auto"/>
        <w:rPr>
          <w:sz w:val="20"/>
          <w:szCs w:val="20"/>
          <w:color w:val="auto"/>
        </w:rPr>
      </w:pPr>
      <w:r>
        <w:rPr>
          <w:rFonts w:ascii="Arial" w:cs="Arial" w:eastAsia="Arial" w:hAnsi="Arial"/>
          <w:sz w:val="18"/>
          <w:szCs w:val="18"/>
          <w:color w:val="auto"/>
        </w:rPr>
        <w:t>Under the "Together Take Me Home" HIV self-test program, we will provide up to 1 million OraQuick® In-Home HIV tests over a five-year period. Emory University and partner organizations will manage the program and provide logistical and distribution services for the tests. A free HIV self-test will be mailed in discreet packages to people who enroll through its website. The program will target populations that are disproportionately affected by HIV and less likely to have access to key prevention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Consolidated Financial Results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During the nine months ended September 30, 2022, our consolidated net revenues increased 55% to $264.4 million, compared to $170.1 million for the nine months ended September 30, 2021. Net product and services revenues during the nine months ended September 30, 2022 increased 55% when compared to the same period of 2021, largely due to $144.8 million of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revenues recorded in the first nine months of 2022 compared to $7.9 million of revenue in the comparable period of 2021. We first began selling this product in August of 2021. Also contributing to the increased revenues were higher domestic sales of our HCV product and higher overall sales of our substance abuse testing and Colli-Pee® products. Declines in sales of our molecular sample collection kits for COVID-19 testing, lower laboratory services revenues, and a decline in international sales of our HIV products partially offset these positive drivers of revenue. Other revenues for the nine months ended September 30, 2022 were $7.2 million compared to $4.6 million in the same period of 2021. This increase was largely due to higher research and development funding associated with our InteliSwab® COVID-19 rapid test offset by a decrease in royalty income.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consolidated net loss for the nine months ended September 30, 2022 was $33.5 million, or $0.46 per share on a fully diluted basis, compared to a consolidated net loss of $12.6 million, or $0.18 per share on a fully diluted basis, for the nine months ended September 30, 2021. Results for the nine months ended September 30, 2022 were impacted by lower gross margins rates caused by an unfavorable product mix of higher sales of lower margin products, increases in inventory reserves associated with excess inventory levels and manufacturing inefficiencies that occurred in the first quarter of 2022, lower absorption of labor costs that also occurred in the first half of 2022 and the absence of the Gates subsidy which expired in June 2021. Also contributing to our net loss is an increase in operating expense as a result of impairment charges taken on idle manufacturing lines and goodwill, higher legal fees, severance charges and accelerated stock compensation expense associated with our CEO transition and termination of our general counsel, increased staffing costs due to overall higher headcount, and nonrecurring costs associated with our strategic alternatives process.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used in operating activities during the nine months ended September 30, 2022 was $29.2 million compared to cash used in operating activities during the nine months ended September 30, 2021 of $22.6 million. During the first nine months of 2022, our cash flow used in operating activities increased as a result of our net loss and increased working capital requirements as we scaled our InteliSwab® manufacturing capacity to meet higher demand. As of September 30, 2022, we had $101.6 million in cash, cash equivalents and available-for-sale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September 30, 2021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NET REVENUES</w:t>
      </w:r>
    </w:p>
    <w:p>
      <w:pPr>
        <w:spacing w:after="0" w:line="22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table below shows a breakdown of total consolidated net revenues (dollars in thousands) generated by each of our business segments during the three months ended September 30, 2022 and 2021.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55"/>
              <w:spacing w:after="0"/>
              <w:rPr>
                <w:sz w:val="20"/>
                <w:szCs w:val="20"/>
                <w:color w:val="auto"/>
              </w:rPr>
            </w:pPr>
            <w:r>
              <w:rPr>
                <w:rFonts w:ascii="Arial" w:cs="Arial" w:eastAsia="Arial" w:hAnsi="Arial"/>
                <w:sz w:val="14"/>
                <w:szCs w:val="14"/>
                <w:b w:val="1"/>
                <w:bCs w:val="1"/>
                <w:color w:val="auto"/>
              </w:rPr>
              <w:t>For the Three Months Ended September 30,</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Dollars</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80" w:type="dxa"/>
            <w:vAlign w:val="bottom"/>
          </w:tcPr>
          <w:p>
            <w:pPr>
              <w:spacing w:after="0"/>
              <w:rPr>
                <w:sz w:val="14"/>
                <w:szCs w:val="14"/>
                <w:color w:val="auto"/>
              </w:rPr>
            </w:pPr>
          </w:p>
        </w:tc>
      </w:tr>
      <w:tr>
        <w:trPr>
          <w:trHeight w:val="169"/>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4"/>
                <w:szCs w:val="14"/>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9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r>
      <w:tr>
        <w:trPr>
          <w:trHeight w:val="210"/>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Diagnostics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94,402</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23,281</w:t>
            </w: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Molecular Solutions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29,948</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(38 )</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r>
      <w:tr>
        <w:trPr>
          <w:trHeight w:val="210"/>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product and services revenues</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112,821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r>
      <w:tr>
        <w:trPr>
          <w:trHeight w:val="250"/>
        </w:trPr>
        <w:tc>
          <w:tcPr>
            <w:tcW w:w="5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116,463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53,917</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-24765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 xml:space="preserve">Consolidated net product and services revenues increased 112% to $112.8 million for the three months ended September 30, 2022 from $53.2 million for the three months ended September 30, 2021. </w:t>
      </w:r>
      <w:r>
        <w:rPr>
          <w:rFonts w:ascii="Arial" w:cs="Arial" w:eastAsia="Arial" w:hAnsi="Arial"/>
          <w:sz w:val="17"/>
          <w:szCs w:val="17"/>
          <w:color w:val="212529"/>
        </w:rPr>
        <w:t>The increase in revenues is</w:t>
      </w:r>
      <w:r>
        <w:rPr>
          <w:rFonts w:ascii="Arial" w:cs="Arial" w:eastAsia="Arial" w:hAnsi="Arial"/>
          <w:sz w:val="17"/>
          <w:szCs w:val="17"/>
          <w:color w:val="auto"/>
        </w:rPr>
        <w:t xml:space="preserve"> largely due to $79.6 million of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revenues in the third quarter of 2022 compared to $7.7 million in the third quarter of 2021. We first began selling this product in August of 2021. Higher sales of our HCV product also contributed to the increased revenues. Declines in revenues across all other product lines partially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offset this positive driver of revenue. Other revenues for the three months ended September 30, 2022 increased 429% to $3.6 million from $688,000 for</w:t>
      </w:r>
    </w:p>
    <w:p>
      <w:pPr>
        <w:spacing w:after="0" w:line="4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three months ended September 30, 2021 due to higher research and development funding associated with the development of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Consolidated net revenues derived from products sold to customers outside of the United States were $7.5 million and $10.9 million, or 6% and 20% of total net revenues, for the three months ended September 30, 2022 and 2021, respectively. Because the majority of our international sales are denominated in U.S. dollars, the impact of fluctuating foreign currency exchange rates was not material to our total consolidated net revenues.</w:t>
      </w:r>
    </w:p>
    <w:p>
      <w:pPr>
        <w:spacing w:after="0" w:line="262" w:lineRule="exact"/>
        <w:rPr>
          <w:sz w:val="20"/>
          <w:szCs w:val="20"/>
          <w:color w:val="auto"/>
        </w:rPr>
      </w:pPr>
    </w:p>
    <w:p>
      <w:pPr>
        <w:jc w:val="right"/>
        <w:ind w:right="9240"/>
        <w:spacing w:after="0"/>
        <w:rPr>
          <w:sz w:val="20"/>
          <w:szCs w:val="20"/>
          <w:color w:val="auto"/>
        </w:rPr>
      </w:pPr>
      <w:r>
        <w:rPr>
          <w:rFonts w:ascii="Arial" w:cs="Arial" w:eastAsia="Arial" w:hAnsi="Arial"/>
          <w:sz w:val="15"/>
          <w:szCs w:val="15"/>
          <w:b w:val="1"/>
          <w:bCs w:val="1"/>
          <w:u w:val="single" w:color="auto"/>
          <w:color w:val="auto"/>
        </w:rPr>
        <w:t>Net Revenues by Segment</w:t>
      </w:r>
    </w:p>
    <w:p>
      <w:pPr>
        <w:spacing w:after="0" w:line="156" w:lineRule="exact"/>
        <w:rPr>
          <w:sz w:val="20"/>
          <w:szCs w:val="20"/>
          <w:color w:val="auto"/>
        </w:rPr>
      </w:pPr>
    </w:p>
    <w:p>
      <w:pPr>
        <w:jc w:val="right"/>
        <w:ind w:right="920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a breakdown of total net revenues (dollars in thousands) generated by our Diagnostics segment during the three months ended September 30,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4"/>
                <w:szCs w:val="14"/>
                <w:b w:val="1"/>
                <w:bCs w:val="1"/>
                <w:color w:val="auto"/>
                <w:w w:val="99"/>
              </w:rPr>
              <w:t>For the Three Months Ended September 30,</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Dollars</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w w:val="97"/>
              </w:rPr>
              <w:t>Percentage of Total Net Revenues</w:t>
            </w:r>
          </w:p>
        </w:tc>
        <w:tc>
          <w:tcPr>
            <w:tcW w:w="2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3"/>
                <w:szCs w:val="13"/>
                <w:color w:val="auto"/>
              </w:rPr>
            </w:pPr>
          </w:p>
        </w:tc>
        <w:tc>
          <w:tcPr>
            <w:tcW w:w="74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c>
          <w:tcPr>
            <w:tcW w:w="96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3"/>
                <w:szCs w:val="13"/>
                <w:color w:val="auto"/>
              </w:rPr>
            </w:pPr>
          </w:p>
        </w:tc>
        <w:tc>
          <w:tcPr>
            <w:tcW w:w="102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Infectious disease testing:</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COVID-19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79,559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06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12,932</w:t>
            </w:r>
          </w:p>
        </w:tc>
        <w:tc>
          <w:tcPr>
            <w:tcW w:w="11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(5 )</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Total infectious disease testing</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91,807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r>
      <w:tr>
        <w:trPr>
          <w:trHeight w:val="216"/>
        </w:trPr>
        <w:tc>
          <w:tcPr>
            <w:tcW w:w="50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Substance abuse testing</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11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(3 )</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Net product revenues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94,402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r>
      <w:tr>
        <w:trPr>
          <w:trHeight w:val="216"/>
        </w:trPr>
        <w:tc>
          <w:tcPr>
            <w:tcW w:w="50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97,651</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-736600</wp:posOffset>
            </wp:positionV>
            <wp:extent cx="7747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-736600</wp:posOffset>
            </wp:positionV>
            <wp:extent cx="7747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-736600</wp:posOffset>
            </wp:positionV>
            <wp:extent cx="68580"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-736600</wp:posOffset>
            </wp:positionV>
            <wp:extent cx="68580" cy="145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-454025</wp:posOffset>
            </wp:positionV>
            <wp:extent cx="7747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-454025</wp:posOffset>
            </wp:positionV>
            <wp:extent cx="77470" cy="146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-454025</wp:posOffset>
            </wp:positionV>
            <wp:extent cx="68580"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-454025</wp:posOffset>
            </wp:positionV>
            <wp:extent cx="6858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-170815</wp:posOffset>
            </wp:positionV>
            <wp:extent cx="7747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-170815</wp:posOffset>
            </wp:positionV>
            <wp:extent cx="7747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Testing Market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COVID-19 revenues were $79.6 million for the three months ended September 30, 2022, driven by sales of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We first began selling this product in August of 2021.</w:t>
      </w:r>
    </w:p>
    <w:p>
      <w:pPr>
        <w:spacing w:after="0" w:line="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Sales to the other infectious disease testing markets decreased 5% to $12.2 million for the three months ended September 30, 2022 from $12.9 million for the three months ended September 30, 2021. This decrease resulted from lower international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product offset by increased domestic sales of the same product and higher world-wide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product sales.</w:t>
      </w:r>
    </w:p>
    <w:p>
      <w:pPr>
        <w:spacing w:after="0" w:line="119"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The table below shows a breakdown of our total net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 revenues (dollars in thousands) during the three months ended September 30, 2022 and 2021.</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8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Domestic HIV</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International HIV</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(32 )</w:t>
            </w:r>
          </w:p>
        </w:tc>
        <w:tc>
          <w:tcPr>
            <w:tcW w:w="180" w:type="dxa"/>
            <w:vAlign w:val="bottom"/>
          </w:tcPr>
          <w:p>
            <w:pPr>
              <w:spacing w:after="0"/>
              <w:rPr>
                <w:sz w:val="18"/>
                <w:szCs w:val="18"/>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65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Net HIV revenues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9,054</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10,022</w:t>
            </w:r>
          </w:p>
        </w:tc>
        <w:tc>
          <w:tcPr>
            <w:tcW w:w="16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(10 )</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Domestic HCV</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International HCV</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ind w:left="180"/>
              <w:spacing w:after="0"/>
              <w:rPr>
                <w:sz w:val="20"/>
                <w:szCs w:val="20"/>
                <w:color w:val="auto"/>
              </w:rPr>
            </w:pPr>
            <w:r>
              <w:rPr>
                <w:rFonts w:ascii="Arial" w:cs="Arial" w:eastAsia="Arial" w:hAnsi="Arial"/>
                <w:sz w:val="18"/>
                <w:szCs w:val="18"/>
                <w:color w:val="auto"/>
              </w:rPr>
              <w:t>Net HCV revenues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0"/>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Net OraQuick®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12,288</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12,737</w:t>
            </w:r>
          </w:p>
        </w:tc>
        <w:tc>
          <w:tcPr>
            <w:tcW w:w="1820" w:type="dxa"/>
            <w:vAlign w:val="bottom"/>
            <w:tcBorders>
              <w:bottom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(4 )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-599440</wp:posOffset>
            </wp:positionV>
            <wp:extent cx="76835"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-599440</wp:posOffset>
            </wp:positionV>
            <wp:extent cx="68580"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-316865</wp:posOffset>
            </wp:positionV>
            <wp:extent cx="76835"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6858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sales increased 34% to $4.6 million for the three months ended September 30, 2022 from $3.4 million for the three months ended September 30, 2021, primarily as a result of an increase in new customers driven by our distributor channel and an increase in sales of our OraQuick® In-Home HIV test sold to public health agencies as demand shifts from in-person testing to in-home testing.</w:t>
      </w:r>
    </w:p>
    <w:p>
      <w:pPr>
        <w:spacing w:after="0" w:line="195"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International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tests decreased 32% to $4.4 million for the three months ended September 30, 2022 from $6.6 million for the three months ended September 30, 2021 largely due to customer ordering patterns.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jc w:val="both"/>
        <w:ind w:right="20"/>
        <w:spacing w:after="0" w:line="226"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remained largely flat at $1.9 million for the three months ended September 30, 2022 compared to $1.8 million for the three months ended September 30, 2021.</w:t>
      </w:r>
    </w:p>
    <w:p>
      <w:pPr>
        <w:spacing w:after="0" w:line="193"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54 % to $1.4 million for the three months ended September 30, 2022 compared to $888,000 for the three months ended September 30, 2021 due to a recovery in ordering by certain countries post the COVID-19 impact.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Substance Abuse Testing Market</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to the substance abuse testing assessment market remained largely flat at $2.6 million for the three months ended September 30, 2022 compared to $2.7 million for the three months ended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Other revenues for the three months ended September 30, 2022 increased to $3.2 million from $230,000 for the three months ended September 30, 2021, due to higher research and development funding associated with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a breakdown of our total net revenues (dollars in thousands) during the three months ended September 30, 2022 and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60" w:type="dxa"/>
            <w:vAlign w:val="bottom"/>
            <w:gridSpan w:val="7"/>
          </w:tcPr>
          <w:p>
            <w:pPr>
              <w:jc w:val="right"/>
              <w:ind w:right="1030"/>
              <w:spacing w:after="0"/>
              <w:rPr>
                <w:sz w:val="20"/>
                <w:szCs w:val="20"/>
                <w:color w:val="auto"/>
              </w:rPr>
            </w:pPr>
            <w:r>
              <w:rPr>
                <w:rFonts w:ascii="Arial" w:cs="Arial" w:eastAsia="Arial" w:hAnsi="Arial"/>
                <w:sz w:val="14"/>
                <w:szCs w:val="14"/>
                <w:b w:val="1"/>
                <w:bCs w:val="1"/>
                <w:color w:val="auto"/>
              </w:rPr>
              <w:t>For the Three Months Ended September 30,</w:t>
            </w:r>
          </w:p>
        </w:tc>
      </w:tr>
      <w:tr>
        <w:trPr>
          <w:trHeight w:val="155"/>
        </w:trPr>
        <w:tc>
          <w:tcPr>
            <w:tcW w:w="20" w:type="dxa"/>
            <w:vAlign w:val="bottom"/>
          </w:tcPr>
          <w:p>
            <w:pPr>
              <w:spacing w:after="0"/>
              <w:rPr>
                <w:sz w:val="13"/>
                <w:szCs w:val="13"/>
                <w:color w:val="auto"/>
              </w:rPr>
            </w:pPr>
          </w:p>
        </w:tc>
        <w:tc>
          <w:tcPr>
            <w:tcW w:w="6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Genomics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19,018</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w:t>
            </w:r>
          </w:p>
        </w:tc>
      </w:tr>
      <w:tr>
        <w:trPr>
          <w:trHeight w:val="216"/>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Microbiome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r>
      <w:tr>
        <w:trPr>
          <w:trHeight w:val="216"/>
        </w:trPr>
        <w:tc>
          <w:tcPr>
            <w:tcW w:w="65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COVID-19</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6,255</w:t>
            </w:r>
          </w:p>
        </w:tc>
        <w:tc>
          <w:tcPr>
            <w:tcW w:w="184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(94 )</w:t>
            </w:r>
          </w:p>
        </w:tc>
      </w:tr>
      <w:tr>
        <w:trPr>
          <w:trHeight w:val="216"/>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Laboratory services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2,406</w:t>
            </w:r>
          </w:p>
        </w:tc>
        <w:tc>
          <w:tcPr>
            <w:tcW w:w="1840" w:type="dxa"/>
            <w:vAlign w:val="bottom"/>
            <w:gridSpan w:val="3"/>
          </w:tcPr>
          <w:p>
            <w:pPr>
              <w:jc w:val="right"/>
              <w:ind w:right="110"/>
              <w:spacing w:after="0"/>
              <w:rPr>
                <w:sz w:val="20"/>
                <w:szCs w:val="20"/>
                <w:color w:val="auto"/>
              </w:rPr>
            </w:pPr>
            <w:r>
              <w:rPr>
                <w:rFonts w:ascii="Arial" w:cs="Arial" w:eastAsia="Arial" w:hAnsi="Arial"/>
                <w:sz w:val="18"/>
                <w:szCs w:val="18"/>
                <w:color w:val="auto"/>
              </w:rPr>
              <w:t>(19 )</w:t>
            </w:r>
          </w:p>
        </w:tc>
      </w:tr>
      <w:tr>
        <w:trPr>
          <w:trHeight w:val="216"/>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 product and service revenues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840" w:type="dxa"/>
            <w:vAlign w:val="bottom"/>
            <w:tcBorders>
              <w:bottom w:val="single" w:sz="8" w:color="CFF0FC"/>
            </w:tcBorders>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(38 )</w:t>
            </w:r>
          </w:p>
        </w:tc>
      </w:tr>
      <w:tr>
        <w:trPr>
          <w:trHeight w:val="209"/>
        </w:trPr>
        <w:tc>
          <w:tcPr>
            <w:tcW w:w="20" w:type="dxa"/>
            <w:vAlign w:val="bottom"/>
          </w:tcPr>
          <w:p>
            <w:pPr>
              <w:spacing w:after="0"/>
              <w:rPr>
                <w:sz w:val="18"/>
                <w:szCs w:val="18"/>
                <w:color w:val="auto"/>
              </w:rPr>
            </w:pPr>
          </w:p>
        </w:tc>
        <w:tc>
          <w:tcPr>
            <w:tcW w:w="6560" w:type="dxa"/>
            <w:vAlign w:val="bottom"/>
            <w:gridSpan w:val="2"/>
          </w:tcPr>
          <w:p>
            <w:pPr>
              <w:ind w:left="180"/>
              <w:spacing w:after="0"/>
              <w:rPr>
                <w:sz w:val="20"/>
                <w:szCs w:val="20"/>
                <w:color w:val="auto"/>
              </w:rPr>
            </w:pPr>
            <w:r>
              <w:rPr>
                <w:rFonts w:ascii="Arial" w:cs="Arial" w:eastAsia="Arial" w:hAnsi="Arial"/>
                <w:sz w:val="18"/>
                <w:szCs w:val="18"/>
                <w:color w:val="auto"/>
              </w:rPr>
              <w:t>Net molecular product and services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18,419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29,948</w:t>
            </w:r>
          </w:p>
        </w:tc>
        <w:tc>
          <w:tcPr>
            <w:tcW w:w="1840" w:type="dxa"/>
            <w:vAlign w:val="bottom"/>
            <w:gridSpan w:val="3"/>
          </w:tcPr>
          <w:p>
            <w:pPr>
              <w:jc w:val="right"/>
              <w:ind w:right="110"/>
              <w:spacing w:after="0"/>
              <w:rPr>
                <w:sz w:val="20"/>
                <w:szCs w:val="20"/>
                <w:color w:val="auto"/>
              </w:rPr>
            </w:pPr>
            <w:r>
              <w:rPr>
                <w:rFonts w:ascii="Arial" w:cs="Arial" w:eastAsia="Arial" w:hAnsi="Arial"/>
                <w:sz w:val="18"/>
                <w:szCs w:val="18"/>
                <w:color w:val="auto"/>
              </w:rPr>
              <w:t>(38 )</w:t>
            </w:r>
          </w:p>
        </w:tc>
      </w:tr>
      <w:tr>
        <w:trPr>
          <w:trHeight w:val="216"/>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840" w:type="dxa"/>
            <w:vAlign w:val="bottom"/>
            <w:tcBorders>
              <w:bottom w:val="single" w:sz="8" w:color="CFF0FC"/>
            </w:tcBorders>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(14 )</w:t>
            </w:r>
          </w:p>
        </w:tc>
      </w:tr>
      <w:tr>
        <w:trPr>
          <w:trHeight w:val="210"/>
        </w:trPr>
        <w:tc>
          <w:tcPr>
            <w:tcW w:w="20" w:type="dxa"/>
            <w:vAlign w:val="bottom"/>
          </w:tcPr>
          <w:p>
            <w:pPr>
              <w:spacing w:after="0"/>
              <w:rPr>
                <w:sz w:val="18"/>
                <w:szCs w:val="18"/>
                <w:color w:val="auto"/>
              </w:rPr>
            </w:pPr>
          </w:p>
        </w:tc>
        <w:tc>
          <w:tcPr>
            <w:tcW w:w="6560" w:type="dxa"/>
            <w:vAlign w:val="bottom"/>
            <w:gridSpan w:val="2"/>
          </w:tcPr>
          <w:p>
            <w:pPr>
              <w:ind w:left="180"/>
              <w:spacing w:after="0"/>
              <w:rPr>
                <w:sz w:val="20"/>
                <w:szCs w:val="20"/>
                <w:color w:val="auto"/>
              </w:rPr>
            </w:pPr>
            <w:r>
              <w:rPr>
                <w:rFonts w:ascii="Arial" w:cs="Arial" w:eastAsia="Arial" w:hAnsi="Arial"/>
                <w:sz w:val="18"/>
                <w:szCs w:val="18"/>
                <w:color w:val="auto"/>
              </w:rPr>
              <w:t>Net molecular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18,812</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30,406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(38 ) %</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-453390</wp:posOffset>
            </wp:positionV>
            <wp:extent cx="77470"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68580"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7747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Sales of our genomics products decreased 26% to $14.0 million for the three months ended September 30, 2022, compared to $19.0 million for the three months ended September 30, 2021, as result of customer ordering patterns and a shift in market prioritization at our larger commercial customers.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Microbiome kit sales increased 4% to $1.8 million for the three months ended September 30, 2022 compared to $1.7 million for the three months ended September 30, 2021, due to renewal of clinical study activities, new customer accounts offset by other customer ordering patterns.</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Sales of our molecular sample collection kits for COVID-19 testing decreased 94% to $0.3 million for the three months ended September 30, 2022 compared to $6.3 million during the comparable period in 2021 due to lower COVID-19 PCR testing sales to our core customers, driven by the availability of antigen tests, the wider availability of vaccines and high inventory levels held by some of those customers and the termination of public funding for PCR testing.</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Laboratory services revenues declined 19% to $2.0 million for the three months ended September 30, 2022 compared to $2.4 million for the three months ended September 30, 2021 as a result of a large customer ceasing its operations and a decline in clinical trial work at certain pharmaceutical customers, partially offset by the addition of new customer accounts.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product and service revenues declined 38% to $0.3 million in the third quarter of 2022 compared to $576,000 in the third quarter of 2021 largely due to the timing of customer orders.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revenues for the three months ended September 30, 2022 decreased 14% to $0.4 million from $0.5 million for the three months ended September 30, 2021, largely as a result of lower royalty income received under a litigation settlement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CONSOLIDATED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gross profit margins remained flat at 40% for both the three months ended September 30, 2022 and 2021.</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Consolidated operating income for the three months ended September 30, 2022 was $875 thousand, a $13.9 million increase from the $13.0 million operating loss reported for the three months ended September 30, 2021. </w:t>
      </w:r>
      <w:r>
        <w:rPr>
          <w:rFonts w:ascii="Arial" w:cs="Arial" w:eastAsia="Arial" w:hAnsi="Arial"/>
          <w:sz w:val="18"/>
          <w:szCs w:val="18"/>
          <w:color w:val="212529"/>
        </w:rPr>
        <w:t>Results</w:t>
      </w:r>
      <w:r>
        <w:rPr>
          <w:rFonts w:ascii="Arial" w:cs="Arial" w:eastAsia="Arial" w:hAnsi="Arial"/>
          <w:sz w:val="18"/>
          <w:szCs w:val="18"/>
          <w:color w:val="auto"/>
        </w:rPr>
        <w:t xml:space="preserve"> for the three months ended September 30, 2022 were positively impacted by the increase in revenues described above partially offset by impairment charges of $6.6 million associated with idle manufacturing lines associated with our molecular business and by an increase in operating expenses as described below.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INCOME (LOSS) BY SEGMENT</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evaluate performance of our operating segments based on revenue and operating income. Reportable segments have inter-segment revenue and expenses that are eliminated in consolidation, including the fees associated with an intercompany service agreement between the U.S. and Canadian entities.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gross profit margin for the Diagnostics segment was 38% for the three months ended September 30, 2022 compared to 16% for the three months ended September 30, 2021. This increase is due to improved product mix of higher margin product sales and the improved quality-yield experienced as compared to the scale-up and production issues experienced in the third quarter of 2021 related to the manufacturing of InteliSwab® tests which caused higher than normal scrap rates. In addition, the third quarter of 2021 included a reserve for COVID-19 antibody inventory that did not recur in the third quarter of 2022. Also contributing to the higher margins is the increase in non-product revenues which contributes 100% to the gross margin rate.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increased 26% to $7.4 million for the three months ended September 30, 2022 compared to $5.9 million for the three</w:t>
      </w:r>
    </w:p>
    <w:p>
      <w:pPr>
        <w:spacing w:after="0" w:line="4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months ended September 30, 2021 largely due to increased clinical study activities related to obtaining CE mark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rapid test and increased staffing costs associated with higher head count. Sales and marketing expenses increased 8% to $9.7 million for three months ended September 30, 2022 from $9.0 million for the three months ended September 30, 2021 due to an increase in our reserve for uncollectible accounts, increased staffing costs associated with higher head count and increased travel expenses as travel and in person events have resumed as COVID-19 restrictions have been lifted. These increases in spend were partially offset by a decline in consulting spend associated with business strategy work that occurred in 2021 and did not repeat in 2022 and lower advertising and market research costs associated with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General and administrative expenses increased 5% to $8.9 million for the three months ended September 30, 2022 from $8.1 million for the three months ended September 30, 2021 largely due to increased staffing costs.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of the above contributed to the Diagnostics segment’s operating income of $11.3 million for the three months ended September 30, 2022, which included the non-cash impairment charges of $8.5 million, non-cash charges of $2.1 million for depreciation and amortization and $1.6 million for stock-based compensation. The Diagnostics segment operating loss in the third quarter of 2021 included a $1.5 million non-cash pre-tax benefit associated with the change in the fair value of acquisition-related contingent consideration. There was no similar benefit recorded in the third quarter of 2022.</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gross profit margin for the Molecular Solutions segment was 49% for the three months ended September 30, 2022 compared to 58% for the three months ended September 30, 2021. This decrease was due to a less favorable product mix.</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Research and development expenses decreased 13% to $2.4 million for the three months ended September 30, 2022 from $2.7 million for the three months ended September 30, 2021 largely due to a decline in non-cash stock compensation expense. Sales and marketing expenses decreased 23% to $3.8 million for the three months ended September 30, 2022 from $4.9 million for the three months ended September 30, 2021 largely due to a decline in consulting spend associated with business strategy work that occurred in 2021 and did not repeat in 2022, a decrease in expense related to the cancellation of a marketing loyalty program, and lower amortization expense as related intangibles were fully amortized at the end of 2021. General and administrative expenses increased 58% to $7.0 million for the three months ended September 30, 2022 from $4.4 million for the three months ended September 30, 2021 largely due to higher legal fees, increased non-cash stock compensation costs, and penalties and interest recorded related to a sales tax audit that did not occur in 2021.</w:t>
      </w:r>
    </w:p>
    <w:p>
      <w:pPr>
        <w:spacing w:after="0" w:line="18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Operating expenses for the Molecular segment also include an impairment charge of $6.6 million for the three months ended September 30, 2022 associated with several idle manufacturing lines for which there are no projected cash flow and minimal resale or salvage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color w:val="auto"/>
        </w:rPr>
        <w:t>All of the above contributed to the Molecular Solutions segment’s operating loss of $10.4 million for the three months ended September 30, 2022, which included the non-cash impairment charge of $6.6 million, non-cash charges of $1.8 million for depreciation and amortization and $0.7 million for stock-based compensation.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TAXES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continue to believe the full valuation allowance established against our total U.S. deferred tax asset is appropriate as the facts and circumstances necessitating the allowance have not changed. For the three months ended September 30, 2022, we recorded a U.S. state tax benefit of $40,000 compared to $102,000 for the three months ended September 30, 2021. For the three months ended September 30, 2022, we recorded a foreign tax benefit of $1.1 million compared to foreign tax expense of $2.2 million for the three months ended September 30, 2021. This overall decrease in foreign tax expense is largely a result of the decrease in income before taxes generated by our Canadian subsidiary.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compared to September 30, 2021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NET REVENUES</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table below shows a breakdown of total consolidated net revenues (dollars in thousands) generated by each of our business segments during the nine months ended September 30, 2022 and 2021.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35"/>
              <w:spacing w:after="0"/>
              <w:rPr>
                <w:sz w:val="20"/>
                <w:szCs w:val="20"/>
                <w:color w:val="auto"/>
              </w:rPr>
            </w:pPr>
            <w:r>
              <w:rPr>
                <w:rFonts w:ascii="Arial" w:cs="Arial" w:eastAsia="Arial" w:hAnsi="Arial"/>
                <w:sz w:val="14"/>
                <w:szCs w:val="14"/>
                <w:b w:val="1"/>
                <w:bCs w:val="1"/>
                <w:color w:val="auto"/>
              </w:rPr>
              <w:t>For the Nine Months Ended September 30,</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Dollars</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8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r>
      <w:tr>
        <w:trPr>
          <w:trHeight w:val="20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Diagnostics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190,774</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54,867</w:t>
            </w: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Molecular Solutions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66,450</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110,682</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(40 )</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r>
      <w:tr>
        <w:trPr>
          <w:trHeight w:val="20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product and services revenues</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257,224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165,549</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18"/>
                <w:szCs w:val="18"/>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r>
      <w:tr>
        <w:trPr>
          <w:trHeight w:val="230"/>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264,401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170,106</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Consolidated net product and services revenues increased 55% to $257.2 million for the nine months ended September 30, 2022 from $165.5 million for the nine months ended September 30, 2021. </w:t>
      </w:r>
      <w:r>
        <w:rPr>
          <w:rFonts w:ascii="Arial" w:cs="Arial" w:eastAsia="Arial" w:hAnsi="Arial"/>
          <w:sz w:val="17"/>
          <w:szCs w:val="17"/>
          <w:color w:val="212529"/>
        </w:rPr>
        <w:t>The increase in revenues is</w:t>
      </w:r>
      <w:r>
        <w:rPr>
          <w:rFonts w:ascii="Arial" w:cs="Arial" w:eastAsia="Arial" w:hAnsi="Arial"/>
          <w:sz w:val="17"/>
          <w:szCs w:val="17"/>
          <w:color w:val="auto"/>
        </w:rPr>
        <w:t xml:space="preserve"> largely due to $144.8 million of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revenues recorded in the first nine months of 2022 compared to $7.9 million of revenue in the comparable period of 2021. We first began selling this product in August of 2021. Also contributing to the increased revenues were higher domestic sales of our HCV product and higher overall sales of our substance abuse testing and Colli-Pee® products. Declines in sales of our molecular sample collection kits for COVID-19 testing, lower laboratory services revenues, and a decline in international sales of our HIV products partially offset these positive drivers of revenue. Other revenues for the nine months ended September 30, 2022 were $7.2 million compared to $4.6 million in the same period of 2021. This increase was largely due to higher research and development funding associated with our InteliSwab® COVID-19 rapid test offset by a decrease in royalty income.</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Consolidated net revenues derived from products sold to customers outside of the United States were $27.2 million and $30.4 million, or 10% and 18% of total net revenues, for the nine months ended September 30, 2022 and 2021, respectively. Because the majority of our international sales are denominated in U.S. dollars, the impact of fluctuating foreign currency exchange rates was not material to our total consolidated net revenues.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jc w:val="right"/>
        <w:ind w:right="9240"/>
        <w:spacing w:after="0"/>
        <w:rPr>
          <w:sz w:val="20"/>
          <w:szCs w:val="20"/>
          <w:color w:val="auto"/>
        </w:rPr>
      </w:pPr>
      <w:r>
        <w:rPr>
          <w:rFonts w:ascii="Arial" w:cs="Arial" w:eastAsia="Arial" w:hAnsi="Arial"/>
          <w:sz w:val="15"/>
          <w:szCs w:val="15"/>
          <w:b w:val="1"/>
          <w:bCs w:val="1"/>
          <w:u w:val="single" w:color="auto"/>
          <w:color w:val="auto"/>
        </w:rPr>
        <w:t>Net Revenues by Segment</w:t>
      </w:r>
    </w:p>
    <w:p>
      <w:pPr>
        <w:spacing w:after="0" w:line="156" w:lineRule="exact"/>
        <w:rPr>
          <w:sz w:val="20"/>
          <w:szCs w:val="20"/>
          <w:color w:val="auto"/>
        </w:rPr>
      </w:pPr>
    </w:p>
    <w:p>
      <w:pPr>
        <w:jc w:val="right"/>
        <w:ind w:right="920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a breakdown of total net revenues (dollars in thousands) generated by our Diagnostics segment during the nine months ended September 30,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94"/>
              <w:spacing w:after="0"/>
              <w:rPr>
                <w:sz w:val="20"/>
                <w:szCs w:val="20"/>
                <w:color w:val="auto"/>
              </w:rPr>
            </w:pPr>
            <w:r>
              <w:rPr>
                <w:rFonts w:ascii="Arial" w:cs="Arial" w:eastAsia="Arial" w:hAnsi="Arial"/>
                <w:sz w:val="14"/>
                <w:szCs w:val="14"/>
                <w:b w:val="1"/>
                <w:bCs w:val="1"/>
                <w:color w:val="auto"/>
              </w:rPr>
              <w:t>For the Nine Months Ended September 30,</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Dollars</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w w:val="95"/>
              </w:rPr>
              <w:t>Percentage of Total Net Revenues</w:t>
            </w:r>
          </w:p>
        </w:tc>
        <w:tc>
          <w:tcPr>
            <w:tcW w:w="2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3"/>
                <w:szCs w:val="13"/>
                <w:color w:val="auto"/>
              </w:rPr>
            </w:pPr>
          </w:p>
        </w:tc>
        <w:tc>
          <w:tcPr>
            <w:tcW w:w="72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106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c>
          <w:tcPr>
            <w:tcW w:w="94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c>
          <w:tcPr>
            <w:tcW w:w="100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Infectious disease testing:</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00"/>
              <w:spacing w:after="0"/>
              <w:rPr>
                <w:sz w:val="20"/>
                <w:szCs w:val="20"/>
                <w:color w:val="auto"/>
              </w:rPr>
            </w:pPr>
            <w:r>
              <w:rPr>
                <w:rFonts w:ascii="Arial" w:cs="Arial" w:eastAsia="Arial" w:hAnsi="Arial"/>
                <w:sz w:val="18"/>
                <w:szCs w:val="18"/>
                <w:color w:val="auto"/>
              </w:rPr>
              <w:t>COVID-19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144,809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7,938</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49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38,179</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39,664</w:t>
            </w:r>
          </w:p>
        </w:tc>
        <w:tc>
          <w:tcPr>
            <w:tcW w:w="13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(4 )</w:t>
            </w: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Total infectious disease testing</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182,988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47,602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r>
      <w:tr>
        <w:trPr>
          <w:trHeight w:val="216"/>
        </w:trPr>
        <w:tc>
          <w:tcPr>
            <w:tcW w:w="50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Substance abuse testing</w:t>
            </w: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Net product revenues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190,774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54,867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r>
      <w:tr>
        <w:trPr>
          <w:trHeight w:val="216"/>
        </w:trPr>
        <w:tc>
          <w:tcPr>
            <w:tcW w:w="50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196,416</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57,368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-736600</wp:posOffset>
            </wp:positionV>
            <wp:extent cx="76835" cy="146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-736600</wp:posOffset>
            </wp:positionV>
            <wp:extent cx="77470" cy="146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-736600</wp:posOffset>
            </wp:positionV>
            <wp:extent cx="68580" cy="146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-736600</wp:posOffset>
            </wp:positionV>
            <wp:extent cx="68580" cy="146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-453390</wp:posOffset>
            </wp:positionV>
            <wp:extent cx="76835" cy="145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-453390</wp:posOffset>
            </wp:positionV>
            <wp:extent cx="77470" cy="145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-453390</wp:posOffset>
            </wp:positionV>
            <wp:extent cx="68580" cy="145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-453390</wp:posOffset>
            </wp:positionV>
            <wp:extent cx="68580" cy="145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-170815</wp:posOffset>
            </wp:positionV>
            <wp:extent cx="7683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7747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Testing Market</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COVID-19 revenues were $144.8 million for the nine months ended September 30, 2022, compared to $7.9 million for the nine months ended September 30, 2021. This increase was driven by sales of our InteliSwab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COVID-19 rapid test which we first began selling in August of 2021.</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Sales to the other infectious disease testing markets decreased 4% to $38.2 million for the nine months ended September 30, 2022 from $39.7 million for the nine months ended September 30, 2021. This decrease resulted from lower world-wide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product sales, partially offset by higher 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w:t>
      </w:r>
    </w:p>
    <w:p>
      <w:pPr>
        <w:spacing w:after="0" w:line="11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table below shows a breakdown of our total net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 revenues (dollars in thousands) during the nine months ended September 30, 2022 and 2021.</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4"/>
              </w:rPr>
              <w:t>Nine Months Ended September 30,</w:t>
            </w:r>
          </w:p>
        </w:tc>
        <w:tc>
          <w:tcPr>
            <w:tcW w:w="10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300" w:type="dxa"/>
            <w:vAlign w:val="bottom"/>
          </w:tcPr>
          <w:p>
            <w:pPr>
              <w:spacing w:after="0"/>
              <w:rPr>
                <w:sz w:val="13"/>
                <w:szCs w:val="13"/>
                <w:color w:val="auto"/>
              </w:rPr>
            </w:pPr>
          </w:p>
        </w:tc>
        <w:tc>
          <w:tcPr>
            <w:tcW w:w="98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Domestic HIV</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12,115</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w:t>
            </w:r>
          </w:p>
        </w:tc>
      </w:tr>
      <w:tr>
        <w:trPr>
          <w:trHeight w:val="216"/>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International HIV</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15,462</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(10 )</w:t>
            </w: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65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Net HIV revenues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27,577</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29,745</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(7 )</w:t>
            </w:r>
          </w:p>
        </w:tc>
      </w:tr>
      <w:tr>
        <w:trPr>
          <w:trHeight w:val="210"/>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Domestic HCV</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6,440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r>
      <w:tr>
        <w:trPr>
          <w:trHeight w:val="216"/>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International HCV</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3,802</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(2 )</w:t>
            </w:r>
          </w:p>
        </w:tc>
      </w:tr>
      <w:tr>
        <w:trPr>
          <w:trHeight w:val="210"/>
        </w:trPr>
        <w:tc>
          <w:tcPr>
            <w:tcW w:w="20" w:type="dxa"/>
            <w:vAlign w:val="bottom"/>
          </w:tcPr>
          <w:p>
            <w:pPr>
              <w:spacing w:after="0"/>
              <w:rPr>
                <w:sz w:val="18"/>
                <w:szCs w:val="18"/>
                <w:color w:val="auto"/>
              </w:rPr>
            </w:pPr>
          </w:p>
        </w:tc>
        <w:tc>
          <w:tcPr>
            <w:tcW w:w="6560" w:type="dxa"/>
            <w:vAlign w:val="bottom"/>
            <w:gridSpan w:val="2"/>
          </w:tcPr>
          <w:p>
            <w:pPr>
              <w:ind w:left="180"/>
              <w:spacing w:after="0"/>
              <w:rPr>
                <w:sz w:val="20"/>
                <w:szCs w:val="20"/>
                <w:color w:val="auto"/>
              </w:rPr>
            </w:pPr>
            <w:r>
              <w:rPr>
                <w:rFonts w:ascii="Arial" w:cs="Arial" w:eastAsia="Arial" w:hAnsi="Arial"/>
                <w:sz w:val="18"/>
                <w:szCs w:val="18"/>
                <w:color w:val="auto"/>
              </w:rPr>
              <w:t>Net HCV revenues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10,182</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r>
      <w:tr>
        <w:trPr>
          <w:trHeight w:val="250"/>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Net OraQuick®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37,759</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39,127</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-599440</wp:posOffset>
            </wp:positionV>
            <wp:extent cx="76835" cy="146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68580" cy="146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-316865</wp:posOffset>
            </wp:positionV>
            <wp:extent cx="76835"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6858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768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Domestic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sales decreased 3% to $12.1 million for the nine months ended September 30, 2022 from $12.5 million for the nine months ended September 30, 2021, primarily as a result of a large order fulfilled in the first half of 2021 for our OraQuick® In-Home HIV test shipped to the CDC and used in an initiative to drive increased in-home HIV testing. A similar order did not occur during the nine months ended September 30, 2022.</w:t>
      </w:r>
    </w:p>
    <w:p>
      <w:pPr>
        <w:spacing w:after="0" w:line="17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International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tests decreased 10% to $15.5 million for the nine months ended September 30, 2022 from $17.3 million for the nine months ended September 30, 2021 due to customer ordering patterns and the absence of the Gates Foundation subsidy, which expired in June 2021 and is not included in revenues in 2022.</w:t>
      </w:r>
    </w:p>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15% to $6.4 million for the nine months ended September 30, 2022 from $5.6 million for the nine months ended September 30, 2021, driven by new funding granted by certain state governments, increased legislation regarding drug testing and a rise in drug use requiring more testing.</w:t>
      </w:r>
    </w:p>
    <w:p>
      <w:pPr>
        <w:spacing w:after="0" w:line="19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remained largely flat at $3.7 million for the nine months ended September 30, 2022 compared to $3.8 million for the nine months ended September 30, 2021.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color w:val="auto"/>
        </w:rPr>
        <w:t>Sales to the substance abuse testing assessment market increased 7% to $7.8 million for the nine months ended September 30, 2022 compared to $7.3 million for the nine months ended September 30, 2021 due to market share gains.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Other revenues for the nine months ended September 30, 2022 increased to $5.6 million from $2.5 million for the nine months ended September 30, 2021, due to higher research and development funding for 510(k) clearance and CLIA waiver of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COVID-19 rapid test partially offset by lower royalty income.</w:t>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a breakdown of our total net revenues (dollars in thousands) during the nine months ended September 30, 2022 and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4"/>
              </w:rPr>
              <w:t>Nine Months Ended September 30,</w:t>
            </w:r>
          </w:p>
        </w:tc>
        <w:tc>
          <w:tcPr>
            <w:tcW w:w="10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5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w:t>
            </w:r>
          </w:p>
        </w:tc>
        <w:tc>
          <w:tcPr>
            <w:tcW w:w="300" w:type="dxa"/>
            <w:vAlign w:val="bottom"/>
          </w:tcPr>
          <w:p>
            <w:pPr>
              <w:spacing w:after="0"/>
              <w:rPr>
                <w:sz w:val="13"/>
                <w:szCs w:val="13"/>
                <w:color w:val="auto"/>
              </w:rPr>
            </w:pPr>
          </w:p>
        </w:tc>
        <w:tc>
          <w:tcPr>
            <w:tcW w:w="96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Genomics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44,558</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w:t>
            </w:r>
          </w:p>
        </w:tc>
      </w:tr>
      <w:tr>
        <w:trPr>
          <w:trHeight w:val="216"/>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Microbiome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(5 )</w:t>
            </w:r>
          </w:p>
        </w:tc>
      </w:tr>
      <w:tr>
        <w:trPr>
          <w:trHeight w:val="216"/>
        </w:trPr>
        <w:tc>
          <w:tcPr>
            <w:tcW w:w="66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COVID-19</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(79 )</w:t>
            </w:r>
          </w:p>
        </w:tc>
      </w:tr>
      <w:tr>
        <w:trPr>
          <w:trHeight w:val="216"/>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Laboratory services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(39 )</w:t>
            </w:r>
          </w:p>
        </w:tc>
      </w:tr>
      <w:tr>
        <w:trPr>
          <w:trHeight w:val="216"/>
        </w:trPr>
        <w:tc>
          <w:tcPr>
            <w:tcW w:w="66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 product revenues</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80" w:type="dxa"/>
            <w:vAlign w:val="bottom"/>
            <w:gridSpan w:val="2"/>
          </w:tcPr>
          <w:p>
            <w:pPr>
              <w:ind w:left="180"/>
              <w:spacing w:after="0"/>
              <w:rPr>
                <w:sz w:val="20"/>
                <w:szCs w:val="20"/>
                <w:color w:val="auto"/>
              </w:rPr>
            </w:pPr>
            <w:r>
              <w:rPr>
                <w:rFonts w:ascii="Arial" w:cs="Arial" w:eastAsia="Arial" w:hAnsi="Arial"/>
                <w:sz w:val="18"/>
                <w:szCs w:val="18"/>
                <w:color w:val="auto"/>
              </w:rPr>
              <w:t>Net molecular product and services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66,450</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110,682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(40 )</w:t>
            </w:r>
          </w:p>
        </w:tc>
      </w:tr>
      <w:tr>
        <w:trPr>
          <w:trHeight w:val="216"/>
        </w:trPr>
        <w:tc>
          <w:tcPr>
            <w:tcW w:w="66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(25 )</w:t>
            </w:r>
          </w:p>
        </w:tc>
      </w:tr>
      <w:tr>
        <w:trPr>
          <w:trHeight w:val="209"/>
        </w:trPr>
        <w:tc>
          <w:tcPr>
            <w:tcW w:w="20" w:type="dxa"/>
            <w:vAlign w:val="bottom"/>
          </w:tcPr>
          <w:p>
            <w:pPr>
              <w:spacing w:after="0"/>
              <w:rPr>
                <w:sz w:val="18"/>
                <w:szCs w:val="18"/>
                <w:color w:val="auto"/>
              </w:rPr>
            </w:pPr>
          </w:p>
        </w:tc>
        <w:tc>
          <w:tcPr>
            <w:tcW w:w="6580" w:type="dxa"/>
            <w:vAlign w:val="bottom"/>
            <w:gridSpan w:val="2"/>
          </w:tcPr>
          <w:p>
            <w:pPr>
              <w:ind w:left="180"/>
              <w:spacing w:after="0"/>
              <w:rPr>
                <w:sz w:val="20"/>
                <w:szCs w:val="20"/>
                <w:color w:val="auto"/>
              </w:rPr>
            </w:pPr>
            <w:r>
              <w:rPr>
                <w:rFonts w:ascii="Arial" w:cs="Arial" w:eastAsia="Arial" w:hAnsi="Arial"/>
                <w:sz w:val="18"/>
                <w:szCs w:val="18"/>
                <w:color w:val="auto"/>
              </w:rPr>
              <w:t>Net molecular product and services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67,985</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112,738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(40 ) %</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-453390</wp:posOffset>
            </wp:positionV>
            <wp:extent cx="76835" cy="145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-453390</wp:posOffset>
            </wp:positionV>
            <wp:extent cx="68580" cy="145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76835" cy="171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Sales of our genomics products decreased 10% to $44.6 million for the nine months ended September 30, 2022, compared to $49.3 million for the nine months ended September 30, 2021 largely as a result of customer ordering patterns and a shift in market prioritization at our larger commercial customers.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Microbiome kit sales decreased 5% to $5.6 million for the nine months ended September 30, 2022 compared to $5.9 million for the nine months ended September 30, 2021, due to customer ordering patterns.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Sales of our molecular sample collection kits for COVID-19 testing decreased 79% to $9.5 million for the nine months ended September 30, 2022 compared to $46.2 million during the comparable period in 2021 due to lower COVID-19 PCR testing sales to our core customers, driven by the availability of antigen tests, the wider availability of vaccines, lower public funding for PCR testing, and high inventory levels held by some of those customers.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Laboratory services revenues declined 39% to $4.9 million for the nine months ended September 30, 2022 compared to $8.0 million for the nine months ended September 30, 2021 as a result of a large customer ceasing its operations and a slowdown in clinical trials.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product and service revenues increased 53% to $1.9 million for the nine months ended September 30, 2022 compared to $1.2 million for the nine months ended September 30, 2021 largely due to increased sales by our Novosanis subsidiary.</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Other revenues for the nine months ended September 30, 2022 decreased 25% to $1.5 million from $2.1 million for the nine months ended September 30, 2021, largely as a result of lower royalty income received under a litigation settlement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RESULTS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Consolidated gross profit margins were 37% for the nine months ended September 30, 2022 compared to 53% for the nine months ended September 30, 2021. The decrease in gross margins rates was caused by an unfavorable product mix of higher sales of lower margin products, increases in inventory reserves associated with excess inventory levels and manufacturing inefficiencies that occurred in the first quarter of 2022, lower absorption of labor costs that also occurred in the first half of 2022 and the absence of the Gates Foundation subsidy which expired in June 2021.</w:t>
      </w:r>
    </w:p>
    <w:p>
      <w:pPr>
        <w:spacing w:after="0" w:line="16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Consolidated operating loss for the nine months ended September 30, 2022 was $36.4 million, a $35.6 million decrease from the $793 thousand recorded for the nine months ended September 30, 2021. Results in 2022 were negatively impacted by the lower gross profit margin described above coupled with an increase in operating expenses as described below, including an aggregate impairment charge of $17.1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OPERATING INCOME (LOSS) BY SEGMENT</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evaluate performance of our operating segments based on revenue and operating income. Reportable segments have inter-segment revenue and expenses that are eliminated in consolidation, including the fees associated with an intercompany service agreement between the U.S. and Canadian entities.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gross profit margin for the Diagnostics segment was 33% for the nine months ended September 30, 2022 compared to 29% for the nine months ended September 30, 2021. This improvement in margin is a result of a more favorable product mix, the increase in non-product revenues which contribute 100% to the gross margin rate partially offset by increases in scrap and lower absorption of labor costs associated with the manufacturing inefficiencies that occurred earlier in 2022 that have since been corrected and the June 2021 expiration of subsidies under the support agreement with the Gates Foundation.</w:t>
      </w:r>
    </w:p>
    <w:p>
      <w:pPr>
        <w:spacing w:after="0" w:line="4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Research and development expenses increased 10% to $19.2 million for the nine months ended September 30, 2022 compared to $17.4 million for the nine months ended September 30, 2021 largely due to higher staffing costs associated with increased head count, increased clinical study activities related to</w:t>
      </w:r>
    </w:p>
    <w:p>
      <w:pPr>
        <w:jc w:val="both"/>
        <w:spacing w:after="0" w:line="233" w:lineRule="auto"/>
        <w:rPr>
          <w:sz w:val="20"/>
          <w:szCs w:val="20"/>
          <w:color w:val="auto"/>
        </w:rPr>
      </w:pPr>
      <w:r>
        <w:rPr>
          <w:rFonts w:ascii="Arial" w:cs="Arial" w:eastAsia="Arial" w:hAnsi="Arial"/>
          <w:sz w:val="18"/>
          <w:szCs w:val="18"/>
          <w:color w:val="auto"/>
        </w:rPr>
        <w:t>obtaining CE mark for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rapid test, partially offset by lower product development activities related to our InteliSwab</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rapid test as we received EUA authorization in June 2021. Sales and marketing expenses increased 18% to $25.6 million for the nine months ended September 30, 2022 from $21.7 million for the nine months ended September 30, 2021 due to increased staffing costs associated with higher head count, increased travel and annual meeting expenses as travel and in person events have resumed as COVID-19 restrictions have been lifted, increased consultant costs, and an increase in our reserve for uncollectible accounts, partially offset by a decrease in commission expense. General and administrative expenses increased 55% to $33.6 million for the nine months ended September 30, 2022 from $21.6 million for the nine months ended September 30, 2021 largely due to higher staffing costs associated with increased head count, higher stock compensation expense associated with accelerated vesting of shares under our former CEO's and general counsel's employment agreements, increased consulting costs, increased legal costs, higher severance costs, and increased accounting fees.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Operating expenses for the Diagnostic segment also include an impairment charge of $4.9 million associated with an idle manufacturing line for which it has no projected cash flows and minimal resale or salvage value. Diagnostic operating expenses also included a goodwill impairment charge of $3.6 million. The decline in the Company's stock price was identified as a triggering event which required the Company to perform a quantitative goodwill impairment analysis. The results of this analysis indicated the Diagnostic segment's goodwill was impaired and was written down to $0.</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of the above contributed to the Diagnostics segment’s operating loss of $20.3 million for the nine months ended September 30, 2022, which included the non-cash impairment charge of $8.5 million, non-cash charges of $5.7 million for depreciation and amortization and $7.5 million for stock-based compensation. The Diagnostics segment operating loss also included a non-cash pre-tax benefit of $36,000 associated with the change in the fair value of acquisition-related contingent consideration. This is in comparison to an $1.0 million benefit recorded in the first half of 2021.</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gross profit margin for the Molecular Solutions segment was 47% for the nine months ended September 30, 2022 compared to 66% for the nine months ended September 30, 2021. This decrease was due to an increase in reserves for excess inventory as result of a forecasted decline in demand and a less favorable product mix.</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Research and development expenses increased 3% to $8.1 million for the nine months ended September 30, 2022 from $7.9 million for the nine months ended September 30, 2021 due to higher staffing costs. Sales and marketing expenses increased 1% to $12.3 million for the nine months ended September 30, 2022 from $12.1 million for the nine months ended September 30, 2021 due to higher staffing costs related to increased head count, increased consulting expense associated with business strategy planning, and an increase in travel costs as COVID-19 restrictions are lifted. These increases in expenses were partially offset by lower amortization expense associated with an intangible asset that was fully amortized at the end of 2021, lower commission, and a decrease in expense related to the cancellation of a marketing loyalty program. General and administrative expenses increased 53% to $18.6 million for the nine months ended September 30, 2022 from $12.1 million for the nine months ended September 30, 2021 due to increased legal fees, higher non-cash stock compensation expense and increased staffing costs.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Operating expenses for the Molecular Solutions segment also includes impairment charges of $8.6 million for the nine months ended September 30, 2022 associated with several idle manufacturing lines for which there are no projected cash flows and minimal resale or salvage value.</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of the above contributed to the Molecular Solutions segment’s operating loss of $16.1 million for the nine months ended September 30, 2022, which included the non-cash impairment charges of $8.6 million, $5.6 million for depreciation and amortization and $1.6 million for stock-based compensation.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CONSOLIDATED INCOME TAXES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continue to believe the full valuation allowance established against our total U.S. deferred tax asset is appropriate as the facts and circumstances necessitating the allowance have not changed. For the nine months ended September 30, 2022, we recorded U.S. state tax expense of $379,000 compared to $13,000 of state income tax expense for the nine months ended September 30, 2021. Additionally, in the first nine months of 2022, we recorded approximately $1.7 million of withholding taxes due to the Canada Revenue Agency associated with our repatriation of $65.0 million of cash from Canada to the United States. For the nine months ended September 30, 2022, we recorded a foreign tax benefit of $438,000 compared to foreign tax expense of $12.2 million for the nine months ended September 30, 2021. This overall decrease in foreign tax expense is largely a result of the decrease in income before taxes generated by our Canadian subsidiary.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59"/>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277"/>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59"/>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4"/>
              </w:rPr>
              <w:t>thousands)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75,205</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116,762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Available for sale securities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26,432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53,288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208,035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220,367</w:t>
            </w:r>
          </w:p>
        </w:tc>
        <w:tc>
          <w:tcPr>
            <w:tcW w:w="100" w:type="dxa"/>
            <w:vAlign w:val="bottom"/>
            <w:shd w:val="clear" w:color="auto" w:fill="CFF0FC"/>
          </w:tcPr>
          <w:p>
            <w:pPr>
              <w:spacing w:after="0"/>
              <w:rPr>
                <w:sz w:val="18"/>
                <w:szCs w:val="18"/>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and cash equivalents and available-for-sale securities decreased to $101.6 million at September 30, 2022 from $170.1 million at December 31, 2021. Our working capital decreased to $208.0 million at September 30, 2022 from $220.4 million at December 31, 2021.</w:t>
      </w:r>
    </w:p>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During the nine months ended September 30, 2022, net cash used in operating activities was $29.2 million. Our net loss of $33.5 million included non-cash charges of $17.1 million associated with impairment charges taken for idle manufacturing lines and goodwill, depreciation and amortization expense of $11.4 million, stock-based compensation expense of $9.1 million, an inventory reserve of $977,000, an increase in our reserve for uncollectible accounts of $974,000 and other non-cash expense of $1.3 million. Cash used to fund our working capital accounts included an increase in inventory of $27.6 million to meet anticipated demand to support COVID-19 testing program, an increase in accounts receivable of $19.2 million largely associated with product shipped to the U.S. government, a $6.0 million increase in prepaid expenses and other assets associated with tax installments made to the Canadian Revenue Agency. Offsetting these uses of cash was $16.2 million increase in accounts payable due to the timing of invoices received and payments made.</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investing activities was $4.5 million for the nine months ended September 30, 2022, which reflects proceeds from the maturities and redemptions of investments of $47.4 million. This was offset by $28.1 million to acquire property and equipment largely to increase our manufacturing capacity and $22.9 million of investment purchases.</w:t>
      </w:r>
    </w:p>
    <w:p>
      <w:pPr>
        <w:spacing w:after="0" w:line="175"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Net cash used in financing activities was $3.0 million for the nine months ended September 30, 2022, which is largely comprised of $2.0 million used for the repurchase of common stock to satisfy withholding taxes related to the vesting of restricted shares awarded to our employees.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expect current balances of cash and cash equivalents and available-for-sale securities to be sufficient to fund our current operating and capital needs as well as those arising over the next twelve months. Our cash requirements, however, may vary materially from those now planned due to many factors, including, but not limited to, the timing of reimbursement under our $109 million DOD contract, the scope and timing of future strategic acquisitions, the progress of our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In addition, $75.2 million or 74% of our $101.6 million in cash, cash equivalents and available-for-sale securities belongs to our Canadian subsidiary. In the first quarter of 2022, we repatriated $65.0 million of cash from Canada into the United States and incurred approximately $1.7 million of Canadian withholding tax. Further repatriation of cash from Canada into the United States could have additional adverse tax consequences. It is our intention going forward to continue to permanently reinvest the historical undistributed earnings of our foreign subsidiaries.</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summary of our obligations to make future payments under contracts existing at December 31, 2021 is included in Item 7, Management’s Discussion and Analysis of Financial Condition and Results of Operations, of our Annual Report on Form 10-K for the year ended December 31, 2021. As of September 30, 2022, there were no significant changes to this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Management’s Discussion and Analysis of Financial Condition and Results of Operations discusses our consolidated financial statements, which have been prepared in accordance with accounting principles generally accepted in the United States of America. The preparation of these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0" w:name="page31"/>
    <w:bookmarkEnd w:id="30"/>
    <w:p>
      <w:pPr>
        <w:jc w:val="both"/>
        <w:spacing w:after="0" w:line="244" w:lineRule="auto"/>
        <w:rPr>
          <w:sz w:val="20"/>
          <w:szCs w:val="20"/>
          <w:color w:val="auto"/>
        </w:rPr>
      </w:pPr>
      <w:r>
        <w:rPr>
          <w:rFonts w:ascii="Arial" w:cs="Arial" w:eastAsia="Arial" w:hAnsi="Arial"/>
          <w:sz w:val="18"/>
          <w:szCs w:val="18"/>
          <w:color w:val="auto"/>
        </w:rPr>
        <w:t>financial statements requires that we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we evaluate our judgments and estimates, including those related to the bad debts, customer sales returns, inventories, intangible assets, income taxes, revenue recognition, performance-based compensation, contingencies and litigation. We base our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 more detailed review of our critical accounting policies is contained in our Annual Report on Form 10-K for the year ended December 31, 2021 filed with the SEC. </w:t>
      </w:r>
      <w:r>
        <w:rPr>
          <w:rFonts w:ascii="Arial" w:cs="Arial" w:eastAsia="Arial" w:hAnsi="Arial"/>
          <w:sz w:val="18"/>
          <w:szCs w:val="18"/>
          <w:color w:val="212529"/>
        </w:rPr>
        <w:t>Except as presented below, no material changes have been made to such critical accounting policies during the nine months ended September</w:t>
      </w:r>
      <w:r>
        <w:rPr>
          <w:rFonts w:ascii="Arial" w:cs="Arial" w:eastAsia="Arial" w:hAnsi="Arial"/>
          <w:sz w:val="18"/>
          <w:szCs w:val="18"/>
          <w:color w:val="auto"/>
        </w:rPr>
        <w:t xml:space="preserve"> </w:t>
      </w:r>
      <w:r>
        <w:rPr>
          <w:rFonts w:ascii="Arial" w:cs="Arial" w:eastAsia="Arial" w:hAnsi="Arial"/>
          <w:sz w:val="18"/>
          <w:szCs w:val="18"/>
          <w:color w:val="212529"/>
        </w:rPr>
        <w:t>30, 2022.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Goodwill is not amortized, but rather is tested annually for impairment or more frequently if we believe that indicators of impairment exist. Current generally accepted accounting principles permit us to make a qualitative evaluation about the likelihood of goodwill impairment and if it is determined that it is more likely than not that the fair value does not exceed the carrying amount, then a quantitative test is performed. The quantitative goodwill impairment test involves a comparison of the estimated fair value of the reporting unit to the respective carrying amount. An impairment charge is recognized in the amount by which the carrying amount exceeds the reporting unit’s fair value, provided the impairment charge does not exceed the total amount of goodwill allocated to the reporting unit.</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process of evaluating the potential impairment of goodwill is highly subjective and requires significant judgment, including the identification of reporting units, qualitative evaluation of events and circumstances to determine if it is more likely than not that an impairment exists, and, if necessary, the estimation of the fair value of the applicable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hold any amounts of derivative financial instruments or derivative commodity instruments and, accordingly, we have no material derivative risk to report under this Item.</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of September 30, 2022, we did not have any foreign currency exchange contracts or purchase currency options to hedge local currency cash flows. Sales denominated in foreign currencies comprised 2.7% of our total revenues for the nine months ended September 30, 2022. We do have foreign currency exchange risk related to our operating subsidiaries in Canada and in Belgium. The principal foreign currencies in which we conduct business are the Canadian dollar and the Euro. Fluctuations in the exchange rate between the U.S. dollar and these foreign currencies could affect year-to-year comparability of operating results and cash flows. Our foreign subsidiaries had net assets, subject to translation, of $117.2 million in U.S. Dollars, which are included in the Company’s consolidated balance sheet as of September 30, 2022. A 10% unfavorable change in the Canadian-to-U.S. dollar and Euro-to-U.S. dollar exchange rates would have decreased our comprehensive income by approximately $11.7 million in the nine months ended September 30, 2022.</w:t>
      </w:r>
    </w:p>
    <w:p>
      <w:pPr>
        <w:spacing w:after="0" w:line="3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ind w:firstLine="8"/>
        <w:spacing w:after="0" w:line="245" w:lineRule="auto"/>
        <w:tabs>
          <w:tab w:leader="none" w:pos="24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September 30, 2022. Based on that evaluation, the Company’s management, including such officers, concluded that the Company’s disclosure controls and procedures were effective as of September 30, 2022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86" w:lineRule="exact"/>
        <w:rPr>
          <w:rFonts w:ascii="Arial" w:cs="Arial" w:eastAsia="Arial" w:hAnsi="Arial"/>
          <w:sz w:val="18"/>
          <w:szCs w:val="18"/>
          <w:color w:val="auto"/>
        </w:rPr>
      </w:pPr>
    </w:p>
    <w:p>
      <w:pPr>
        <w:jc w:val="both"/>
        <w:ind w:firstLine="8"/>
        <w:spacing w:after="0" w:line="256"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the Company’s internal control over financial reporting that occurred during the three months ended September 30, 2022 that has materially affected, or is reasonably likely to materially affect, the Company’s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involved in certain legal actions arising in the ordinary course of business. In management’s opinion, based upon the advice of counsel, the outcomes of such actions are not expected, individually or in the aggregate, to have a material adverse effect on our future financial position or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Spectrum Patent Litigation</w:t>
      </w:r>
    </w:p>
    <w:p>
      <w:pPr>
        <w:spacing w:after="0" w:line="1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and subsequently filed a request for review of the second patent at the Patent and Trademark Office. DNAG filed a motion to dismiss Spectrum’s counterclaims in October 2021, which was denied by the Court on March 30, 2022. Fact discovery is ongoing. The final pretrial conference is set for September 7, 2023</w:t>
      </w:r>
    </w:p>
    <w:p>
      <w:pPr>
        <w:spacing w:after="0" w:line="3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to the risk factors disclosed in Item 1A, entitled “Risk Factors,” in our Annual Report on Form 10-K for the year ended December 31, 2021, other than as set forth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 Creates Risk for Our Business.</w:t>
      </w:r>
    </w:p>
    <w:p>
      <w:pPr>
        <w:spacing w:after="0" w:line="200" w:lineRule="exact"/>
        <w:rPr>
          <w:sz w:val="20"/>
          <w:szCs w:val="20"/>
          <w:color w:val="auto"/>
        </w:rPr>
      </w:pP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One non-commercial customer accounted for 69% and 53% of net consolidated revenues for the three and nine months ended September 30, 2022. We expect that sales to the large non-commercial customer will continue to be a significant contributor to our net consolidated revenue. Certain parts of our business may continue to have a high customer concentration and depend disproportionately on a few large customers. To the extent that such a large customers fail to meet their purchase commitments, change their ordering patterns or business strategies, or otherwise reduce their purchases or stop purchasing our products, or if we experience difficulty in meeting the high demand by these larger customers for our products, our revenues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left="137"/>
              <w:spacing w:after="0"/>
              <w:rPr>
                <w:sz w:val="20"/>
                <w:szCs w:val="20"/>
                <w:color w:val="auto"/>
              </w:rPr>
            </w:pPr>
            <w:r>
              <w:rPr>
                <w:rFonts w:ascii="Arial" w:cs="Arial" w:eastAsia="Arial" w:hAnsi="Arial"/>
                <w:sz w:val="13"/>
                <w:szCs w:val="13"/>
                <w:b w:val="1"/>
                <w:bCs w:val="1"/>
                <w:color w:val="auto"/>
                <w:w w:val="89"/>
              </w:rPr>
              <w:t>Total number of</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2"/>
              </w:rPr>
              <w:t>Maximum number (or</w:t>
            </w:r>
          </w:p>
        </w:tc>
        <w:tc>
          <w:tcPr>
            <w:tcW w:w="100" w:type="dxa"/>
            <w:vAlign w:val="bottom"/>
          </w:tcPr>
          <w:p>
            <w:pPr>
              <w:spacing w:after="0"/>
              <w:rPr>
                <w:sz w:val="12"/>
                <w:szCs w:val="12"/>
                <w:color w:val="auto"/>
              </w:rPr>
            </w:pPr>
          </w:p>
        </w:tc>
      </w:tr>
      <w:tr>
        <w:trPr>
          <w:trHeight w:val="130"/>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left="137"/>
              <w:spacing w:after="0" w:line="131" w:lineRule="exact"/>
              <w:rPr>
                <w:sz w:val="20"/>
                <w:szCs w:val="20"/>
                <w:color w:val="auto"/>
              </w:rPr>
            </w:pPr>
            <w:r>
              <w:rPr>
                <w:rFonts w:ascii="Arial" w:cs="Arial" w:eastAsia="Arial" w:hAnsi="Arial"/>
                <w:sz w:val="13"/>
                <w:szCs w:val="13"/>
                <w:b w:val="1"/>
                <w:bCs w:val="1"/>
                <w:color w:val="auto"/>
                <w:w w:val="82"/>
              </w:rPr>
              <w:t>shares purchased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8"/>
              </w:rPr>
              <w:t>approximate dollar value)</w:t>
            </w:r>
          </w:p>
        </w:tc>
        <w:tc>
          <w:tcPr>
            <w:tcW w:w="100" w:type="dxa"/>
            <w:vAlign w:val="bottom"/>
          </w:tcPr>
          <w:p>
            <w:pPr>
              <w:spacing w:after="0"/>
              <w:rPr>
                <w:sz w:val="11"/>
                <w:szCs w:val="11"/>
                <w:color w:val="auto"/>
              </w:rPr>
            </w:pPr>
          </w:p>
        </w:tc>
      </w:tr>
      <w:tr>
        <w:trPr>
          <w:trHeight w:val="135"/>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88"/>
              </w:rPr>
              <w:t>as part of publicly</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shares that may yet be</w:t>
            </w:r>
          </w:p>
        </w:tc>
        <w:tc>
          <w:tcPr>
            <w:tcW w:w="100" w:type="dxa"/>
            <w:vAlign w:val="bottom"/>
          </w:tcPr>
          <w:p>
            <w:pPr>
              <w:spacing w:after="0"/>
              <w:rPr>
                <w:sz w:val="11"/>
                <w:szCs w:val="11"/>
                <w:color w:val="auto"/>
              </w:rPr>
            </w:pPr>
          </w:p>
        </w:tc>
      </w:tr>
      <w:tr>
        <w:trPr>
          <w:trHeight w:val="126"/>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jc w:val="right"/>
              <w:ind w:right="211"/>
              <w:spacing w:after="0" w:line="126" w:lineRule="exact"/>
              <w:rPr>
                <w:sz w:val="20"/>
                <w:szCs w:val="20"/>
                <w:color w:val="auto"/>
              </w:rPr>
            </w:pPr>
            <w:r>
              <w:rPr>
                <w:rFonts w:ascii="Arial" w:cs="Arial" w:eastAsia="Arial" w:hAnsi="Arial"/>
                <w:sz w:val="13"/>
                <w:szCs w:val="13"/>
                <w:b w:val="1"/>
                <w:bCs w:val="1"/>
                <w:color w:val="auto"/>
              </w:rPr>
              <w:t>Total number of</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left="17"/>
              <w:spacing w:after="0" w:line="126" w:lineRule="exact"/>
              <w:rPr>
                <w:sz w:val="20"/>
                <w:szCs w:val="20"/>
                <w:color w:val="auto"/>
              </w:rPr>
            </w:pPr>
            <w:r>
              <w:rPr>
                <w:rFonts w:ascii="Arial" w:cs="Arial" w:eastAsia="Arial" w:hAnsi="Arial"/>
                <w:sz w:val="13"/>
                <w:szCs w:val="13"/>
                <w:b w:val="1"/>
                <w:bCs w:val="1"/>
                <w:color w:val="auto"/>
                <w:w w:val="86"/>
              </w:rPr>
              <w:t>Average price</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left="157"/>
              <w:spacing w:after="0" w:line="126" w:lineRule="exact"/>
              <w:rPr>
                <w:sz w:val="20"/>
                <w:szCs w:val="20"/>
                <w:color w:val="auto"/>
              </w:rPr>
            </w:pPr>
            <w:r>
              <w:rPr>
                <w:rFonts w:ascii="Arial" w:cs="Arial" w:eastAsia="Arial" w:hAnsi="Arial"/>
                <w:sz w:val="13"/>
                <w:szCs w:val="13"/>
                <w:b w:val="1"/>
                <w:bCs w:val="1"/>
                <w:color w:val="auto"/>
                <w:w w:val="84"/>
              </w:rPr>
              <w:t>announced plans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repurchased under the plans</w:t>
            </w:r>
          </w:p>
        </w:tc>
        <w:tc>
          <w:tcPr>
            <w:tcW w:w="100" w:type="dxa"/>
            <w:vAlign w:val="bottom"/>
          </w:tcPr>
          <w:p>
            <w:pPr>
              <w:spacing w:after="0"/>
              <w:rPr>
                <w:sz w:val="10"/>
                <w:szCs w:val="10"/>
                <w:color w:val="auto"/>
              </w:rPr>
            </w:pPr>
          </w:p>
        </w:tc>
      </w:tr>
      <w:tr>
        <w:trPr>
          <w:trHeight w:val="189"/>
        </w:trPr>
        <w:tc>
          <w:tcPr>
            <w:tcW w:w="4040" w:type="dxa"/>
            <w:vAlign w:val="bottom"/>
            <w:tcBorders>
              <w:bottom w:val="single" w:sz="8" w:color="auto"/>
            </w:tcBorders>
          </w:tcPr>
          <w:p>
            <w:pPr>
              <w:ind w:left="1840"/>
              <w:spacing w:after="0"/>
              <w:rPr>
                <w:sz w:val="20"/>
                <w:szCs w:val="20"/>
                <w:color w:val="auto"/>
              </w:rPr>
            </w:pPr>
            <w:r>
              <w:rPr>
                <w:rFonts w:ascii="Arial" w:cs="Arial" w:eastAsia="Arial" w:hAnsi="Arial"/>
                <w:sz w:val="13"/>
                <w:szCs w:val="13"/>
                <w:b w:val="1"/>
                <w:bCs w:val="1"/>
                <w:color w:val="auto"/>
              </w:rPr>
              <w:t>Period</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shares purchased</w:t>
            </w: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88"/>
              </w:rPr>
              <w:t>paid per Share</w:t>
            </w: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88"/>
              </w:rPr>
              <w:t>or programs</w:t>
            </w:r>
          </w:p>
        </w:tc>
        <w:tc>
          <w:tcPr>
            <w:tcW w:w="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 xml:space="preserve">or programs </w:t>
            </w:r>
            <w:r>
              <w:rPr>
                <w:rFonts w:ascii="Arial" w:cs="Arial" w:eastAsia="Arial" w:hAnsi="Arial"/>
                <w:sz w:val="16"/>
                <w:szCs w:val="16"/>
                <w:b w:val="1"/>
                <w:bCs w:val="1"/>
                <w:color w:val="auto"/>
                <w:w w:val="83"/>
                <w:vertAlign w:val="superscript"/>
              </w:rPr>
              <w:t>(1, 2)</w:t>
            </w:r>
          </w:p>
        </w:tc>
        <w:tc>
          <w:tcPr>
            <w:tcW w:w="100" w:type="dxa"/>
            <w:vAlign w:val="bottom"/>
          </w:tcPr>
          <w:p>
            <w:pPr>
              <w:spacing w:after="0"/>
              <w:rPr>
                <w:sz w:val="16"/>
                <w:szCs w:val="16"/>
                <w:color w:val="auto"/>
              </w:rPr>
            </w:pPr>
          </w:p>
        </w:tc>
      </w:tr>
      <w:tr>
        <w:trPr>
          <w:trHeight w:val="169"/>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July 1, 2022 - July 31, 2022</w:t>
            </w: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19,470</w:t>
            </w:r>
          </w:p>
        </w:tc>
        <w:tc>
          <w:tcPr>
            <w:tcW w:w="44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rPr>
              <w:t>(3)</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7"/>
              </w:rPr>
              <w:t>2.78</w:t>
            </w:r>
          </w:p>
        </w:tc>
        <w:tc>
          <w:tcPr>
            <w:tcW w:w="2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100" w:type="dxa"/>
            <w:vAlign w:val="bottom"/>
            <w:shd w:val="clear" w:color="auto" w:fill="CFF0FC"/>
          </w:tcPr>
          <w:p>
            <w:pPr>
              <w:spacing w:after="0"/>
              <w:rPr>
                <w:sz w:val="14"/>
                <w:szCs w:val="14"/>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4"/>
                <w:szCs w:val="14"/>
                <w:color w:val="auto"/>
              </w:rPr>
              <w:t>August 1, 2022 - August 31, 2022</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3"/>
          </w:tcPr>
          <w:p>
            <w:pPr>
              <w:jc w:val="right"/>
              <w:ind w:right="1397"/>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11,984,720</w:t>
            </w:r>
          </w:p>
        </w:tc>
        <w:tc>
          <w:tcPr>
            <w:tcW w:w="100" w:type="dxa"/>
            <w:vAlign w:val="bottom"/>
          </w:tcPr>
          <w:p>
            <w:pPr>
              <w:spacing w:after="0"/>
              <w:rPr>
                <w:sz w:val="15"/>
                <w:szCs w:val="15"/>
                <w:color w:val="auto"/>
              </w:rPr>
            </w:pPr>
          </w:p>
        </w:tc>
      </w:tr>
      <w:tr>
        <w:trPr>
          <w:trHeight w:val="175"/>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September 1, 2022 - September 30, 2022</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720" w:type="dxa"/>
            <w:vAlign w:val="bottom"/>
            <w:gridSpan w:val="3"/>
            <w:shd w:val="clear" w:color="auto" w:fill="CFF0FC"/>
          </w:tcPr>
          <w:p>
            <w:pPr>
              <w:jc w:val="right"/>
              <w:ind w:right="1397"/>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100" w:type="dxa"/>
            <w:vAlign w:val="bottom"/>
            <w:shd w:val="clear" w:color="auto" w:fill="CFF0FC"/>
          </w:tcPr>
          <w:p>
            <w:pPr>
              <w:spacing w:after="0"/>
              <w:rPr>
                <w:sz w:val="15"/>
                <w:szCs w:val="15"/>
                <w:color w:val="auto"/>
              </w:rPr>
            </w:pPr>
          </w:p>
        </w:tc>
      </w:tr>
      <w:tr>
        <w:trPr>
          <w:trHeight w:val="169"/>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19,470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20" w:hanging="512"/>
        <w:spacing w:after="0" w:line="24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August 5, 2008, our Board of Directors approved a share repurchase program pursuant to which we are permitted to acquire up to $25.0 million of outstanding shares. This share repurchase program may be discontinued at any time.</w:t>
      </w:r>
    </w:p>
    <w:p>
      <w:pPr>
        <w:ind w:left="520" w:hanging="512"/>
        <w:spacing w:after="0" w:line="242"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column represents the amount that remains available under the $25.0 million repurchase plan, as of the period indicated. We have made no commitment to purchase any shares under this plan.</w:t>
      </w:r>
    </w:p>
    <w:p>
      <w:pPr>
        <w:spacing w:after="0" w:line="1" w:lineRule="exact"/>
        <w:rPr>
          <w:rFonts w:ascii="Arial" w:cs="Arial" w:eastAsia="Arial" w:hAnsi="Arial"/>
          <w:sz w:val="18"/>
          <w:szCs w:val="18"/>
          <w:color w:val="auto"/>
        </w:rPr>
      </w:pPr>
    </w:p>
    <w:p>
      <w:pPr>
        <w:ind w:left="520" w:hanging="512"/>
        <w:spacing w:after="0" w:line="24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the OraSure Technologies, Inc. Stock Award Plan, and in connection with the vesting of restricted and performance shares, these shares were retired to satisfy minimum tax withholdings.</w:t>
      </w:r>
    </w:p>
    <w:p>
      <w:pPr>
        <w:spacing w:after="0" w:line="3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20" w:type="dxa"/>
            <w:vAlign w:val="bottom"/>
            <w:gridSpan w:val="11"/>
          </w:tcPr>
          <w:p>
            <w:pPr>
              <w:ind w:left="2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11280" w:type="dxa"/>
            <w:vAlign w:val="bottom"/>
            <w:gridSpan w:val="12"/>
          </w:tcPr>
          <w:p>
            <w:pPr>
              <w:spacing w:after="0"/>
              <w:rPr>
                <w:sz w:val="20"/>
                <w:szCs w:val="20"/>
                <w:color w:val="auto"/>
              </w:rPr>
            </w:pPr>
            <w:r>
              <w:rPr>
                <w:rFonts w:ascii="Arial" w:cs="Arial" w:eastAsia="Arial" w:hAnsi="Arial"/>
                <w:sz w:val="18"/>
                <w:szCs w:val="18"/>
                <w:b w:val="1"/>
                <w:bCs w:val="1"/>
                <w:color w:val="auto"/>
              </w:rPr>
              <w:t>Item 6.  EXHIBITS</w:t>
            </w:r>
          </w:p>
        </w:tc>
        <w:tc>
          <w:tcPr>
            <w:tcW w:w="0" w:type="dxa"/>
            <w:vAlign w:val="bottom"/>
          </w:tcPr>
          <w:p>
            <w:pPr>
              <w:spacing w:after="0"/>
              <w:rPr>
                <w:sz w:val="1"/>
                <w:szCs w:val="1"/>
                <w:color w:val="auto"/>
              </w:rPr>
            </w:pPr>
          </w:p>
        </w:tc>
      </w:tr>
      <w:tr>
        <w:trPr>
          <w:trHeight w:val="369"/>
        </w:trPr>
        <w:tc>
          <w:tcPr>
            <w:tcW w:w="86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0" w:type="dxa"/>
            <w:vAlign w:val="bottom"/>
            <w:gridSpan w:val="8"/>
            <w:vMerge w:val="restart"/>
          </w:tcPr>
          <w:p>
            <w:pPr>
              <w:ind w:left="364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20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860" w:type="dxa"/>
            <w:vAlign w:val="bottom"/>
          </w:tcPr>
          <w:p>
            <w:pPr>
              <w:ind w:left="12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rFonts w:ascii="Arial" w:cs="Arial" w:eastAsia="Arial" w:hAnsi="Arial"/>
                <w:sz w:val="18"/>
                <w:szCs w:val="18"/>
                <w:color w:val="0000FF"/>
                <w:w w:val="96"/>
              </w:rPr>
            </w:pPr>
            <w:hyperlink r:id="rId297">
              <w:r>
                <w:rPr>
                  <w:rFonts w:ascii="Arial" w:cs="Arial" w:eastAsia="Arial" w:hAnsi="Arial"/>
                  <w:sz w:val="18"/>
                  <w:szCs w:val="18"/>
                  <w:color w:val="0000FF"/>
                  <w:w w:val="96"/>
                </w:rPr>
                <w:t>Employment Agreement dated August 8, 2022, between OraSure Technologies, Inc. and Kenneth J. McGrath is incorporated by</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6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r:id="rId297">
              <w:r>
                <w:rPr>
                  <w:rFonts w:ascii="Arial" w:cs="Arial" w:eastAsia="Arial" w:hAnsi="Arial"/>
                  <w:sz w:val="18"/>
                  <w:szCs w:val="18"/>
                  <w:color w:val="0000FF"/>
                </w:rPr>
                <w:t>reference to Exhibit 10.1 to the Company's Current Report on form 8-K filed August 12, 2022.</w:t>
              </w:r>
            </w:hyperlink>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12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tcPr>
          <w:p>
            <w:pPr>
              <w:ind w:left="12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0000FF"/>
                <w:w w:val="94"/>
              </w:rPr>
              <w:t>Certification of Carrie Eglinton-Manner required by Rule 13a-14(a) or Rule 15d-14(a) under the Securities Exchange Act of 1934, as</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2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rPr>
              <w:t>amended.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0" w:type="dxa"/>
            <w:vAlign w:val="bottom"/>
          </w:tcPr>
          <w:p>
            <w:pPr>
              <w:ind w:left="12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0000FF"/>
                <w:w w:val="96"/>
              </w:rPr>
              <w:t>Certification of Kenneth J. McGrath required by Rule 13a-14(a) or Rule 15d-14(a) under the Securities Exchange Act of 1934, as</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4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amended.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0" w:type="dxa"/>
            <w:vAlign w:val="bottom"/>
          </w:tcPr>
          <w:p>
            <w:pPr>
              <w:ind w:left="12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0000FF"/>
                <w:w w:val="94"/>
              </w:rPr>
              <w:t>Certification of Carrie Eglinton-Manner required by Rule 13a-14(b) or Rule 15d-14(b) under the Securities Exchange Act of 1934, as</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amended, and 18 U.S.C. Section 1350, as Adopted Pursuant to Section 906 of the Sarbanes-Oxley Act of 2002.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00" w:type="dxa"/>
            <w:vAlign w:val="bottom"/>
            <w:gridSpan w:val="3"/>
            <w:shd w:val="clear" w:color="auto" w:fill="0000FF"/>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0" w:type="dxa"/>
            <w:vAlign w:val="bottom"/>
          </w:tcPr>
          <w:p>
            <w:pPr>
              <w:ind w:left="12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0000FF"/>
                <w:w w:val="96"/>
              </w:rPr>
              <w:t>Certification of Kenneth J. McGrath required by Rule 13a-14(b) or Rule 15d-14(b) under the Securities Exchange Act of 1934, as</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8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amended, and 18 U.S.C. Section 1350, as Adopted Pursuant to Section 906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00" w:type="dxa"/>
            <w:vAlign w:val="bottom"/>
            <w:gridSpan w:val="3"/>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0" w:type="dxa"/>
            <w:vAlign w:val="bottom"/>
          </w:tcPr>
          <w:p>
            <w:pPr>
              <w:ind w:left="20"/>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860" w:type="dxa"/>
            <w:vAlign w:val="bottom"/>
          </w:tcPr>
          <w:p>
            <w:pPr>
              <w:ind w:left="20"/>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860" w:type="dxa"/>
            <w:vAlign w:val="bottom"/>
          </w:tcPr>
          <w:p>
            <w:pPr>
              <w:ind w:left="20"/>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860" w:type="dxa"/>
            <w:vAlign w:val="bottom"/>
          </w:tcPr>
          <w:p>
            <w:pPr>
              <w:ind w:left="20"/>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860" w:type="dxa"/>
            <w:vAlign w:val="bottom"/>
          </w:tcPr>
          <w:p>
            <w:pPr>
              <w:ind w:left="20"/>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92"/>
        </w:trPr>
        <w:tc>
          <w:tcPr>
            <w:tcW w:w="860" w:type="dxa"/>
            <w:vAlign w:val="bottom"/>
          </w:tcPr>
          <w:p>
            <w:pPr>
              <w:ind w:left="20"/>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50"/>
        </w:trPr>
        <w:tc>
          <w:tcPr>
            <w:tcW w:w="860" w:type="dxa"/>
            <w:vAlign w:val="bottom"/>
          </w:tcPr>
          <w:p>
            <w:pPr>
              <w:ind w:left="20"/>
              <w:spacing w:after="0"/>
              <w:rPr>
                <w:sz w:val="20"/>
                <w:szCs w:val="20"/>
                <w:color w:val="auto"/>
              </w:rPr>
            </w:pPr>
            <w:r>
              <w:rPr>
                <w:rFonts w:ascii="Arial" w:cs="Arial" w:eastAsia="Arial" w:hAnsi="Arial"/>
                <w:sz w:val="18"/>
                <w:szCs w:val="18"/>
                <w:color w:val="auto"/>
                <w:w w:val="92"/>
              </w:rPr>
              <w:t>Exhibit 104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w w:val="94"/>
              </w:rPr>
              <w:t>Cover Page from the Company’s Quarterly Report on Form 10-Q for the Quarter Ended September 30, 2021 has been formatted in</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4711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33"/>
          <w:szCs w:val="33"/>
          <w:color w:val="auto"/>
          <w:vertAlign w:val="superscript"/>
        </w:rPr>
        <w:t>*</w:t>
      </w:r>
      <w:r>
        <w:rPr>
          <w:rFonts w:ascii="Arial" w:cs="Arial" w:eastAsia="Arial" w:hAnsi="Arial"/>
          <w:sz w:val="18"/>
          <w:szCs w:val="18"/>
          <w:color w:val="auto"/>
        </w:rPr>
        <w:t>Filed herewith</w:t>
      </w: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34" w:lineRule="exact"/>
        <w:rPr>
          <w:sz w:val="20"/>
          <w:szCs w:val="20"/>
          <w:color w:val="auto"/>
        </w:rPr>
      </w:pPr>
    </w:p>
    <w:p>
      <w:pPr>
        <w:ind w:left="160" w:right="360" w:hanging="149"/>
        <w:spacing w:after="0" w:line="261" w:lineRule="auto"/>
        <w:rPr>
          <w:sz w:val="20"/>
          <w:szCs w:val="20"/>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3" w:name="page34"/>
    <w:bookmarkEnd w:id="33"/>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ORASURE TECHNOLOGIES, INC.</w:t>
      </w:r>
    </w:p>
    <w:p>
      <w:pPr>
        <w:spacing w:after="0" w:line="29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6"/>
          <w:szCs w:val="16"/>
          <w:color w:val="auto"/>
        </w:rPr>
        <w:t>Kenneth J. McGrath</w:t>
      </w:r>
    </w:p>
    <w:p>
      <w:pPr>
        <w:spacing w:after="0" w:line="5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p>
      <w:pPr>
        <w:spacing w:after="0" w:line="29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/s/Michele M.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7"/>
          <w:szCs w:val="17"/>
          <w:color w:val="auto"/>
        </w:rPr>
        <w:t>Michele M. Anthony</w:t>
      </w:r>
    </w:p>
    <w:p>
      <w:pPr>
        <w:spacing w:after="0" w:line="50"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Senior Vice President, Controller and Chief Accounting Officer</w:t>
      </w:r>
    </w:p>
    <w:p>
      <w:pPr>
        <w:spacing w:after="0" w:line="7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324" w:right="11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Carrie Eglinton Manner, certify that:</w:t>
      </w:r>
    </w:p>
    <w:p>
      <w:pPr>
        <w:spacing w:after="0" w:line="104"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17"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140" w:hanging="512"/>
        <w:spacing w:after="0" w:line="256"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24"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8, 2022</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Carrie Eglinton Manner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Kenneth J. McGrath, certify that:</w:t>
      </w:r>
    </w:p>
    <w:p>
      <w:pPr>
        <w:spacing w:after="0" w:line="104"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17"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140" w:hanging="512"/>
        <w:spacing w:after="0" w:line="256"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24"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8, 2022</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Kenneth J. McGrath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jc w:val="both"/>
        <w:ind w:right="180"/>
        <w:spacing w:after="0" w:line="278" w:lineRule="auto"/>
        <w:rPr>
          <w:sz w:val="20"/>
          <w:szCs w:val="20"/>
          <w:color w:val="auto"/>
        </w:rPr>
      </w:pPr>
      <w:r>
        <w:rPr>
          <w:rFonts w:ascii="Arial" w:cs="Arial" w:eastAsia="Arial" w:hAnsi="Arial"/>
          <w:sz w:val="17"/>
          <w:szCs w:val="17"/>
          <w:color w:val="auto"/>
        </w:rPr>
        <w:t>In connection with the Quarterly Report of OraSure Technologies, Inc. (the “Company”) on Form 10-Q for the quarter ended September 30, 2022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50" w:lineRule="exact"/>
        <w:rPr>
          <w:sz w:val="20"/>
          <w:szCs w:val="20"/>
          <w:color w:val="auto"/>
        </w:rPr>
      </w:pPr>
    </w:p>
    <w:p>
      <w:pPr>
        <w:ind w:left="780" w:hanging="263"/>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Carrie Eglinton Manner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Carrie Eglinton Manner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 U.S.C. </w:t>
      </w:r>
      <w:r>
        <w:rPr>
          <w:rFonts w:ascii="Arial" w:cs="Arial" w:eastAsia="Arial" w:hAnsi="Arial"/>
          <w:sz w:val="18"/>
          <w:szCs w:val="18"/>
          <w:color w:val="auto"/>
        </w:rPr>
        <w:t>§</w:t>
      </w:r>
      <w:r>
        <w:rPr>
          <w:rFonts w:ascii="Arial" w:cs="Arial" w:eastAsia="Arial" w:hAnsi="Arial"/>
          <w:sz w:val="18"/>
          <w:szCs w:val="18"/>
          <w:b w:val="1"/>
          <w:bCs w:val="1"/>
          <w:color w:val="auto"/>
        </w:rPr>
        <w:t xml:space="preserve">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connection with the Quarterly Report of OraSure Technologies, Inc. (the “Company”) on Form 10-Q for the quarter ended September 30, 2022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67" w:lineRule="exact"/>
        <w:rPr>
          <w:sz w:val="20"/>
          <w:szCs w:val="20"/>
          <w:color w:val="auto"/>
        </w:rPr>
      </w:pPr>
    </w:p>
    <w:p>
      <w:pPr>
        <w:ind w:left="780" w:hanging="263"/>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Kenneth J. McGrath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Kenneth J. McGrath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3"/>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297" Type="http://schemas.openxmlformats.org/officeDocument/2006/relationships/hyperlink" Target="https://www.sec.gov/Archives/edgar/data/1116463/000095017022017127/osur-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2022-11-08T16:08:50Z</dcterms:created>
  <dcterms:modified xsi:type="dcterms:W3CDTF">2022-11-08T16:08:50Z</dcterms:modified>
</cp:coreProperties>
</file>