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erif" w:hAnsi="Times New Roman;serif"/>
          <w:b/>
          <w:color w:val="000000"/>
          <w:sz w:val="28"/>
        </w:rPr>
      </w:pPr>
      <w:r>
        <w:rPr>
          <w:rFonts w:ascii="Times New Roman;serif" w:hAnsi="Times New Roman;serif"/>
          <w:b/>
          <w:color w:val="000000"/>
          <w:sz w:val="28"/>
        </w:rPr>
        <w:t>UNITED STATES</w:t>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SECURITIES AND EXCHANGE COMMISSION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p>
      <w:pPr>
        <w:pStyle w:val="TextBody"/>
        <w:bidi w:val="0"/>
        <w:spacing w:lineRule="auto" w:line="288" w:before="240" w:after="283"/>
        <w:jc w:val="center"/>
        <w:rPr>
          <w:rFonts w:ascii="Times New Roman;serif" w:hAnsi="Times New Roman;serif"/>
          <w:b/>
          <w:color w:val="000000"/>
          <w:sz w:val="28"/>
        </w:rPr>
      </w:pPr>
      <w:r>
        <w:rPr>
          <w:rFonts w:ascii="Times New Roman;serif" w:hAnsi="Times New Roman;serif"/>
          <w:b/>
          <w:color w:val="000000"/>
          <w:sz w:val="28"/>
        </w:rPr>
        <w:t>FORM 8-K</w:t>
      </w:r>
    </w:p>
    <w:p>
      <w:pPr>
        <w:pStyle w:val="TextBody"/>
        <w:bidi w:val="0"/>
        <w:spacing w:lineRule="auto" w:line="288" w:before="240" w:after="283"/>
        <w:jc w:val="center"/>
        <w:rPr>
          <w:rFonts w:ascii="Times New Roman;serif" w:hAnsi="Times New Roman;serif"/>
          <w:b/>
          <w:color w:val="000000"/>
          <w:sz w:val="24"/>
        </w:rPr>
      </w:pPr>
      <w:r>
        <w:rPr>
          <w:rFonts w:ascii="Times New Roman;serif" w:hAnsi="Times New Roman;serif"/>
          <w:b/>
          <w:color w:val="000000"/>
          <w:sz w:val="24"/>
        </w:rPr>
        <w:t>CURRENT REPORT</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PURSUANT TO SECTION 13 OR 15(d)</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OF THE SECURITIES EXCHANGE ACT OF 1934</w:t>
      </w:r>
    </w:p>
    <w:p>
      <w:pPr>
        <w:pStyle w:val="TextBody"/>
        <w:bidi w:val="0"/>
        <w:spacing w:lineRule="auto" w:line="288" w:before="240" w:after="283"/>
        <w:jc w:val="center"/>
        <w:rPr>
          <w:rFonts w:ascii="Times New Roman;serif" w:hAnsi="Times New Roman;serif"/>
          <w:b/>
          <w:color w:val="000000"/>
          <w:sz w:val="24"/>
        </w:rPr>
      </w:pPr>
      <w:r>
        <w:rPr>
          <w:rFonts w:ascii="Times New Roman;serif" w:hAnsi="Times New Roman;serif"/>
          <w:b/>
          <w:color w:val="000000"/>
          <w:sz w:val="24"/>
        </w:rPr>
        <w:t>Date of Report (Date of earliest event reported): August 5, 2026</w:t>
      </w:r>
    </w:p>
    <w:p>
      <w:pPr>
        <w:pStyle w:val="TextBody"/>
        <w:bidi w:val="0"/>
        <w:spacing w:lineRule="auto" w:line="288" w:before="240" w:after="283"/>
        <w:jc w:val="center"/>
        <w:rPr>
          <w:rFonts w:ascii="Times New Roman;serif" w:hAnsi="Times New Roman;serif"/>
          <w:b/>
          <w:color w:val="000000"/>
          <w:sz w:val="32"/>
        </w:rPr>
      </w:pPr>
      <w:r>
        <w:rPr>
          <w:rFonts w:ascii="Times New Roman;serif" w:hAnsi="Times New Roman;serif"/>
          <w:b/>
          <w:color w:val="000000"/>
          <w:sz w:val="32"/>
        </w:rPr>
        <w:t>OraSure Technologies,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(Exact Name of Registrant as Specified in Charter)</w:t>
      </w:r>
    </w:p>
    <w:tbl>
      <w:tblPr>
        <w:tblW w:w="5353" w:type="dxa"/>
        <w:jc w:val="left"/>
        <w:tblInd w:w="0" w:type="dxa"/>
        <w:tblLayout w:type="fixed"/>
        <w:tblCellMar>
          <w:top w:w="28" w:type="dxa"/>
          <w:left w:w="28" w:type="dxa"/>
          <w:bottom w:w="28" w:type="dxa"/>
          <w:right w:w="28" w:type="dxa"/>
        </w:tblCellMar>
      </w:tblPr>
      <w:tblGrid>
        <w:gridCol w:w="885"/>
        <w:gridCol w:w="775"/>
        <w:gridCol w:w="785"/>
        <w:gridCol w:w="408"/>
        <w:gridCol w:w="408"/>
        <w:gridCol w:w="413"/>
        <w:gridCol w:w="490"/>
        <w:gridCol w:w="490"/>
        <w:gridCol w:w="699"/>
      </w:tblGrid>
      <w:tr>
        <w:trPr/>
        <w:tc>
          <w:tcPr>
            <w:tcW w:w="885"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r>
      <w:tr>
        <w:trPr/>
        <w:tc>
          <w:tcPr>
            <w:tcW w:w="244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Delaware</w:t>
            </w:r>
          </w:p>
        </w:tc>
        <w:tc>
          <w:tcPr>
            <w:tcW w:w="122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001-16537</w:t>
            </w:r>
          </w:p>
        </w:tc>
        <w:tc>
          <w:tcPr>
            <w:tcW w:w="167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36-4370966</w:t>
            </w:r>
          </w:p>
        </w:tc>
      </w:tr>
      <w:tr>
        <w:trPr/>
        <w:tc>
          <w:tcPr>
            <w:tcW w:w="244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(State or Other Jurisdiction</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of Incorporation)</w:t>
            </w:r>
          </w:p>
        </w:tc>
        <w:tc>
          <w:tcPr>
            <w:tcW w:w="122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(Commission</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File Number)</w:t>
            </w:r>
          </w:p>
        </w:tc>
        <w:tc>
          <w:tcPr>
            <w:tcW w:w="167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(I.R.S. Employer</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Identification No.)</w:t>
            </w:r>
          </w:p>
        </w:tc>
      </w:tr>
    </w:tbl>
    <w:tbl>
      <w:tblPr>
        <w:tblW w:w="4633" w:type="dxa"/>
        <w:jc w:val="left"/>
        <w:tblInd w:w="0" w:type="dxa"/>
        <w:tblLayout w:type="fixed"/>
        <w:tblCellMar>
          <w:top w:w="28" w:type="dxa"/>
          <w:left w:w="28" w:type="dxa"/>
          <w:bottom w:w="28" w:type="dxa"/>
          <w:right w:w="28" w:type="dxa"/>
        </w:tblCellMar>
      </w:tblPr>
      <w:tblGrid>
        <w:gridCol w:w="1260"/>
        <w:gridCol w:w="1106"/>
        <w:gridCol w:w="1113"/>
        <w:gridCol w:w="337"/>
        <w:gridCol w:w="337"/>
        <w:gridCol w:w="480"/>
      </w:tblGrid>
      <w:tr>
        <w:trPr/>
        <w:tc>
          <w:tcPr>
            <w:tcW w:w="1260" w:type="dxa"/>
            <w:tcBorders/>
            <w:vAlign w:val="center"/>
          </w:tcPr>
          <w:p>
            <w:pPr>
              <w:pStyle w:val="TableContents"/>
              <w:bidi w:val="0"/>
              <w:spacing w:before="0" w:after="283"/>
              <w:jc w:val="left"/>
              <w:rPr>
                <w:sz w:val="4"/>
                <w:szCs w:val="4"/>
              </w:rPr>
            </w:pPr>
            <w:r>
              <w:rPr>
                <w:sz w:val="4"/>
                <w:szCs w:val="4"/>
              </w:rPr>
            </w:r>
          </w:p>
        </w:tc>
        <w:tc>
          <w:tcPr>
            <w:tcW w:w="1106"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r>
      <w:tr>
        <w:trPr/>
        <w:tc>
          <w:tcPr>
            <w:tcW w:w="347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220 East First Street</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Bethlehem, Pennsylvania</w:t>
            </w:r>
          </w:p>
        </w:tc>
        <w:tc>
          <w:tcPr>
            <w:tcW w:w="115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18015-1360</w:t>
            </w:r>
          </w:p>
        </w:tc>
      </w:tr>
      <w:tr>
        <w:trPr/>
        <w:tc>
          <w:tcPr>
            <w:tcW w:w="347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(Address of Principal Executive Offices)</w:t>
            </w:r>
          </w:p>
        </w:tc>
        <w:tc>
          <w:tcPr>
            <w:tcW w:w="115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(Zip Code)</w:t>
            </w:r>
          </w:p>
        </w:tc>
      </w:tr>
    </w:tbl>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Registrant’s telephone number, including area code: 610-882-1820</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9337" w:type="dxa"/>
        <w:jc w:val="left"/>
        <w:tblInd w:w="0" w:type="dxa"/>
        <w:tblLayout w:type="fixed"/>
        <w:tblCellMar>
          <w:top w:w="28" w:type="dxa"/>
          <w:left w:w="28" w:type="dxa"/>
          <w:bottom w:w="28" w:type="dxa"/>
          <w:right w:w="28" w:type="dxa"/>
        </w:tblCellMar>
      </w:tblPr>
      <w:tblGrid>
        <w:gridCol w:w="1414"/>
        <w:gridCol w:w="1243"/>
        <w:gridCol w:w="1257"/>
        <w:gridCol w:w="109"/>
        <w:gridCol w:w="109"/>
        <w:gridCol w:w="109"/>
        <w:gridCol w:w="314"/>
        <w:gridCol w:w="314"/>
        <w:gridCol w:w="316"/>
        <w:gridCol w:w="109"/>
        <w:gridCol w:w="109"/>
        <w:gridCol w:w="109"/>
        <w:gridCol w:w="1118"/>
        <w:gridCol w:w="1118"/>
        <w:gridCol w:w="1589"/>
      </w:tblGrid>
      <w:tr>
        <w:trPr/>
        <w:tc>
          <w:tcPr>
            <w:tcW w:w="1414" w:type="dxa"/>
            <w:tcBorders/>
            <w:vAlign w:val="center"/>
          </w:tcPr>
          <w:p>
            <w:pPr>
              <w:pStyle w:val="TableContents"/>
              <w:bidi w:val="0"/>
              <w:spacing w:before="0" w:after="283"/>
              <w:jc w:val="left"/>
              <w:rPr>
                <w:sz w:val="4"/>
                <w:szCs w:val="4"/>
              </w:rPr>
            </w:pPr>
            <w:r>
              <w:rPr>
                <w:sz w:val="4"/>
                <w:szCs w:val="4"/>
              </w:rPr>
            </w:r>
          </w:p>
        </w:tc>
        <w:tc>
          <w:tcPr>
            <w:tcW w:w="1243" w:type="dxa"/>
            <w:tcBorders/>
            <w:vAlign w:val="center"/>
          </w:tcPr>
          <w:p>
            <w:pPr>
              <w:pStyle w:val="TableContents"/>
              <w:bidi w:val="0"/>
              <w:spacing w:before="0" w:after="283"/>
              <w:jc w:val="left"/>
              <w:rPr>
                <w:sz w:val="4"/>
                <w:szCs w:val="4"/>
              </w:rPr>
            </w:pPr>
            <w:r>
              <w:rPr>
                <w:sz w:val="4"/>
                <w:szCs w:val="4"/>
              </w:rPr>
            </w:r>
          </w:p>
        </w:tc>
        <w:tc>
          <w:tcPr>
            <w:tcW w:w="12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589" w:type="dxa"/>
            <w:tcBorders/>
            <w:vAlign w:val="center"/>
          </w:tcPr>
          <w:p>
            <w:pPr>
              <w:pStyle w:val="TableContents"/>
              <w:bidi w:val="0"/>
              <w:spacing w:before="0" w:after="283"/>
              <w:jc w:val="left"/>
              <w:rPr>
                <w:sz w:val="4"/>
                <w:szCs w:val="4"/>
              </w:rPr>
            </w:pPr>
            <w:r>
              <w:rPr>
                <w:sz w:val="4"/>
                <w:szCs w:val="4"/>
              </w:rPr>
            </w:r>
          </w:p>
        </w:tc>
      </w:tr>
      <w:tr>
        <w:trPr/>
        <w:tc>
          <w:tcPr>
            <w:tcW w:w="391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Title of each class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Trading</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Symbol(s)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op w:val="single" w:sz="8" w:space="0" w:color="000000"/>
              <w:right w:val="single" w:sz="8" w:space="0" w:color="000000"/>
            </w:tcBorders>
            <w:tcMar>
              <w:top w:w="30" w:type="dxa"/>
              <w:left w:w="0" w:type="dxa"/>
              <w:bottom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Name of each exchange on which registered</w:t>
            </w:r>
          </w:p>
        </w:tc>
      </w:tr>
      <w:tr>
        <w:trPr/>
        <w:tc>
          <w:tcPr>
            <w:tcW w:w="3914"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Common Stock, $0.000001 par value per share</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OSUR</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op w:val="single" w:sz="8" w:space="0" w:color="000000"/>
              <w:bottom w:val="single" w:sz="8" w:space="0" w:color="000000"/>
              <w:right w:val="single" w:sz="8" w:space="0" w:color="000000"/>
            </w:tcBorders>
            <w:tcMar>
              <w:top w:w="30" w:type="dxa"/>
              <w:left w:w="0" w:type="dxa"/>
              <w:bottom w:w="3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The Nasdaq Stock Market LLC</w:t>
            </w:r>
          </w:p>
        </w:tc>
      </w:tr>
    </w:tbl>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w:t>
      </w:r>
    </w:p>
    <w:p>
      <w:pPr>
        <w:pStyle w:val="TextBody"/>
        <w:bidi w:val="0"/>
        <w:spacing w:lineRule="auto" w:line="288" w:before="240" w:after="283"/>
        <w:jc w:val="left"/>
        <w:rPr/>
      </w:pPr>
      <w:r>
        <w:rPr>
          <w:rFonts w:ascii="Wingdings;sans-serif" w:hAnsi="Wingdings;sans-serif"/>
          <w:b w:val="false"/>
          <w:color w:val="000000"/>
          <w:sz w:val="20"/>
        </w:rPr>
        <w:t>o</w:t>
      </w:r>
      <w:r>
        <w:rPr>
          <w:color w:val="000000"/>
        </w:rPr>
        <w:t xml:space="preserve"> </w:t>
      </w:r>
      <w:r>
        <w:rPr>
          <w:rFonts w:ascii="Times New Roman;serif" w:hAnsi="Times New Roman;serif"/>
          <w:b w:val="false"/>
          <w:color w:val="000000"/>
          <w:sz w:val="20"/>
        </w:rPr>
        <w:t>Written communications pursuant to Rule 425 under the Securities Act (17 CFR 230.425)</w:t>
      </w:r>
    </w:p>
    <w:p>
      <w:pPr>
        <w:pStyle w:val="TextBody"/>
        <w:bidi w:val="0"/>
        <w:spacing w:lineRule="auto" w:line="288" w:before="0" w:after="0"/>
        <w:jc w:val="left"/>
        <w:rPr/>
      </w:pPr>
      <w:r>
        <w:rPr>
          <w:rFonts w:ascii="Wingdings;sans-serif" w:hAnsi="Wingdings;sans-serif"/>
          <w:b w:val="false"/>
          <w:color w:val="000000"/>
          <w:sz w:val="20"/>
        </w:rPr>
        <w:t>o</w:t>
      </w:r>
      <w:r>
        <w:rPr>
          <w:color w:val="000000"/>
        </w:rPr>
        <w:t xml:space="preserve"> </w:t>
      </w:r>
      <w:r>
        <w:rPr>
          <w:rFonts w:ascii="Times New Roman;serif" w:hAnsi="Times New Roman;serif"/>
          <w:b w:val="false"/>
          <w:color w:val="000000"/>
          <w:sz w:val="20"/>
        </w:rPr>
        <w:t>Soliciting material pursuant to Rule 14a-12 under the Exchange Act (17 CFR 240.14a-12)</w:t>
      </w:r>
    </w:p>
    <w:p>
      <w:pPr>
        <w:pStyle w:val="TextBody"/>
        <w:bidi w:val="0"/>
        <w:spacing w:lineRule="auto" w:line="288" w:before="0" w:after="0"/>
        <w:jc w:val="left"/>
        <w:rPr/>
      </w:pPr>
      <w:r>
        <w:rPr>
          <w:rFonts w:ascii="Wingdings;sans-serif" w:hAnsi="Wingdings;sans-serif"/>
          <w:b w:val="false"/>
          <w:color w:val="000000"/>
          <w:sz w:val="20"/>
        </w:rPr>
        <w:t>o</w:t>
      </w:r>
      <w:r>
        <w:rPr>
          <w:color w:val="000000"/>
        </w:rPr>
        <w:t xml:space="preserve"> </w:t>
      </w:r>
      <w:r>
        <w:rPr>
          <w:rFonts w:ascii="Times New Roman;serif" w:hAnsi="Times New Roman;serif"/>
          <w:b w:val="false"/>
          <w:color w:val="000000"/>
          <w:sz w:val="20"/>
        </w:rPr>
        <w:t>Pre-commencement communications pursuant to Rule 14d-2(b) under the Exchange Act (17 CFR 240.14d-2(b))</w:t>
      </w:r>
    </w:p>
    <w:p>
      <w:pPr>
        <w:pStyle w:val="TextBody"/>
        <w:bidi w:val="0"/>
        <w:spacing w:lineRule="auto" w:line="288" w:before="0" w:after="0"/>
        <w:jc w:val="left"/>
        <w:rPr/>
      </w:pPr>
      <w:r>
        <w:rPr>
          <w:rFonts w:ascii="Wingdings;sans-serif" w:hAnsi="Wingdings;sans-serif"/>
          <w:b w:val="false"/>
          <w:color w:val="000000"/>
          <w:sz w:val="20"/>
        </w:rPr>
        <w:t>o</w:t>
      </w:r>
      <w:r>
        <w:rPr>
          <w:color w:val="000000"/>
        </w:rPr>
        <w:t xml:space="preserve"> </w:t>
      </w:r>
      <w:r>
        <w:rPr>
          <w:rFonts w:ascii="Times New Roman;serif" w:hAnsi="Times New Roman;serif"/>
          <w:b w:val="false"/>
          <w:color w:val="000000"/>
          <w:sz w:val="20"/>
        </w:rPr>
        <w:t>Pre-commencement communications pursuant to Rule 13e-4(c) under the Exchange Act (17 CFR 240.13e-4(c))</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Indicate by a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240" w:after="283"/>
        <w:jc w:val="left"/>
        <w:rPr/>
      </w:pPr>
      <w:r>
        <w:rPr>
          <w:rFonts w:ascii="Times New Roman;serif" w:hAnsi="Times New Roman;serif"/>
          <w:b w:val="false"/>
          <w:color w:val="000000"/>
          <w:sz w:val="20"/>
        </w:rPr>
        <w:t xml:space="preserve">Emerging growth company </w:t>
      </w:r>
      <w:r>
        <w:rPr>
          <w:rFonts w:ascii="Wingdings;sans-serif" w:hAnsi="Wingdings;sans-serif"/>
          <w:b w:val="false"/>
          <w:color w:val="000000"/>
          <w:sz w:val="20"/>
        </w:rPr>
        <w:t>o</w:t>
      </w:r>
    </w:p>
    <w:p>
      <w:pPr>
        <w:pStyle w:val="TextBody"/>
        <w:bidi w:val="0"/>
        <w:spacing w:lineRule="auto" w:line="288" w:before="240" w:after="283"/>
        <w:jc w:val="left"/>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20"/>
        </w:rPr>
        <w:t>o</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2.02 – Results of Operations and Financial Condition.</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On August 5, 2026, OraSure Technologies, Inc. (the “Company”) issued a press release announcing its consolidated financial results for the quarter ended June 30, 2026. A copy of the press release is furnished as Exhibit 99.1 to this Current Report on Form 8-K and is incorporated herein by reference.</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information in Item 2.02 and attached as Exhibit 99.1 shall not be deemed “filed” for purposes of Section 18 of the Securities Exchange Act of 1934 or otherwise subject to the liabilities of that section, nor shall such information and Exhibit be deemed incorporated by reference in any filing under the Securities Act of 1933, except as shall be expressly set forth by specific reference in such a filing. The fact that the information and Exhibit are being furnished should not be deemed an admission as to the materiality of any information contained therein. The Company undertakes no duty or obligation to publicly update or revise the information contained in this Current Report on Form 8-K or attached Exhibit.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9.01 – Financial Statements and Exhibits.</w:t>
      </w:r>
    </w:p>
    <w:p>
      <w:pPr>
        <w:pStyle w:val="TextBody"/>
        <w:bidi w:val="0"/>
        <w:spacing w:lineRule="auto" w:line="288" w:before="240" w:after="283"/>
        <w:ind w:left="0" w:right="0" w:hanging="270"/>
        <w:jc w:val="left"/>
        <w:rPr>
          <w:rFonts w:ascii="Times New Roman;serif" w:hAnsi="Times New Roman;serif"/>
          <w:b/>
          <w:color w:val="000000"/>
          <w:sz w:val="20"/>
        </w:rPr>
      </w:pPr>
      <w:r>
        <w:rPr>
          <w:rFonts w:ascii="Times New Roman;serif" w:hAnsi="Times New Roman;serif"/>
          <w:b/>
          <w:color w:val="000000"/>
          <w:sz w:val="20"/>
        </w:rPr>
        <w:t>(d)Exhibits</w:t>
      </w:r>
    </w:p>
    <w:tbl>
      <w:tblPr>
        <w:tblW w:w="10205" w:type="dxa"/>
        <w:jc w:val="left"/>
        <w:tblInd w:w="0" w:type="dxa"/>
        <w:tblLayout w:type="fixed"/>
        <w:tblCellMar>
          <w:top w:w="28" w:type="dxa"/>
          <w:left w:w="28" w:type="dxa"/>
          <w:bottom w:w="28" w:type="dxa"/>
          <w:right w:w="28" w:type="dxa"/>
        </w:tblCellMar>
      </w:tblPr>
      <w:tblGrid>
        <w:gridCol w:w="255"/>
        <w:gridCol w:w="225"/>
        <w:gridCol w:w="226"/>
        <w:gridCol w:w="109"/>
        <w:gridCol w:w="109"/>
        <w:gridCol w:w="109"/>
        <w:gridCol w:w="2675"/>
        <w:gridCol w:w="2675"/>
        <w:gridCol w:w="3822"/>
      </w:tblGrid>
      <w:tr>
        <w:trPr/>
        <w:tc>
          <w:tcPr>
            <w:tcW w:w="25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5" w:type="dxa"/>
            <w:tcBorders/>
            <w:vAlign w:val="center"/>
          </w:tcPr>
          <w:p>
            <w:pPr>
              <w:pStyle w:val="TableContents"/>
              <w:bidi w:val="0"/>
              <w:spacing w:before="0" w:after="283"/>
              <w:jc w:val="left"/>
              <w:rPr>
                <w:sz w:val="4"/>
                <w:szCs w:val="4"/>
              </w:rPr>
            </w:pPr>
            <w:r>
              <w:rPr>
                <w:sz w:val="4"/>
                <w:szCs w:val="4"/>
              </w:rPr>
            </w:r>
          </w:p>
        </w:tc>
        <w:tc>
          <w:tcPr>
            <w:tcW w:w="2675" w:type="dxa"/>
            <w:tcBorders/>
            <w:vAlign w:val="center"/>
          </w:tcPr>
          <w:p>
            <w:pPr>
              <w:pStyle w:val="TableContents"/>
              <w:bidi w:val="0"/>
              <w:spacing w:before="0" w:after="283"/>
              <w:jc w:val="left"/>
              <w:rPr>
                <w:sz w:val="4"/>
                <w:szCs w:val="4"/>
              </w:rPr>
            </w:pPr>
            <w:r>
              <w:rPr>
                <w:sz w:val="4"/>
                <w:szCs w:val="4"/>
              </w:rPr>
            </w:r>
          </w:p>
        </w:tc>
        <w:tc>
          <w:tcPr>
            <w:tcW w:w="3822"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Exhibit</w:t>
              <w:b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Description</w:t>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osur-pressreleaseq22026.htm">
              <w:r>
                <w:rPr>
                  <w:rStyle w:val="InternetLink"/>
                  <w:rFonts w:ascii="Times New Roman;serif" w:hAnsi="Times New Roman;serif"/>
                  <w:b w:val="false"/>
                  <w:color w:val="000080"/>
                  <w:sz w:val="20"/>
                  <w:u w:val="single"/>
                </w:rPr>
                <w:t xml:space="preserve">Press Release, dated </w:t>
              </w:r>
            </w:hyperlink>
            <w:hyperlink w:anchor="osur-pressreleaseq22026.htm">
              <w:r>
                <w:rPr>
                  <w:rStyle w:val="InternetLink"/>
                  <w:rFonts w:ascii="Times New Roman;serif" w:hAnsi="Times New Roman;serif"/>
                  <w:b w:val="false"/>
                  <w:color w:val="000080"/>
                  <w:sz w:val="20"/>
                  <w:u w:val="single"/>
                </w:rPr>
                <w:t xml:space="preserve">August </w:t>
              </w:r>
            </w:hyperlink>
            <w:hyperlink w:anchor="osur-pressreleaseq22026.htm">
              <w:r>
                <w:rPr>
                  <w:rStyle w:val="InternetLink"/>
                  <w:rFonts w:ascii="Times New Roman;serif" w:hAnsi="Times New Roman;serif"/>
                  <w:b w:val="false"/>
                  <w:color w:val="000080"/>
                  <w:sz w:val="20"/>
                  <w:u w:val="single"/>
                </w:rPr>
                <w:t>5</w:t>
              </w:r>
            </w:hyperlink>
            <w:hyperlink w:anchor="osur-pressreleaseq22026.htm">
              <w:r>
                <w:rPr>
                  <w:rStyle w:val="InternetLink"/>
                  <w:rFonts w:ascii="Times New Roman;serif" w:hAnsi="Times New Roman;serif"/>
                  <w:b w:val="false"/>
                  <w:color w:val="000080"/>
                  <w:sz w:val="20"/>
                  <w:u w:val="single"/>
                </w:rPr>
                <w:t xml:space="preserve">, 2026, announcing the consolidated financial results of OraSure Technologies, Inc. for the quarter ended </w:t>
              </w:r>
            </w:hyperlink>
            <w:hyperlink w:anchor="osur-pressreleaseq22026.htm">
              <w:r>
                <w:rPr>
                  <w:rStyle w:val="InternetLink"/>
                  <w:rFonts w:ascii="Times New Roman;serif" w:hAnsi="Times New Roman;serif"/>
                  <w:b w:val="false"/>
                  <w:color w:val="000080"/>
                  <w:sz w:val="20"/>
                  <w:u w:val="single"/>
                </w:rPr>
                <w:t>June 30</w:t>
              </w:r>
            </w:hyperlink>
            <w:hyperlink w:anchor="osur-pressreleaseq22026.htm">
              <w:r>
                <w:rPr>
                  <w:rStyle w:val="InternetLink"/>
                  <w:rFonts w:ascii="Times New Roman;serif" w:hAnsi="Times New Roman;serif"/>
                  <w:b w:val="false"/>
                  <w:color w:val="000080"/>
                  <w:sz w:val="20"/>
                  <w:u w:val="single"/>
                </w:rPr>
                <w:t>, 2026 and certain other matters.</w:t>
              </w:r>
            </w:hyperlink>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bl>
    <w:p>
      <w:pPr>
        <w:pStyle w:val="TextBody"/>
        <w:bidi w:val="0"/>
        <w:spacing w:lineRule="auto" w:line="288" w:before="240" w:after="283"/>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7955"/>
                <wp:effectExtent l="0" t="0" r="0" b="0"/>
                <wp:wrapNone/>
                <wp:docPr id="2" name="Frame2"/>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left"/>
                              <w:rPr>
                                <w:rFonts w:ascii="sans-serif" w:hAnsi="sans-serif"/>
                                <w:b w:val="false"/>
                                <w:color w:val="000000"/>
                                <w:sz w:val="20"/>
                              </w:rPr>
                            </w:pPr>
                            <w:r>
                              <w:rPr>
                                <w:rFonts w:ascii="sans-serif" w:hAnsi="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sans-serif" w:hAnsi="sans-serif"/>
                          <w:b w:val="false"/>
                          <w:color w:val="000000"/>
                          <w:sz w:val="20"/>
                        </w:rPr>
                      </w:pPr>
                      <w:r>
                        <w:rPr>
                          <w:rFonts w:ascii="sans-serif" w:hAnsi="sans-serif"/>
                          <w:b w:val="false"/>
                          <w:color w:val="000000"/>
                          <w:sz w:val="20"/>
                        </w:rPr>
                        <w:t>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SIGNATURE</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as amended, the registrant has duly caused this report to be signed on its behalf by the undersigned hereunto duly authorized.</w:t>
      </w:r>
    </w:p>
    <w:tbl>
      <w:tblPr>
        <w:tblW w:w="6545" w:type="dxa"/>
        <w:jc w:val="left"/>
        <w:tblInd w:w="0" w:type="dxa"/>
        <w:tblLayout w:type="fixed"/>
        <w:tblCellMar>
          <w:top w:w="28" w:type="dxa"/>
          <w:left w:w="28" w:type="dxa"/>
          <w:bottom w:w="28" w:type="dxa"/>
          <w:right w:w="28" w:type="dxa"/>
        </w:tblCellMar>
      </w:tblPr>
      <w:tblGrid>
        <w:gridCol w:w="667"/>
        <w:gridCol w:w="587"/>
        <w:gridCol w:w="590"/>
        <w:gridCol w:w="497"/>
        <w:gridCol w:w="497"/>
        <w:gridCol w:w="497"/>
        <w:gridCol w:w="937"/>
        <w:gridCol w:w="937"/>
        <w:gridCol w:w="1336"/>
      </w:tblGrid>
      <w:tr>
        <w:trPr/>
        <w:tc>
          <w:tcPr>
            <w:tcW w:w="66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1"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ORASURE TECHNOLOGIES, INC.</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Date: August 5, 2026</w:t>
            </w:r>
          </w:p>
        </w:tc>
        <w:tc>
          <w:tcPr>
            <w:tcW w:w="149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2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/s/ Carrie Eglinton Manner</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Carrie Eglinton Manner</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President and Chief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7955"/>
                <wp:effectExtent l="0" t="0" r="0" b="0"/>
                <wp:wrapNone/>
                <wp:docPr id="3" name="Frame3"/>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sans-serif" w:hAnsi="sans-serif"/>
                                <w:b w:val="false"/>
                                <w:color w:val="000000"/>
                                <w:sz w:val="20"/>
                              </w:rPr>
                            </w:pPr>
                            <w:r>
                              <w:rPr>
                                <w:rFonts w:ascii="sans-serif" w:hAnsi="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sans-serif" w:hAnsi="sans-serif"/>
                          <w:b w:val="false"/>
                          <w:color w:val="000000"/>
                          <w:sz w:val="20"/>
                        </w:rPr>
                      </w:pPr>
                      <w:r>
                        <w:rPr>
                          <w:rFonts w:ascii="sans-serif" w:hAnsi="sans-serif"/>
                          <w:b w:val="false"/>
                          <w:color w:val="000000"/>
                          <w:sz w:val="20"/>
                        </w:rPr>
                        <w:t>3</w:t>
                      </w:r>
                    </w:p>
                  </w:txbxContent>
                </v:textbox>
                <w10:wrap type="none"/>
              </v:rect>
            </w:pict>
          </mc:Fallback>
        </mc:AlternateContent>
      </w:r>
    </w:p>
    <w:p>
      <w:pPr>
        <w:pStyle w:val="TextBody"/>
        <w:bidi w:val="0"/>
        <w:spacing w:before="0" w:after="0"/>
        <w:jc w:val="left"/>
        <w:rPr/>
      </w:pPr>
      <w:r>
        <w:rPr/>
        <w:drawing>
          <wp:inline distT="0" distB="0" distL="0" distR="0">
            <wp:extent cx="2190750" cy="571500"/>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2190750" cy="571500"/>
                    </a:xfrm>
                    <a:prstGeom prst="rect">
                      <a:avLst/>
                    </a:prstGeom>
                  </pic:spPr>
                </pic:pic>
              </a:graphicData>
            </a:graphic>
          </wp:inline>
        </w:drawing>
      </w:r>
    </w:p>
    <w:p>
      <w:pPr>
        <w:pStyle w:val="TextBody"/>
        <w:bidi w:val="0"/>
        <w:spacing w:before="0" w:after="0"/>
        <w:jc w:val="left"/>
        <w:rPr/>
      </w:pPr>
      <w:r>
        <w:rPr/>
      </w:r>
    </w:p>
    <w:p>
      <w:pPr>
        <w:pStyle w:val="TextBody"/>
        <w:bidi w:val="0"/>
        <w:spacing w:lineRule="auto" w:line="288" w:before="0" w:after="0"/>
        <w:jc w:val="right"/>
        <w:rPr>
          <w:rFonts w:ascii="sans-serif" w:hAnsi="sans-serif"/>
          <w:b/>
          <w:color w:val="000000"/>
          <w:sz w:val="24"/>
          <w:u w:val="single"/>
        </w:rPr>
      </w:pPr>
      <w:r>
        <w:rPr>
          <w:rFonts w:ascii="sans-serif" w:hAnsi="sans-serif"/>
          <w:b/>
          <w:color w:val="000000"/>
          <w:sz w:val="24"/>
          <w:u w:val="single"/>
        </w:rPr>
        <w:t>EXHIBIT 99.1</w:t>
      </w:r>
    </w:p>
    <w:tbl>
      <w:tblPr>
        <w:tblW w:w="5582" w:type="dxa"/>
        <w:jc w:val="right"/>
        <w:tblInd w:w="0" w:type="dxa"/>
        <w:tblLayout w:type="fixed"/>
        <w:tblCellMar>
          <w:top w:w="28" w:type="dxa"/>
          <w:left w:w="28" w:type="dxa"/>
          <w:bottom w:w="28" w:type="dxa"/>
          <w:right w:w="28" w:type="dxa"/>
        </w:tblCellMar>
      </w:tblPr>
      <w:tblGrid>
        <w:gridCol w:w="1118"/>
        <w:gridCol w:w="984"/>
        <w:gridCol w:w="989"/>
        <w:gridCol w:w="729"/>
        <w:gridCol w:w="729"/>
        <w:gridCol w:w="1033"/>
      </w:tblGrid>
      <w:tr>
        <w:trPr/>
        <w:tc>
          <w:tcPr>
            <w:tcW w:w="1118" w:type="dxa"/>
            <w:tcBorders/>
            <w:vAlign w:val="center"/>
          </w:tcPr>
          <w:p>
            <w:pPr>
              <w:pStyle w:val="TableContents"/>
              <w:bidi w:val="0"/>
              <w:spacing w:before="0" w:after="283"/>
              <w:jc w:val="left"/>
              <w:rPr>
                <w:sz w:val="4"/>
                <w:szCs w:val="4"/>
              </w:rPr>
            </w:pPr>
            <w:r>
              <w:rPr>
                <w:sz w:val="4"/>
                <w:szCs w:val="4"/>
              </w:rPr>
            </w:r>
          </w:p>
        </w:tc>
        <w:tc>
          <w:tcPr>
            <w:tcW w:w="984"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1033" w:type="dxa"/>
            <w:tcBorders/>
            <w:vAlign w:val="center"/>
          </w:tcPr>
          <w:p>
            <w:pPr>
              <w:pStyle w:val="TableContents"/>
              <w:bidi w:val="0"/>
              <w:spacing w:before="0" w:after="283"/>
              <w:jc w:val="left"/>
              <w:rPr>
                <w:sz w:val="4"/>
                <w:szCs w:val="4"/>
              </w:rPr>
            </w:pPr>
            <w:r>
              <w:rPr>
                <w:sz w:val="4"/>
                <w:szCs w:val="4"/>
              </w:rPr>
            </w:r>
          </w:p>
        </w:tc>
      </w:tr>
      <w:tr>
        <w:trPr/>
        <w:tc>
          <w:tcPr>
            <w:tcW w:w="309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2"/>
              </w:rPr>
            </w:pPr>
            <w:r>
              <w:rPr>
                <w:rFonts w:ascii="sans-serif" w:hAnsi="sans-serif"/>
                <w:b w:val="false"/>
                <w:color w:val="000000"/>
                <w:sz w:val="22"/>
              </w:rPr>
              <w:t>Investor Contact:</w:t>
            </w:r>
          </w:p>
        </w:tc>
        <w:tc>
          <w:tcPr>
            <w:tcW w:w="249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2"/>
              </w:rPr>
            </w:pPr>
            <w:r>
              <w:rPr>
                <w:rFonts w:ascii="sans-serif" w:hAnsi="sans-serif"/>
                <w:b w:val="false"/>
                <w:color w:val="000000"/>
                <w:sz w:val="22"/>
              </w:rPr>
              <w:t>Media Contact:</w:t>
            </w:r>
          </w:p>
        </w:tc>
      </w:tr>
      <w:tr>
        <w:trPr/>
        <w:tc>
          <w:tcPr>
            <w:tcW w:w="309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2"/>
              </w:rPr>
            </w:pPr>
            <w:r>
              <w:rPr>
                <w:rFonts w:ascii="sans-serif" w:hAnsi="sans-serif"/>
                <w:b w:val="false"/>
                <w:color w:val="000000"/>
                <w:sz w:val="22"/>
              </w:rPr>
              <w:t>investorinfo@orasure.com</w:t>
            </w:r>
          </w:p>
        </w:tc>
        <w:tc>
          <w:tcPr>
            <w:tcW w:w="249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2"/>
              </w:rPr>
            </w:pPr>
            <w:r>
              <w:rPr>
                <w:rFonts w:ascii="sans-serif" w:hAnsi="sans-serif"/>
                <w:b w:val="false"/>
                <w:color w:val="000000"/>
                <w:sz w:val="22"/>
              </w:rPr>
              <w:t>media@orasure.com</w:t>
            </w:r>
          </w:p>
        </w:tc>
      </w:tr>
    </w:tbl>
    <w:p>
      <w:pPr>
        <w:pStyle w:val="TextBody"/>
        <w:bidi w:val="0"/>
        <w:spacing w:lineRule="auto" w:line="288" w:before="240" w:after="283"/>
        <w:jc w:val="center"/>
        <w:rPr>
          <w:rFonts w:ascii="sans-serif" w:hAnsi="sans-serif"/>
          <w:b/>
          <w:color w:val="000000"/>
          <w:sz w:val="24"/>
        </w:rPr>
      </w:pPr>
      <w:r>
        <w:rPr>
          <w:rFonts w:ascii="sans-serif" w:hAnsi="sans-serif"/>
          <w:b/>
          <w:color w:val="000000"/>
          <w:sz w:val="24"/>
        </w:rPr>
        <w:t>OraSure Announces Second Quarter 2026 Financial Results</w:t>
      </w:r>
    </w:p>
    <w:p>
      <w:pPr>
        <w:pStyle w:val="TextBody"/>
        <w:bidi w:val="0"/>
        <w:spacing w:before="0" w:after="0"/>
        <w:jc w:val="center"/>
        <w:rPr/>
      </w:pPr>
      <w:r>
        <w:rPr/>
      </w:r>
    </w:p>
    <w:p>
      <w:pPr>
        <w:pStyle w:val="TextBody"/>
        <w:bidi w:val="0"/>
        <w:spacing w:lineRule="auto" w:line="288" w:before="0" w:after="0"/>
        <w:jc w:val="both"/>
        <w:rPr>
          <w:rFonts w:ascii="sans-serif" w:hAnsi="sans-serif"/>
          <w:b w:val="false"/>
          <w:color w:val="000000"/>
          <w:sz w:val="22"/>
        </w:rPr>
      </w:pPr>
      <w:r>
        <w:rPr>
          <w:rFonts w:ascii="sans-serif" w:hAnsi="sans-serif"/>
          <w:b w:val="false"/>
          <w:color w:val="000000"/>
          <w:sz w:val="22"/>
        </w:rPr>
        <w:t xml:space="preserve">BETHLEHEM, PA, August 5, 2026 (GLOBE NEWSWIRE) – OraSure Technologies, Inc. (Nasdaq: OSUR), a leader in point-of-need and home diagnostic tests and sample management solutions, today announced its financial results for the three months ended June 30, 2026. </w:t>
      </w:r>
    </w:p>
    <w:p>
      <w:pPr>
        <w:pStyle w:val="TextBody"/>
        <w:bidi w:val="0"/>
        <w:spacing w:before="0" w:after="0"/>
        <w:jc w:val="both"/>
        <w:rPr/>
      </w:pPr>
      <w:r>
        <w:rPr/>
      </w:r>
    </w:p>
    <w:p>
      <w:pPr>
        <w:pStyle w:val="TextBody"/>
        <w:bidi w:val="0"/>
        <w:spacing w:lineRule="auto" w:line="268" w:before="0" w:after="0"/>
        <w:jc w:val="both"/>
        <w:rPr>
          <w:color w:val="000000"/>
        </w:rPr>
      </w:pPr>
      <w:r>
        <w:rPr>
          <w:color w:val="000000"/>
        </w:rPr>
        <w:t>“</w:t>
      </w:r>
      <w:r>
        <w:rPr>
          <w:rFonts w:ascii="sans-serif" w:hAnsi="sans-serif"/>
          <w:b w:val="false"/>
          <w:color w:val="000000"/>
          <w:sz w:val="22"/>
        </w:rPr>
        <w:t>Our Q2 results demonstrate continued progress in our return-to-growth trajectory, with revenue of $30.6 million, up 9.7% sequentially and above our guidance range, along with solid gross margin improvement,” said Carrie Eglinton Manner, President and CEO of OTI. “We also advanced key innovation milestones, including recent FDA clearance of our Colli-Pee™•Dx at-home urine collection device for sexually transmitted infections, and FDA Emergency Use Authorization of our OraQuick™ Ebola 2.0 Rapid Antigen Test.”</w:t>
      </w:r>
    </w:p>
    <w:p>
      <w:pPr>
        <w:pStyle w:val="TextBody"/>
        <w:bidi w:val="0"/>
        <w:spacing w:before="0" w:after="0"/>
        <w:jc w:val="both"/>
        <w:rPr/>
      </w:pPr>
      <w:r>
        <w:rPr/>
      </w:r>
    </w:p>
    <w:p>
      <w:pPr>
        <w:pStyle w:val="TextBody"/>
        <w:bidi w:val="0"/>
        <w:spacing w:lineRule="auto" w:line="268" w:before="0" w:after="0"/>
        <w:jc w:val="both"/>
        <w:rPr>
          <w:color w:val="000000"/>
        </w:rPr>
      </w:pPr>
      <w:r>
        <w:rPr>
          <w:color w:val="000000"/>
        </w:rPr>
        <w:t>“</w:t>
      </w:r>
      <w:r>
        <w:rPr>
          <w:rFonts w:ascii="sans-serif" w:hAnsi="sans-serif"/>
          <w:b w:val="false"/>
          <w:color w:val="000000"/>
          <w:sz w:val="22"/>
        </w:rPr>
        <w:t>These achievements reflect our strategy to decentralize diagnostics and connect people to care that is more accessible, convenient, affordable, and private,” she continued. “Supported by a strong balance sheet, we have the flexibility and capacity to pursue targeted growth initiatives by investing in innovation and bringing it to scale while maintaining the potential to strengthen our portfolio through strategic collaborations and acquisitions."</w:t>
      </w:r>
    </w:p>
    <w:p>
      <w:pPr>
        <w:pStyle w:val="TextBody"/>
        <w:bidi w:val="0"/>
        <w:spacing w:before="0" w:after="0"/>
        <w:jc w:val="left"/>
        <w:rPr/>
      </w:pPr>
      <w:r>
        <w:rPr/>
      </w:r>
    </w:p>
    <w:p>
      <w:pPr>
        <w:pStyle w:val="TextBody"/>
        <w:bidi w:val="0"/>
        <w:spacing w:before="24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sans-serif" w:hAnsi="sans-serif"/>
          <w:b/>
          <w:color w:val="000000"/>
          <w:sz w:val="22"/>
        </w:rPr>
      </w:pPr>
      <w:r>
        <w:rPr>
          <w:rFonts w:ascii="sans-serif" w:hAnsi="sans-serif"/>
          <w:b/>
          <w:color w:val="000000"/>
          <w:sz w:val="22"/>
        </w:rPr>
        <w:t>Financial Highlights ($ in 000’s, except per share amounts)</w:t>
      </w:r>
    </w:p>
    <w:tbl>
      <w:tblPr>
        <w:tblW w:w="10205" w:type="dxa"/>
        <w:jc w:val="center"/>
        <w:tblInd w:w="0" w:type="dxa"/>
        <w:tblLayout w:type="fixed"/>
        <w:tblCellMar>
          <w:top w:w="28" w:type="dxa"/>
          <w:left w:w="28" w:type="dxa"/>
          <w:bottom w:w="28" w:type="dxa"/>
          <w:right w:w="28" w:type="dxa"/>
        </w:tblCellMar>
      </w:tblPr>
      <w:tblGrid>
        <w:gridCol w:w="660"/>
        <w:gridCol w:w="502"/>
        <w:gridCol w:w="504"/>
        <w:gridCol w:w="211"/>
        <w:gridCol w:w="721"/>
        <w:gridCol w:w="109"/>
        <w:gridCol w:w="109"/>
        <w:gridCol w:w="109"/>
        <w:gridCol w:w="109"/>
        <w:gridCol w:w="211"/>
        <w:gridCol w:w="721"/>
        <w:gridCol w:w="109"/>
        <w:gridCol w:w="109"/>
        <w:gridCol w:w="109"/>
        <w:gridCol w:w="109"/>
        <w:gridCol w:w="256"/>
        <w:gridCol w:w="258"/>
        <w:gridCol w:w="527"/>
        <w:gridCol w:w="109"/>
        <w:gridCol w:w="109"/>
        <w:gridCol w:w="109"/>
        <w:gridCol w:w="211"/>
        <w:gridCol w:w="721"/>
        <w:gridCol w:w="109"/>
        <w:gridCol w:w="109"/>
        <w:gridCol w:w="109"/>
        <w:gridCol w:w="109"/>
        <w:gridCol w:w="211"/>
        <w:gridCol w:w="721"/>
        <w:gridCol w:w="109"/>
        <w:gridCol w:w="109"/>
        <w:gridCol w:w="109"/>
        <w:gridCol w:w="109"/>
        <w:gridCol w:w="256"/>
        <w:gridCol w:w="258"/>
        <w:gridCol w:w="483"/>
        <w:gridCol w:w="109"/>
        <w:gridCol w:w="109"/>
        <w:gridCol w:w="109"/>
        <w:gridCol w:w="109"/>
        <w:gridCol w:w="109"/>
        <w:gridCol w:w="157"/>
      </w:tblGrid>
      <w:tr>
        <w:trPr/>
        <w:tc>
          <w:tcPr>
            <w:tcW w:w="660"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6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7" w:type="dxa"/>
            <w:gridSpan w:val="15"/>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For the Three Months Ended June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3" w:type="dxa"/>
            <w:gridSpan w:val="15"/>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For the Six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4" w:type="dxa"/>
            <w:gridSpan w:val="4"/>
            <w:tcBorders/>
          </w:tcPr>
          <w:p>
            <w:pPr>
              <w:pStyle w:val="TableContents"/>
              <w:bidi w:val="0"/>
              <w:spacing w:before="0" w:after="283"/>
              <w:jc w:val="left"/>
              <w:rPr>
                <w:sz w:val="4"/>
                <w:szCs w:val="4"/>
              </w:rPr>
            </w:pPr>
            <w:r>
              <w:rPr>
                <w:sz w:val="4"/>
                <w:szCs w:val="4"/>
              </w:rPr>
            </w:r>
          </w:p>
        </w:tc>
      </w:tr>
      <w:tr>
        <w:trPr/>
        <w:tc>
          <w:tcPr>
            <w:tcW w:w="16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66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Core Business</w:t>
            </w:r>
            <w:r>
              <w:rPr>
                <w:color w:val="000000"/>
              </w:rPr>
              <w:t xml:space="preserve"> </w:t>
            </w:r>
            <w:r>
              <w:rPr>
                <w:rFonts w:ascii="Times New Roman;serif" w:hAnsi="Times New Roman;serif"/>
                <w:b w:val="false"/>
                <w:color w:val="000000"/>
                <w:sz w:val="13"/>
              </w:rPr>
              <w:t>(1)</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30,638 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30,768 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5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58,545 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58,822 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6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COVID-19</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(96)</w:t>
            </w:r>
          </w:p>
        </w:tc>
        <w:tc>
          <w:tcPr>
            <w:tcW w:w="5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(96)</w:t>
            </w:r>
          </w:p>
        </w:tc>
        <w:tc>
          <w:tcPr>
            <w:tcW w:w="48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6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Risk Assessment Testing</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w:t>
            </w:r>
          </w:p>
        </w:tc>
        <w:tc>
          <w:tcPr>
            <w:tcW w:w="5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w:t>
            </w:r>
          </w:p>
        </w:tc>
        <w:tc>
          <w:tcPr>
            <w:tcW w:w="48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6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Total Net Revenues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30,639 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31,242 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52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58,564 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61,173 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48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pPr>
      <w:r>
        <w:rPr>
          <w:rFonts w:ascii="Times New Roman;serif" w:hAnsi="Times New Roman;serif"/>
          <w:b w:val="false"/>
          <w:color w:val="000000"/>
          <w:sz w:val="10"/>
        </w:rPr>
        <w:t>(1)</w:t>
      </w:r>
      <w:r>
        <w:rPr>
          <w:color w:val="000000"/>
        </w:rPr>
        <w:t xml:space="preserve"> </w:t>
      </w:r>
      <w:r>
        <w:rPr>
          <w:rFonts w:ascii="Times New Roman;serif" w:hAnsi="Times New Roman;serif"/>
          <w:b w:val="false"/>
          <w:color w:val="000000"/>
          <w:sz w:val="16"/>
        </w:rPr>
        <w:t>Includes Diagnostics, Sample Management Solutions, other products and services revenues, and non-product and services revenues.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7955"/>
                <wp:effectExtent l="0" t="0" r="0" b="0"/>
                <wp:wrapNone/>
                <wp:docPr id="5" name="Frame4"/>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right"/>
                              <w:rPr>
                                <w:rFonts w:ascii="sans-serif" w:hAnsi="sans-serif"/>
                                <w:b w:val="false"/>
                                <w:color w:val="000000"/>
                                <w:sz w:val="20"/>
                              </w:rPr>
                            </w:pPr>
                            <w:r>
                              <w:rPr>
                                <w:rFonts w:ascii="sans-serif" w:hAnsi="sans-serif"/>
                                <w:b w:val="false"/>
                                <w:color w:val="000000"/>
                                <w:sz w:val="20"/>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sans-serif" w:hAnsi="sans-serif"/>
                          <w:b w:val="false"/>
                          <w:color w:val="000000"/>
                          <w:sz w:val="20"/>
                        </w:rPr>
                      </w:pPr>
                      <w:r>
                        <w:rPr>
                          <w:rFonts w:ascii="sans-serif" w:hAnsi="sans-serif"/>
                          <w:b w:val="false"/>
                          <w:color w:val="000000"/>
                          <w:sz w:val="20"/>
                        </w:rPr>
                        <w:t>1</w:t>
                      </w:r>
                    </w:p>
                  </w:txbxContent>
                </v:textbox>
                <w10:wrap type="none"/>
              </v:rect>
            </w:pict>
          </mc:Fallback>
        </mc:AlternateContent>
      </w:r>
    </w:p>
    <w:p>
      <w:pPr>
        <w:pStyle w:val="TextBody"/>
        <w:bidi w:val="0"/>
        <w:spacing w:before="240" w:after="283"/>
        <w:jc w:val="left"/>
        <w:rPr/>
      </w:pPr>
      <w:r>
        <w:rPr/>
      </w:r>
    </w:p>
    <w:tbl>
      <w:tblPr>
        <w:tblW w:w="10205" w:type="dxa"/>
        <w:jc w:val="center"/>
        <w:tblInd w:w="0" w:type="dxa"/>
        <w:tblLayout w:type="fixed"/>
        <w:tblCellMar>
          <w:top w:w="28" w:type="dxa"/>
          <w:left w:w="28" w:type="dxa"/>
          <w:bottom w:w="28" w:type="dxa"/>
          <w:right w:w="28" w:type="dxa"/>
        </w:tblCellMar>
      </w:tblPr>
      <w:tblGrid>
        <w:gridCol w:w="722"/>
        <w:gridCol w:w="622"/>
        <w:gridCol w:w="599"/>
        <w:gridCol w:w="211"/>
        <w:gridCol w:w="563"/>
        <w:gridCol w:w="271"/>
        <w:gridCol w:w="109"/>
        <w:gridCol w:w="109"/>
        <w:gridCol w:w="109"/>
        <w:gridCol w:w="211"/>
        <w:gridCol w:w="563"/>
        <w:gridCol w:w="271"/>
        <w:gridCol w:w="109"/>
        <w:gridCol w:w="109"/>
        <w:gridCol w:w="109"/>
        <w:gridCol w:w="290"/>
        <w:gridCol w:w="290"/>
        <w:gridCol w:w="291"/>
        <w:gridCol w:w="109"/>
        <w:gridCol w:w="109"/>
        <w:gridCol w:w="109"/>
        <w:gridCol w:w="211"/>
        <w:gridCol w:w="563"/>
        <w:gridCol w:w="271"/>
        <w:gridCol w:w="109"/>
        <w:gridCol w:w="109"/>
        <w:gridCol w:w="109"/>
        <w:gridCol w:w="211"/>
        <w:gridCol w:w="563"/>
        <w:gridCol w:w="271"/>
        <w:gridCol w:w="109"/>
        <w:gridCol w:w="109"/>
        <w:gridCol w:w="109"/>
        <w:gridCol w:w="290"/>
        <w:gridCol w:w="290"/>
        <w:gridCol w:w="291"/>
        <w:gridCol w:w="109"/>
        <w:gridCol w:w="109"/>
        <w:gridCol w:w="109"/>
        <w:gridCol w:w="109"/>
        <w:gridCol w:w="109"/>
        <w:gridCol w:w="160"/>
      </w:tblGrid>
      <w:tr>
        <w:trPr/>
        <w:tc>
          <w:tcPr>
            <w:tcW w:w="722"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9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5"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For the 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5"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For the Six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7" w:type="dxa"/>
            <w:gridSpan w:val="4"/>
            <w:tcBorders/>
          </w:tcPr>
          <w:p>
            <w:pPr>
              <w:pStyle w:val="TableContents"/>
              <w:bidi w:val="0"/>
              <w:spacing w:before="0" w:after="283"/>
              <w:jc w:val="left"/>
              <w:rPr>
                <w:sz w:val="4"/>
                <w:szCs w:val="4"/>
              </w:rPr>
            </w:pPr>
            <w:r>
              <w:rPr>
                <w:sz w:val="4"/>
                <w:szCs w:val="4"/>
              </w:rPr>
            </w:r>
          </w:p>
        </w:tc>
      </w:tr>
      <w:tr>
        <w:trPr/>
        <w:tc>
          <w:tcPr>
            <w:tcW w:w="19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94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revenues</w:t>
            </w:r>
          </w:p>
        </w:tc>
        <w:tc>
          <w:tcPr>
            <w:tcW w:w="77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30,639 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31,242 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58,564 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61,173 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94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77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13,317 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13,159 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25,121 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25,458 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94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Gross margin</w:t>
            </w:r>
          </w:p>
        </w:tc>
        <w:tc>
          <w:tcPr>
            <w:tcW w:w="77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43.5 </w:t>
            </w:r>
          </w:p>
        </w:tc>
        <w:tc>
          <w:tcPr>
            <w:tcW w:w="2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42.1 </w:t>
            </w:r>
          </w:p>
        </w:tc>
        <w:tc>
          <w:tcPr>
            <w:tcW w:w="2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42.9 </w:t>
            </w:r>
          </w:p>
        </w:tc>
        <w:tc>
          <w:tcPr>
            <w:tcW w:w="2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41.6 </w:t>
            </w:r>
          </w:p>
        </w:tc>
        <w:tc>
          <w:tcPr>
            <w:tcW w:w="2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94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Non-GAAP gross profit</w:t>
            </w:r>
          </w:p>
        </w:tc>
        <w:tc>
          <w:tcPr>
            <w:tcW w:w="77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13,556 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13,512 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25,663 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25,980 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94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Non-GAAP gross margin</w:t>
            </w:r>
          </w:p>
        </w:tc>
        <w:tc>
          <w:tcPr>
            <w:tcW w:w="77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44.2 </w:t>
            </w:r>
          </w:p>
        </w:tc>
        <w:tc>
          <w:tcPr>
            <w:tcW w:w="2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43.2 </w:t>
            </w:r>
          </w:p>
        </w:tc>
        <w:tc>
          <w:tcPr>
            <w:tcW w:w="2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43.8 </w:t>
            </w:r>
          </w:p>
        </w:tc>
        <w:tc>
          <w:tcPr>
            <w:tcW w:w="2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42.5 </w:t>
            </w:r>
          </w:p>
        </w:tc>
        <w:tc>
          <w:tcPr>
            <w:tcW w:w="2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9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94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 (loss)</w:t>
            </w:r>
          </w:p>
        </w:tc>
        <w:tc>
          <w:tcPr>
            <w:tcW w:w="77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5,440 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(18,026)</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NM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(17,829)</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(35,776)</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NM</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94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margin</w:t>
            </w:r>
          </w:p>
        </w:tc>
        <w:tc>
          <w:tcPr>
            <w:tcW w:w="77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17.8 </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(57.7)</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(30.4)</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(58.5)</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94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Non-GAAP operating loss</w:t>
            </w:r>
          </w:p>
        </w:tc>
        <w:tc>
          <w:tcPr>
            <w:tcW w:w="77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(14,740)</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(13,172)</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NM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(33,774)</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(28,452)</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NM</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94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Non-GAAP operating margin</w:t>
            </w:r>
          </w:p>
        </w:tc>
        <w:tc>
          <w:tcPr>
            <w:tcW w:w="77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(48.1)</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(42.2)</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(57.7)</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(46.5)</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9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94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77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6,249 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(19,693)</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NM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(16,128)</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(35,733)</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NM</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94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Non-GAAP net loss</w:t>
            </w:r>
          </w:p>
        </w:tc>
        <w:tc>
          <w:tcPr>
            <w:tcW w:w="77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(13,817)</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(14,193)</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NM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(30,839)</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(27,332)</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NM</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94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Diluted EPS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0.09 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(0.26)</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NM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(0.23)</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(0.48)</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NM</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94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Non-GAAP Diluted EPS</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(0.20)</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(0.19)</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NM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(0.44)</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(0.37)</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NM</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sans-serif" w:hAnsi="sans-serif"/>
          <w:b w:val="false"/>
          <w:color w:val="000000"/>
          <w:sz w:val="18"/>
        </w:rPr>
      </w:pPr>
      <w:r>
        <w:rPr>
          <w:rFonts w:ascii="sans-serif" w:hAnsi="sans-serif"/>
          <w:b w:val="false"/>
          <w:color w:val="000000"/>
          <w:sz w:val="18"/>
        </w:rPr>
        <w:t>NM – not meaningful</w:t>
      </w:r>
    </w:p>
    <w:p>
      <w:pPr>
        <w:pStyle w:val="TextBody"/>
        <w:bidi w:val="0"/>
        <w:spacing w:before="0" w:after="0"/>
        <w:jc w:val="both"/>
        <w:rPr/>
      </w:pPr>
      <w:r>
        <w:rPr/>
      </w:r>
    </w:p>
    <w:p>
      <w:pPr>
        <w:pStyle w:val="TextBody"/>
        <w:bidi w:val="0"/>
        <w:spacing w:lineRule="auto" w:line="288" w:before="0" w:after="0"/>
        <w:jc w:val="both"/>
        <w:rPr>
          <w:rFonts w:ascii="sans-serif" w:hAnsi="sans-serif"/>
          <w:b w:val="false"/>
          <w:color w:val="000000"/>
          <w:sz w:val="18"/>
        </w:rPr>
      </w:pPr>
      <w:r>
        <w:rPr>
          <w:rFonts w:ascii="sans-serif" w:hAnsi="sans-serif"/>
          <w:b w:val="false"/>
          <w:color w:val="000000"/>
          <w:sz w:val="18"/>
        </w:rPr>
        <w:t>For additional information on non-GAAP financial measures and a reconciliation of the GAAP financial results to non-GAAP financial results, see the schedules below. A description of the adjustments made to the GAAP financial measures is included at the end of the schedules.</w:t>
      </w:r>
    </w:p>
    <w:p>
      <w:pPr>
        <w:pStyle w:val="TextBody"/>
        <w:bidi w:val="0"/>
        <w:spacing w:lineRule="auto" w:line="288" w:before="120" w:after="283"/>
        <w:ind w:left="0" w:right="0" w:hanging="720"/>
        <w:jc w:val="both"/>
        <w:rPr/>
      </w:pPr>
      <w:r>
        <w:rPr>
          <w:color w:val="000000"/>
        </w:rPr>
        <w:t>•</w:t>
      </w:r>
      <w:r>
        <w:rPr>
          <w:rFonts w:ascii="sans-serif" w:hAnsi="sans-serif"/>
          <w:b w:val="false"/>
          <w:color w:val="000000"/>
          <w:sz w:val="22"/>
        </w:rPr>
        <w:t xml:space="preserve">Total net revenues for the second quarter of 2026 of $30.6 million grew 10% sequentially and decreased 2% year over year. </w:t>
      </w:r>
    </w:p>
    <w:p>
      <w:pPr>
        <w:pStyle w:val="TextBody"/>
        <w:bidi w:val="0"/>
        <w:spacing w:lineRule="auto" w:line="288" w:before="120" w:after="283"/>
        <w:ind w:left="0" w:right="0" w:hanging="720"/>
        <w:jc w:val="both"/>
        <w:rPr/>
      </w:pPr>
      <w:r>
        <w:rPr>
          <w:color w:val="000000"/>
        </w:rPr>
        <w:t>•</w:t>
      </w:r>
      <w:r>
        <w:rPr>
          <w:rFonts w:ascii="sans-serif" w:hAnsi="sans-serif"/>
          <w:b w:val="false"/>
          <w:color w:val="000000"/>
          <w:sz w:val="22"/>
        </w:rPr>
        <w:t>Core revenues (all revenues excluding COVID-19 and Risk Assessment Testing revenues) of $30.6 million in the second quarter of 2026 remained largely flat year-over-year. Diagnostics revenues in the second quarter of 2026 increased 1% year-over-year to $19.4 million, with the increase attributable to higher syphilis revenues and the addition of BioMedomics’ Sickle SCAN</w:t>
      </w:r>
      <w:r>
        <w:rPr>
          <w:rFonts w:ascii="sans-serif" w:hAnsi="sans-serif"/>
          <w:b w:val="false"/>
          <w:color w:val="000000"/>
          <w:sz w:val="14"/>
        </w:rPr>
        <w:t>TM</w:t>
      </w:r>
      <w:r>
        <w:rPr>
          <w:color w:val="000000"/>
        </w:rPr>
        <w:t xml:space="preserve"> </w:t>
      </w:r>
      <w:r>
        <w:rPr>
          <w:rFonts w:ascii="sans-serif" w:hAnsi="sans-serif"/>
          <w:b w:val="false"/>
          <w:color w:val="000000"/>
          <w:sz w:val="22"/>
        </w:rPr>
        <w:t xml:space="preserve">sales. Sample Management Solutions revenues of $9.9 million in the second quarter of 2026 were flat year-over-year. </w:t>
      </w:r>
    </w:p>
    <w:p>
      <w:pPr>
        <w:pStyle w:val="TextBody"/>
        <w:bidi w:val="0"/>
        <w:spacing w:lineRule="auto" w:line="288" w:before="120" w:after="283"/>
        <w:ind w:left="0" w:right="0" w:hanging="720"/>
        <w:jc w:val="both"/>
        <w:rPr/>
      </w:pPr>
      <w:r>
        <w:rPr>
          <w:color w:val="000000"/>
        </w:rPr>
        <w:t>•</w:t>
      </w:r>
      <w:r>
        <w:rPr>
          <w:rFonts w:ascii="sans-serif" w:hAnsi="sans-serif"/>
          <w:b w:val="false"/>
          <w:color w:val="000000"/>
          <w:sz w:val="22"/>
        </w:rPr>
        <w:t xml:space="preserve">GAAP gross margin was 43.5% in the second quarter of 2026 compared to 42.1% in the second quarter of 2025. Non-GAAP gross margin in the second quarter of 2026 was 44.2% and increased compared to 43.2% in the second quarter of 2025. </w:t>
      </w:r>
    </w:p>
    <w:p>
      <w:pPr>
        <w:pStyle w:val="TextBody"/>
        <w:bidi w:val="0"/>
        <w:spacing w:lineRule="auto" w:line="288" w:before="120" w:after="283"/>
        <w:ind w:left="0" w:right="0" w:hanging="720"/>
        <w:jc w:val="both"/>
        <w:rPr/>
      </w:pPr>
      <w:r>
        <w:rPr>
          <w:color w:val="000000"/>
        </w:rPr>
        <w:t>•</w:t>
      </w:r>
      <w:r>
        <w:rPr>
          <w:rFonts w:ascii="sans-serif" w:hAnsi="sans-serif"/>
          <w:b w:val="false"/>
          <w:color w:val="000000"/>
          <w:sz w:val="22"/>
        </w:rPr>
        <w:t>GAAP operating income in the second quarter of 2026 was $5.4 million compared to GAAP operating loss of $18.0 million in the second quarter of 2025. Non-GAAP operating loss was $14.7 million in the second quarter of 2026 compared to non-GAAP operating loss of $13.2 million in the second quarter of 2025. During the second quarter of 2026 the company recorded a $22.6 million reduction in its contingent consideration liability as a result of updating our submission plan to incorporate feedback from the FDA for the CT/NG test on the Sherlock platform.</w:t>
      </w:r>
    </w:p>
    <w:p>
      <w:pPr>
        <w:pStyle w:val="TextBody"/>
        <w:bidi w:val="0"/>
        <w:spacing w:lineRule="auto" w:line="288" w:before="120" w:after="283"/>
        <w:ind w:left="0" w:right="0" w:hanging="720"/>
        <w:jc w:val="both"/>
        <w:rPr/>
      </w:pPr>
      <w:r>
        <w:rPr>
          <w:color w:val="000000"/>
        </w:rPr>
        <w:t>•</w:t>
      </w:r>
      <w:r>
        <w:rPr>
          <w:rFonts w:ascii="sans-serif" w:hAnsi="sans-serif"/>
          <w:b w:val="false"/>
          <w:color w:val="000000"/>
          <w:sz w:val="22"/>
        </w:rPr>
        <w:t xml:space="preserve">GAAP net income in the second quarter of 2026 was $6.2 million compared to a GAAP net loss of $19.7 million in the second quarter of 2025. Non-GAAP net loss was $13.8 million in the second quarter of 2026 compared to non-GAAP net loss of $14.2 million in the second quarter of 2025. </w:t>
      </w:r>
    </w:p>
    <w:p>
      <w:pPr>
        <w:pStyle w:val="TextBody"/>
        <w:bidi w:val="0"/>
        <w:spacing w:lineRule="auto" w:line="288" w:before="120" w:after="283"/>
        <w:ind w:left="0" w:right="0" w:hanging="720"/>
        <w:jc w:val="both"/>
        <w:rPr/>
      </w:pPr>
      <w:r>
        <w:rPr>
          <w:color w:val="000000"/>
        </w:rPr>
        <w:t>•</w:t>
      </w:r>
      <w:r>
        <w:rPr>
          <w:rFonts w:ascii="sans-serif" w:hAnsi="sans-serif"/>
          <w:b w:val="false"/>
          <w:color w:val="000000"/>
          <w:sz w:val="22"/>
        </w:rPr>
        <w:t xml:space="preserve">Cash and cash equivalents were $161 million as of June 30, 2026. </w:t>
      </w:r>
    </w:p>
    <w:p>
      <w:pPr>
        <w:pStyle w:val="TextBody"/>
        <w:bidi w:val="0"/>
        <w:spacing w:lineRule="auto" w:line="288" w:before="120" w:after="283"/>
        <w:ind w:left="0" w:right="0" w:hanging="720"/>
        <w:jc w:val="both"/>
        <w:rPr/>
      </w:pPr>
      <w:r>
        <w:rPr>
          <w:color w:val="000000"/>
        </w:rPr>
        <w:t>•</w:t>
      </w:r>
      <w:r>
        <w:rPr>
          <w:rFonts w:ascii="sans-serif" w:hAnsi="sans-serif"/>
          <w:b w:val="false"/>
          <w:color w:val="000000"/>
          <w:sz w:val="22"/>
        </w:rPr>
        <w:t xml:space="preserve">During the second quarter of 2026, the Company repurchased approximately $2 million of common stock, bringing total repurchases to approximately $22 million, or 7.7 million shares, </w:t>
      </w:r>
    </w:p>
    <w:p>
      <w:pPr>
        <w:pStyle w:val="TextBody"/>
        <w:bidi w:val="0"/>
        <w:spacing w:before="0" w:after="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7955"/>
                <wp:effectExtent l="0" t="0" r="0" b="0"/>
                <wp:wrapNone/>
                <wp:docPr id="6" name="Frame5"/>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right"/>
                              <w:rPr>
                                <w:rFonts w:ascii="sans-serif" w:hAnsi="sans-serif"/>
                                <w:b w:val="false"/>
                                <w:color w:val="000000"/>
                                <w:sz w:val="20"/>
                              </w:rPr>
                            </w:pPr>
                            <w:r>
                              <w:rPr>
                                <w:rFonts w:ascii="sans-serif" w:hAnsi="sans-serif"/>
                                <w:b w:val="false"/>
                                <w:color w:val="000000"/>
                                <w:sz w:val="20"/>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sans-serif" w:hAnsi="sans-serif"/>
                          <w:b w:val="false"/>
                          <w:color w:val="000000"/>
                          <w:sz w:val="20"/>
                        </w:rPr>
                      </w:pPr>
                      <w:r>
                        <w:rPr>
                          <w:rFonts w:ascii="sans-serif" w:hAnsi="sans-serif"/>
                          <w:b w:val="false"/>
                          <w:color w:val="000000"/>
                          <w:sz w:val="20"/>
                        </w:rPr>
                        <w:t>2</w:t>
                      </w:r>
                    </w:p>
                  </w:txbxContent>
                </v:textbox>
                <w10:wrap type="none"/>
              </v:rect>
            </w:pict>
          </mc:Fallback>
        </mc:AlternateContent>
      </w:r>
    </w:p>
    <w:p>
      <w:pPr>
        <w:pStyle w:val="TextBody"/>
        <w:bidi w:val="0"/>
        <w:spacing w:lineRule="auto" w:line="288" w:before="120" w:after="283"/>
        <w:jc w:val="both"/>
        <w:rPr>
          <w:rFonts w:ascii="sans-serif" w:hAnsi="sans-serif"/>
          <w:b w:val="false"/>
          <w:color w:val="000000"/>
          <w:sz w:val="22"/>
        </w:rPr>
      </w:pPr>
      <w:r>
        <w:rPr>
          <w:rFonts w:ascii="sans-serif" w:hAnsi="sans-serif"/>
          <w:b w:val="false"/>
          <w:color w:val="000000"/>
          <w:sz w:val="22"/>
        </w:rPr>
        <w:t xml:space="preserve">of our $40 million authorization. Repurchases to date represent over 10% of outstanding, shares. </w:t>
      </w:r>
    </w:p>
    <w:p>
      <w:pPr>
        <w:pStyle w:val="TextBody"/>
        <w:bidi w:val="0"/>
        <w:spacing w:before="0" w:after="0"/>
        <w:ind w:left="0" w:right="0" w:hanging="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sans-serif" w:hAnsi="sans-serif"/>
          <w:b/>
          <w:color w:val="000000"/>
          <w:sz w:val="22"/>
        </w:rPr>
      </w:pPr>
      <w:r>
        <w:rPr>
          <w:rFonts w:ascii="sans-serif" w:hAnsi="sans-serif"/>
          <w:b/>
          <w:color w:val="000000"/>
          <w:sz w:val="22"/>
        </w:rPr>
        <w:t>Recent Developments</w:t>
      </w:r>
    </w:p>
    <w:p>
      <w:pPr>
        <w:pStyle w:val="TextBody"/>
        <w:bidi w:val="0"/>
        <w:spacing w:lineRule="auto" w:line="288" w:before="120" w:after="283"/>
        <w:ind w:left="0" w:right="0" w:hanging="720"/>
        <w:jc w:val="both"/>
        <w:rPr/>
      </w:pPr>
      <w:r>
        <w:rPr>
          <w:color w:val="000000"/>
        </w:rPr>
        <w:t>•</w:t>
      </w:r>
      <w:r>
        <w:rPr>
          <w:rFonts w:ascii="sans-serif" w:hAnsi="sans-serif"/>
          <w:b w:val="false"/>
          <w:color w:val="000000"/>
          <w:sz w:val="22"/>
        </w:rPr>
        <w:t xml:space="preserve">In June 2026, we received FDA clearance of our Colli-Pee™•Dx Urine Collection Kit for use with Roche’s STI tests for </w:t>
      </w:r>
      <w:r>
        <w:rPr>
          <w:rFonts w:ascii="sans-serif" w:hAnsi="sans-serif"/>
          <w:b w:val="false"/>
          <w:i/>
          <w:color w:val="000000"/>
          <w:sz w:val="22"/>
        </w:rPr>
        <w:t xml:space="preserve">Chlamydia trachomatis </w:t>
      </w:r>
      <w:r>
        <w:rPr>
          <w:rFonts w:ascii="sans-serif" w:hAnsi="sans-serif"/>
          <w:b w:val="false"/>
          <w:color w:val="000000"/>
          <w:sz w:val="22"/>
        </w:rPr>
        <w:t xml:space="preserve">(CT), </w:t>
      </w:r>
      <w:r>
        <w:rPr>
          <w:rFonts w:ascii="sans-serif" w:hAnsi="sans-serif"/>
          <w:b w:val="false"/>
          <w:i/>
          <w:color w:val="000000"/>
          <w:sz w:val="22"/>
        </w:rPr>
        <w:t>Neisseria gonorrhoeae</w:t>
      </w:r>
      <w:r>
        <w:rPr>
          <w:color w:val="000000"/>
        </w:rPr>
        <w:t xml:space="preserve"> </w:t>
      </w:r>
      <w:r>
        <w:rPr>
          <w:rFonts w:ascii="sans-serif" w:hAnsi="sans-serif"/>
          <w:b w:val="false"/>
          <w:color w:val="000000"/>
          <w:sz w:val="22"/>
        </w:rPr>
        <w:t xml:space="preserve">(NG), </w:t>
      </w:r>
      <w:r>
        <w:rPr>
          <w:rFonts w:ascii="sans-serif" w:hAnsi="sans-serif"/>
          <w:b w:val="false"/>
          <w:i/>
          <w:color w:val="000000"/>
          <w:sz w:val="22"/>
        </w:rPr>
        <w:t>Trichomonas vaginalis</w:t>
      </w:r>
      <w:r>
        <w:rPr>
          <w:color w:val="000000"/>
        </w:rPr>
        <w:t xml:space="preserve"> </w:t>
      </w:r>
      <w:r>
        <w:rPr>
          <w:rFonts w:ascii="sans-serif" w:hAnsi="sans-serif"/>
          <w:b w:val="false"/>
          <w:color w:val="000000"/>
          <w:sz w:val="22"/>
        </w:rPr>
        <w:t xml:space="preserve">(TV), and </w:t>
      </w:r>
      <w:r>
        <w:rPr>
          <w:rFonts w:ascii="sans-serif" w:hAnsi="sans-serif"/>
          <w:b w:val="false"/>
          <w:i/>
          <w:color w:val="000000"/>
          <w:sz w:val="22"/>
        </w:rPr>
        <w:t>Mycoplasma genitalium</w:t>
      </w:r>
      <w:r>
        <w:rPr>
          <w:color w:val="000000"/>
        </w:rPr>
        <w:t xml:space="preserve"> </w:t>
      </w:r>
      <w:r>
        <w:rPr>
          <w:rFonts w:ascii="sans-serif" w:hAnsi="sans-serif"/>
          <w:b w:val="false"/>
          <w:color w:val="000000"/>
          <w:sz w:val="22"/>
        </w:rPr>
        <w:t>(MG). The FDA-cleared collection kit enables convenient at-home self-collection of first-void urine by both male and female patients. Specimens can be collected at any time of day in the privacy of the home or any other private setting and are intended for testing on the Roche cobas molecular diagnostics platform.</w:t>
      </w:r>
    </w:p>
    <w:p>
      <w:pPr>
        <w:pStyle w:val="TextBody"/>
        <w:bidi w:val="0"/>
        <w:spacing w:lineRule="auto" w:line="278" w:before="0" w:after="0"/>
        <w:ind w:left="0" w:right="0" w:hanging="720"/>
        <w:jc w:val="both"/>
        <w:rPr/>
      </w:pPr>
      <w:r>
        <w:rPr>
          <w:color w:val="000000"/>
          <w:shd w:fill="FFFFFF" w:val="clear"/>
        </w:rPr>
        <w:t>•</w:t>
      </w:r>
      <w:r>
        <w:rPr>
          <w:rFonts w:ascii="sans-serif" w:hAnsi="sans-serif"/>
          <w:b w:val="false"/>
          <w:color w:val="000000"/>
          <w:sz w:val="22"/>
          <w:shd w:fill="FFFFFF" w:val="clear"/>
        </w:rPr>
        <w:t>In July 2026, we received Emergency Use Authorization from the FDA for our second generation OraQuick™ Ebola 2.0 Rapid Antigen Test for use with whole blood in live patients, as well as cadaveric oral fluid for individuals suspected to have had Ebola disease at the time of death. T</w:t>
      </w:r>
      <w:r>
        <w:rPr>
          <w:rFonts w:ascii="sans-serif" w:hAnsi="sans-serif"/>
          <w:b w:val="false"/>
          <w:color w:val="000000"/>
          <w:sz w:val="22"/>
        </w:rPr>
        <w:t xml:space="preserve">he test can detect all four Ebola viruses currently known to cause disease in humans: Bundibugyo, Zaire, Sudan, and Taï Forest. </w:t>
      </w:r>
    </w:p>
    <w:p>
      <w:pPr>
        <w:pStyle w:val="TextBody"/>
        <w:bidi w:val="0"/>
        <w:spacing w:lineRule="auto" w:line="276" w:before="0" w:after="0"/>
        <w:ind w:left="0" w:right="0" w:hanging="720"/>
        <w:jc w:val="left"/>
        <w:rPr/>
      </w:pPr>
      <w:r>
        <w:rPr>
          <w:color w:val="000000"/>
        </w:rPr>
        <w:t>•</w:t>
      </w:r>
      <w:r>
        <w:rPr>
          <w:rFonts w:ascii="sans-serif" w:hAnsi="sans-serif"/>
          <w:b w:val="false"/>
          <w:color w:val="000000"/>
          <w:sz w:val="22"/>
        </w:rPr>
        <w:t>We are updating our submission plan for our InteliQuick™ CT/NG molecular self-test on the Sherlock platform to incorporate feedback received through constructive interactions with the FDA. As part of this process, in July 2026 we elected to withdraw the current submission and plan to pursue a future subm</w:t>
      </w:r>
      <w:r>
        <w:rPr>
          <w:rFonts w:ascii="sans-serif" w:hAnsi="sans-serif"/>
          <w:b w:val="false"/>
          <w:color w:val="000000"/>
          <w:sz w:val="22"/>
          <w:shd w:fill="FFFFFF" w:val="clear"/>
        </w:rPr>
        <w:t xml:space="preserve">ission. Our </w:t>
      </w:r>
      <w:r>
        <w:rPr>
          <w:rFonts w:ascii="sans-serif" w:hAnsi="sans-serif"/>
          <w:b w:val="false"/>
          <w:color w:val="000000"/>
          <w:sz w:val="22"/>
        </w:rPr>
        <w:t>InteliQuick™</w:t>
      </w:r>
      <w:r>
        <w:rPr>
          <w:color w:val="000000"/>
          <w:shd w:fill="FFFFFF" w:val="clear"/>
        </w:rPr>
        <w:t xml:space="preserve"> </w:t>
      </w:r>
      <w:r>
        <w:rPr>
          <w:rFonts w:ascii="sans-serif" w:hAnsi="sans-serif"/>
          <w:b w:val="false"/>
          <w:color w:val="000000"/>
          <w:sz w:val="22"/>
          <w:shd w:fill="FFFFFF" w:val="clear"/>
        </w:rPr>
        <w:t xml:space="preserve">CT/NG studies demonstrated strong performance compared with centralized laboratory molecular diagnostic methods, and we remain encouraged by the product’s performance, </w:t>
      </w:r>
      <w:r>
        <w:rPr>
          <w:rFonts w:ascii="sans-serif" w:hAnsi="sans-serif"/>
          <w:b w:val="false"/>
          <w:color w:val="000000"/>
          <w:sz w:val="22"/>
        </w:rPr>
        <w:t>its differentiated profile, a</w:t>
      </w:r>
      <w:r>
        <w:rPr>
          <w:rFonts w:ascii="sans-serif" w:hAnsi="sans-serif"/>
          <w:b w:val="false"/>
          <w:color w:val="000000"/>
          <w:sz w:val="22"/>
          <w:shd w:fill="FFFFFF" w:val="clear"/>
        </w:rPr>
        <w:t>nd its potential to serve a significant public health need.</w:t>
      </w:r>
    </w:p>
    <w:p>
      <w:pPr>
        <w:pStyle w:val="TextBody"/>
        <w:bidi w:val="0"/>
        <w:spacing w:lineRule="auto" w:line="268" w:before="240" w:after="283"/>
        <w:jc w:val="both"/>
        <w:rPr>
          <w:rFonts w:ascii="sans-serif" w:hAnsi="sans-serif"/>
          <w:b/>
          <w:color w:val="000000"/>
          <w:sz w:val="22"/>
        </w:rPr>
      </w:pPr>
      <w:r>
        <w:rPr>
          <w:rFonts w:ascii="sans-serif" w:hAnsi="sans-serif"/>
          <w:b/>
          <w:color w:val="000000"/>
          <w:sz w:val="22"/>
        </w:rPr>
        <w:t>Financial Guidance</w:t>
      </w:r>
    </w:p>
    <w:p>
      <w:pPr>
        <w:pStyle w:val="TextBody"/>
        <w:bidi w:val="0"/>
        <w:spacing w:lineRule="auto" w:line="288" w:before="120" w:after="283"/>
        <w:jc w:val="both"/>
        <w:rPr>
          <w:rFonts w:ascii="sans-serif" w:hAnsi="sans-serif"/>
          <w:b w:val="false"/>
          <w:color w:val="000000"/>
          <w:sz w:val="22"/>
        </w:rPr>
      </w:pPr>
      <w:r>
        <w:rPr>
          <w:rFonts w:ascii="sans-serif" w:hAnsi="sans-serif"/>
          <w:b w:val="false"/>
          <w:color w:val="000000"/>
          <w:sz w:val="22"/>
        </w:rPr>
        <w:t xml:space="preserve">The Company is guiding to Q3 2026 total revenues of $29.5 million to $32.5 million. </w:t>
      </w:r>
    </w:p>
    <w:p>
      <w:pPr>
        <w:pStyle w:val="TextBody"/>
        <w:bidi w:val="0"/>
        <w:spacing w:lineRule="auto" w:line="288" w:before="240" w:after="283"/>
        <w:jc w:val="both"/>
        <w:rPr>
          <w:rFonts w:ascii="sans-serif" w:hAnsi="sans-serif"/>
          <w:b/>
          <w:color w:val="000000"/>
          <w:sz w:val="22"/>
        </w:rPr>
      </w:pPr>
      <w:r>
        <w:rPr>
          <w:rFonts w:ascii="sans-serif" w:hAnsi="sans-serif"/>
          <w:b/>
          <w:color w:val="000000"/>
          <w:sz w:val="22"/>
        </w:rPr>
        <w:t>Conference Call</w:t>
      </w:r>
    </w:p>
    <w:p>
      <w:pPr>
        <w:pStyle w:val="TextBody"/>
        <w:bidi w:val="0"/>
        <w:spacing w:lineRule="auto" w:line="288" w:before="120" w:after="283"/>
        <w:jc w:val="both"/>
        <w:rPr>
          <w:rFonts w:ascii="sans-serif" w:hAnsi="sans-serif"/>
          <w:b w:val="false"/>
          <w:color w:val="000000"/>
          <w:sz w:val="22"/>
        </w:rPr>
      </w:pPr>
      <w:r>
        <w:rPr>
          <w:rFonts w:ascii="sans-serif" w:hAnsi="sans-serif"/>
          <w:b w:val="false"/>
          <w:color w:val="000000"/>
          <w:sz w:val="22"/>
        </w:rPr>
        <w:t>The Company will host a conference call and audio webcast to discuss the Company’s second quarter 2026 results and certain business developments, beginning today at 5 p.m. Eastern Time. The call will include prepared remarks by management and a question and answer session.</w:t>
      </w:r>
    </w:p>
    <w:p>
      <w:pPr>
        <w:pStyle w:val="TextBody"/>
        <w:bidi w:val="0"/>
        <w:spacing w:lineRule="auto" w:line="288" w:before="120" w:after="283"/>
        <w:jc w:val="both"/>
        <w:rPr>
          <w:rFonts w:ascii="sans-serif" w:hAnsi="sans-serif"/>
          <w:b w:val="false"/>
          <w:color w:val="000000"/>
          <w:sz w:val="22"/>
        </w:rPr>
      </w:pPr>
      <w:r>
        <w:rPr>
          <w:rFonts w:ascii="sans-serif" w:hAnsi="sans-serif"/>
          <w:b w:val="false"/>
          <w:color w:val="000000"/>
          <w:sz w:val="22"/>
        </w:rPr>
        <w:t xml:space="preserve">A webcast of the conference call will be available on the investor relations page of OTI’s website at https://orasure.gcs-web.com/events-and-presentations. Please click on the webcast link and follow the prompts for registration and access at least 10 minutes prior to the call. The webcast will be archived on OTI’s website shortly after the call has ended. </w:t>
      </w:r>
    </w:p>
    <w:p>
      <w:pPr>
        <w:pStyle w:val="TextBody"/>
        <w:bidi w:val="0"/>
        <w:spacing w:lineRule="auto" w:line="288" w:before="240" w:after="283"/>
        <w:jc w:val="both"/>
        <w:rPr>
          <w:rFonts w:ascii="sans-serif" w:hAnsi="sans-serif"/>
          <w:b/>
          <w:color w:val="000000"/>
          <w:sz w:val="22"/>
        </w:rPr>
      </w:pPr>
      <w:r>
        <w:rPr>
          <w:rFonts w:ascii="sans-serif" w:hAnsi="sans-serif"/>
          <w:b/>
          <w:color w:val="000000"/>
          <w:sz w:val="22"/>
        </w:rPr>
        <w:t>Disclosure</w:t>
      </w:r>
    </w:p>
    <w:p>
      <w:pPr>
        <w:pStyle w:val="TextBody"/>
        <w:bidi w:val="0"/>
        <w:spacing w:lineRule="auto" w:line="288" w:before="120" w:after="283"/>
        <w:jc w:val="both"/>
        <w:rPr>
          <w:rFonts w:ascii="sans-serif" w:hAnsi="sans-serif"/>
          <w:b w:val="false"/>
          <w:color w:val="000000"/>
          <w:sz w:val="22"/>
        </w:rPr>
      </w:pPr>
      <w:r>
        <w:rPr>
          <w:rFonts w:ascii="sans-serif" w:hAnsi="sans-serif"/>
          <w:b w:val="false"/>
          <w:color w:val="000000"/>
          <w:sz w:val="22"/>
        </w:rPr>
        <w:t xml:space="preserve">OTI intends to use the Investor Relations Section of its website as a means of disclosing material non-public information (MNPI) and for complying with its disclosure obligations under Regulation FD. Accordingly, investors should monitor OTI’s website in addition to following its press releases, SEC filings, public conference calls, presentations, and webcasts.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7955"/>
                <wp:effectExtent l="0" t="0" r="0" b="0"/>
                <wp:wrapNone/>
                <wp:docPr id="7" name="Frame6"/>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right"/>
                              <w:rPr>
                                <w:rFonts w:ascii="sans-serif" w:hAnsi="sans-serif"/>
                                <w:b w:val="false"/>
                                <w:color w:val="000000"/>
                                <w:sz w:val="20"/>
                              </w:rPr>
                            </w:pPr>
                            <w:r>
                              <w:rPr>
                                <w:rFonts w:ascii="sans-serif" w:hAnsi="sans-serif"/>
                                <w:b w:val="false"/>
                                <w:color w:val="000000"/>
                                <w:sz w:val="20"/>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sans-serif" w:hAnsi="sans-serif"/>
                          <w:b w:val="false"/>
                          <w:color w:val="000000"/>
                          <w:sz w:val="20"/>
                        </w:rPr>
                      </w:pPr>
                      <w:r>
                        <w:rPr>
                          <w:rFonts w:ascii="sans-serif" w:hAnsi="sans-serif"/>
                          <w:b w:val="false"/>
                          <w:color w:val="000000"/>
                          <w:sz w:val="20"/>
                        </w:rPr>
                        <w:t>3</w:t>
                      </w:r>
                    </w:p>
                  </w:txbxContent>
                </v:textbox>
                <w10:wrap type="none"/>
              </v:rect>
            </w:pict>
          </mc:Fallback>
        </mc:AlternateContent>
      </w:r>
    </w:p>
    <w:p>
      <w:pPr>
        <w:pStyle w:val="TextBody"/>
        <w:bidi w:val="0"/>
        <w:spacing w:lineRule="auto" w:line="288" w:before="240" w:after="283"/>
        <w:jc w:val="both"/>
        <w:rPr>
          <w:rFonts w:ascii="sans-serif" w:hAnsi="sans-serif"/>
          <w:b/>
          <w:color w:val="000000"/>
          <w:sz w:val="22"/>
        </w:rPr>
      </w:pPr>
      <w:r>
        <w:rPr>
          <w:rFonts w:ascii="sans-serif" w:hAnsi="sans-serif"/>
          <w:b/>
          <w:color w:val="000000"/>
          <w:sz w:val="22"/>
        </w:rPr>
        <w:t>Financial Data (Unaudited, $ in 000’s, except per share amounts)</w:t>
      </w:r>
    </w:p>
    <w:tbl>
      <w:tblPr>
        <w:tblW w:w="10205" w:type="dxa"/>
        <w:jc w:val="center"/>
        <w:tblInd w:w="0" w:type="dxa"/>
        <w:tblLayout w:type="fixed"/>
        <w:tblCellMar>
          <w:top w:w="28" w:type="dxa"/>
          <w:left w:w="28" w:type="dxa"/>
          <w:bottom w:w="28" w:type="dxa"/>
          <w:right w:w="28" w:type="dxa"/>
        </w:tblCellMar>
      </w:tblPr>
      <w:tblGrid>
        <w:gridCol w:w="1672"/>
        <w:gridCol w:w="1197"/>
        <w:gridCol w:w="1204"/>
        <w:gridCol w:w="225"/>
        <w:gridCol w:w="771"/>
        <w:gridCol w:w="116"/>
        <w:gridCol w:w="116"/>
        <w:gridCol w:w="116"/>
        <w:gridCol w:w="116"/>
        <w:gridCol w:w="225"/>
        <w:gridCol w:w="819"/>
        <w:gridCol w:w="116"/>
        <w:gridCol w:w="109"/>
        <w:gridCol w:w="109"/>
        <w:gridCol w:w="109"/>
        <w:gridCol w:w="214"/>
        <w:gridCol w:w="778"/>
        <w:gridCol w:w="110"/>
        <w:gridCol w:w="110"/>
        <w:gridCol w:w="110"/>
        <w:gridCol w:w="110"/>
        <w:gridCol w:w="214"/>
        <w:gridCol w:w="778"/>
        <w:gridCol w:w="110"/>
        <w:gridCol w:w="109"/>
        <w:gridCol w:w="109"/>
        <w:gridCol w:w="109"/>
        <w:gridCol w:w="324"/>
      </w:tblGrid>
      <w:tr>
        <w:trPr/>
        <w:tc>
          <w:tcPr>
            <w:tcW w:w="1672" w:type="dxa"/>
            <w:tcBorders/>
            <w:vAlign w:val="center"/>
          </w:tcPr>
          <w:p>
            <w:pPr>
              <w:pStyle w:val="TableContents"/>
              <w:bidi w:val="0"/>
              <w:spacing w:before="0" w:after="283"/>
              <w:jc w:val="left"/>
              <w:rPr>
                <w:sz w:val="4"/>
                <w:szCs w:val="4"/>
              </w:rPr>
            </w:pPr>
            <w:r>
              <w:rPr>
                <w:sz w:val="4"/>
                <w:szCs w:val="4"/>
              </w:rPr>
            </w:r>
          </w:p>
        </w:tc>
        <w:tc>
          <w:tcPr>
            <w:tcW w:w="1197" w:type="dxa"/>
            <w:tcBorders/>
            <w:vAlign w:val="center"/>
          </w:tcPr>
          <w:p>
            <w:pPr>
              <w:pStyle w:val="TableContents"/>
              <w:bidi w:val="0"/>
              <w:spacing w:before="0" w:after="283"/>
              <w:jc w:val="left"/>
              <w:rPr>
                <w:sz w:val="4"/>
                <w:szCs w:val="4"/>
              </w:rPr>
            </w:pPr>
            <w:r>
              <w:rPr>
                <w:sz w:val="4"/>
                <w:szCs w:val="4"/>
              </w:rPr>
            </w:r>
          </w:p>
        </w:tc>
        <w:tc>
          <w:tcPr>
            <w:tcW w:w="1204"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r>
      <w:tr>
        <w:trPr/>
        <w:tc>
          <w:tcPr>
            <w:tcW w:w="40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For the 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For the Six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3" w:type="dxa"/>
            <w:gridSpan w:val="2"/>
            <w:tcBorders/>
          </w:tcPr>
          <w:p>
            <w:pPr>
              <w:pStyle w:val="TableContents"/>
              <w:bidi w:val="0"/>
              <w:spacing w:before="0" w:after="283"/>
              <w:jc w:val="left"/>
              <w:rPr>
                <w:sz w:val="4"/>
                <w:szCs w:val="4"/>
              </w:rPr>
            </w:pPr>
            <w:r>
              <w:rPr>
                <w:sz w:val="4"/>
                <w:szCs w:val="4"/>
              </w:rPr>
            </w:r>
          </w:p>
        </w:tc>
      </w:tr>
      <w:tr>
        <w:trPr/>
        <w:tc>
          <w:tcPr>
            <w:tcW w:w="40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r>
      <w:tr>
        <w:trPr/>
        <w:tc>
          <w:tcPr>
            <w:tcW w:w="407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Results of Operations</w:t>
            </w:r>
          </w:p>
        </w:tc>
        <w:tc>
          <w:tcPr>
            <w:tcW w:w="111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r>
      <w:tr>
        <w:trPr/>
        <w:tc>
          <w:tcPr>
            <w:tcW w:w="407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revenues</w:t>
            </w:r>
          </w:p>
        </w:tc>
        <w:tc>
          <w:tcPr>
            <w:tcW w:w="22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30,639 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31,242 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58,564 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61,173 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r>
      <w:tr>
        <w:trPr/>
        <w:tc>
          <w:tcPr>
            <w:tcW w:w="407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Cost of products and services sold</w:t>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17,322 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18,083 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33,443 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35,715 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r>
      <w:tr>
        <w:trPr/>
        <w:tc>
          <w:tcPr>
            <w:tcW w:w="407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9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13,317 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13,159 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25,121 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25,458 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r>
      <w:tr>
        <w:trPr/>
        <w:tc>
          <w:tcPr>
            <w:tcW w:w="407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11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r>
      <w:tr>
        <w:trPr/>
        <w:tc>
          <w:tcPr>
            <w:tcW w:w="407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9,437 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11,401 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23,091 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21,004 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r>
      <w:tr>
        <w:trPr/>
        <w:tc>
          <w:tcPr>
            <w:tcW w:w="407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6,604 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6,375 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13,374 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13,234 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r>
      <w:tr>
        <w:trPr/>
        <w:tc>
          <w:tcPr>
            <w:tcW w:w="407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14,429 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12,676 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28,985 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26,778 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r>
      <w:tr>
        <w:trPr/>
        <w:tc>
          <w:tcPr>
            <w:tcW w:w="4073"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r>
      <w:tr>
        <w:trPr/>
        <w:tc>
          <w:tcPr>
            <w:tcW w:w="407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the estimated fair value of acquisition-related contingent consideration</w:t>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(22,573)</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733 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(22,480)</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1,211 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r>
      <w:tr>
        <w:trPr/>
        <w:tc>
          <w:tcPr>
            <w:tcW w:w="407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Gain on sale of assets</w:t>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(993)</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r>
      <w:tr>
        <w:trPr/>
        <w:tc>
          <w:tcPr>
            <w:tcW w:w="407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9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7,877 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31,185 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42,950 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61,234 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r>
      <w:tr>
        <w:trPr/>
        <w:tc>
          <w:tcPr>
            <w:tcW w:w="407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 (loss)</w:t>
            </w:r>
          </w:p>
        </w:tc>
        <w:tc>
          <w:tcPr>
            <w:tcW w:w="9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5,440 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(18,026)</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(17,829)</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(35,776)</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r>
      <w:tr>
        <w:trPr/>
        <w:tc>
          <w:tcPr>
            <w:tcW w:w="407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w:t>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1,377 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1,135 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2,925 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2,913 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r>
      <w:tr>
        <w:trPr/>
        <w:tc>
          <w:tcPr>
            <w:tcW w:w="407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Income (loss) before income taxes and equity investment</w:t>
            </w:r>
          </w:p>
        </w:tc>
        <w:tc>
          <w:tcPr>
            <w:tcW w:w="9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6,817 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(16,891)</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(14,904)</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(32,863)</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r>
      <w:tr>
        <w:trPr/>
        <w:tc>
          <w:tcPr>
            <w:tcW w:w="407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 (benefit)</w:t>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2,000 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(377)</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1,544 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r>
      <w:tr>
        <w:trPr/>
        <w:tc>
          <w:tcPr>
            <w:tcW w:w="407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Income (loss) before equity investment</w:t>
            </w:r>
          </w:p>
        </w:tc>
        <w:tc>
          <w:tcPr>
            <w:tcW w:w="9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6,762 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(18,891)</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(14,527)</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(34,407)</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r>
      <w:tr>
        <w:trPr/>
        <w:tc>
          <w:tcPr>
            <w:tcW w:w="407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Loss on equity investment</w:t>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(513)</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(802)</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(1,601)</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(1,326)</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r>
      <w:tr>
        <w:trPr/>
        <w:tc>
          <w:tcPr>
            <w:tcW w:w="407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22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6,249 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(19,693)</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(16,128)</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(35,733)</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r>
      <w:tr>
        <w:trPr/>
        <w:tc>
          <w:tcPr>
            <w:tcW w:w="407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Earnings (loss) per share:</w:t>
            </w:r>
          </w:p>
        </w:tc>
        <w:tc>
          <w:tcPr>
            <w:tcW w:w="111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ind w:left="0" w:right="0" w:firstLine="180"/>
              <w:jc w:val="left"/>
              <w:rPr>
                <w:sz w:val="4"/>
                <w:szCs w:val="4"/>
              </w:rPr>
            </w:pPr>
            <w:r>
              <w:rPr>
                <w:sz w:val="4"/>
                <w:szCs w:val="4"/>
              </w:rPr>
            </w:r>
          </w:p>
        </w:tc>
      </w:tr>
      <w:tr>
        <w:trPr/>
        <w:tc>
          <w:tcPr>
            <w:tcW w:w="407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22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0.09 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(0.26)</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(0.23)</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(0.48)</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ind w:left="0" w:right="0" w:firstLine="180"/>
              <w:jc w:val="left"/>
              <w:rPr>
                <w:sz w:val="4"/>
                <w:szCs w:val="4"/>
              </w:rPr>
            </w:pPr>
            <w:r>
              <w:rPr>
                <w:sz w:val="4"/>
                <w:szCs w:val="4"/>
              </w:rPr>
            </w:r>
          </w:p>
        </w:tc>
      </w:tr>
      <w:tr>
        <w:trPr/>
        <w:tc>
          <w:tcPr>
            <w:tcW w:w="407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225"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0.09 </w:t>
            </w:r>
          </w:p>
        </w:tc>
        <w:tc>
          <w:tcPr>
            <w:tcW w:w="11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9"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(0.26)</w:t>
            </w:r>
          </w:p>
        </w:tc>
        <w:tc>
          <w:tcPr>
            <w:tcW w:w="11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8"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(0.23)</w:t>
            </w:r>
          </w:p>
        </w:tc>
        <w:tc>
          <w:tcPr>
            <w:tcW w:w="110"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8"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(0.48)</w:t>
            </w:r>
          </w:p>
        </w:tc>
        <w:tc>
          <w:tcPr>
            <w:tcW w:w="110"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r>
      <w:tr>
        <w:trPr/>
        <w:tc>
          <w:tcPr>
            <w:tcW w:w="407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shares outstanding:</w:t>
            </w:r>
          </w:p>
        </w:tc>
        <w:tc>
          <w:tcPr>
            <w:tcW w:w="111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ind w:left="0" w:right="0" w:firstLine="180"/>
              <w:jc w:val="left"/>
              <w:rPr>
                <w:sz w:val="4"/>
                <w:szCs w:val="4"/>
              </w:rPr>
            </w:pPr>
            <w:r>
              <w:rPr>
                <w:sz w:val="4"/>
                <w:szCs w:val="4"/>
              </w:rPr>
            </w:r>
          </w:p>
        </w:tc>
      </w:tr>
      <w:tr>
        <w:trPr/>
        <w:tc>
          <w:tcPr>
            <w:tcW w:w="407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111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69,003</w:t>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74,541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69,337</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74,703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ind w:left="0" w:right="0" w:firstLine="180"/>
              <w:jc w:val="left"/>
              <w:rPr>
                <w:sz w:val="4"/>
                <w:szCs w:val="4"/>
              </w:rPr>
            </w:pPr>
            <w:r>
              <w:rPr>
                <w:sz w:val="4"/>
                <w:szCs w:val="4"/>
              </w:rPr>
            </w:r>
          </w:p>
        </w:tc>
      </w:tr>
      <w:tr>
        <w:trPr/>
        <w:tc>
          <w:tcPr>
            <w:tcW w:w="407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1112" w:type="dxa"/>
            <w:gridSpan w:val="3"/>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70,158</w:t>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74,541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69,337</w:t>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74,703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240" w:after="283"/>
        <w:jc w:val="both"/>
        <w:rPr/>
      </w:pPr>
      <w:r>
        <w:rPr/>
      </w:r>
    </w:p>
    <w:tbl>
      <w:tblPr>
        <w:tblW w:w="10205" w:type="dxa"/>
        <w:jc w:val="center"/>
        <w:tblInd w:w="0" w:type="dxa"/>
        <w:tblLayout w:type="fixed"/>
        <w:tblCellMar>
          <w:top w:w="28" w:type="dxa"/>
          <w:left w:w="28" w:type="dxa"/>
          <w:bottom w:w="28" w:type="dxa"/>
          <w:right w:w="28" w:type="dxa"/>
        </w:tblCellMar>
      </w:tblPr>
      <w:tblGrid>
        <w:gridCol w:w="631"/>
        <w:gridCol w:w="555"/>
        <w:gridCol w:w="557"/>
        <w:gridCol w:w="211"/>
        <w:gridCol w:w="721"/>
        <w:gridCol w:w="109"/>
        <w:gridCol w:w="109"/>
        <w:gridCol w:w="109"/>
        <w:gridCol w:w="109"/>
        <w:gridCol w:w="211"/>
        <w:gridCol w:w="721"/>
        <w:gridCol w:w="109"/>
        <w:gridCol w:w="109"/>
        <w:gridCol w:w="109"/>
        <w:gridCol w:w="109"/>
        <w:gridCol w:w="248"/>
        <w:gridCol w:w="249"/>
        <w:gridCol w:w="483"/>
        <w:gridCol w:w="109"/>
        <w:gridCol w:w="109"/>
        <w:gridCol w:w="109"/>
        <w:gridCol w:w="211"/>
        <w:gridCol w:w="721"/>
        <w:gridCol w:w="109"/>
        <w:gridCol w:w="109"/>
        <w:gridCol w:w="109"/>
        <w:gridCol w:w="109"/>
        <w:gridCol w:w="211"/>
        <w:gridCol w:w="721"/>
        <w:gridCol w:w="109"/>
        <w:gridCol w:w="109"/>
        <w:gridCol w:w="109"/>
        <w:gridCol w:w="109"/>
        <w:gridCol w:w="248"/>
        <w:gridCol w:w="249"/>
        <w:gridCol w:w="483"/>
        <w:gridCol w:w="109"/>
        <w:gridCol w:w="109"/>
        <w:gridCol w:w="109"/>
        <w:gridCol w:w="109"/>
        <w:gridCol w:w="109"/>
        <w:gridCol w:w="158"/>
      </w:tblGrid>
      <w:tr>
        <w:trPr/>
        <w:tc>
          <w:tcPr>
            <w:tcW w:w="631"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7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6"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For the 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6"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For the Six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5" w:type="dxa"/>
            <w:gridSpan w:val="4"/>
            <w:tcBorders/>
          </w:tcPr>
          <w:p>
            <w:pPr>
              <w:pStyle w:val="TableContents"/>
              <w:bidi w:val="0"/>
              <w:spacing w:before="0" w:after="283"/>
              <w:jc w:val="left"/>
              <w:rPr>
                <w:sz w:val="4"/>
                <w:szCs w:val="4"/>
              </w:rPr>
            </w:pPr>
            <w:r>
              <w:rPr>
                <w:sz w:val="4"/>
                <w:szCs w:val="4"/>
              </w:rPr>
            </w:r>
          </w:p>
        </w:tc>
      </w:tr>
      <w:tr>
        <w:trPr/>
        <w:tc>
          <w:tcPr>
            <w:tcW w:w="17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74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Consolidated Net Revenues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74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Diagnostics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19,351 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19,222 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48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36,217 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36,911 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48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74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Sample Management Solutions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9,875 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9,855 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18,933 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18,965 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74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products and services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68 </w:t>
            </w:r>
          </w:p>
        </w:tc>
        <w:tc>
          <w:tcPr>
            <w:tcW w:w="4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51 </w:t>
            </w:r>
          </w:p>
        </w:tc>
        <w:tc>
          <w:tcPr>
            <w:tcW w:w="4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74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COVID-19 Diagnostics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(96)</w:t>
            </w:r>
          </w:p>
        </w:tc>
        <w:tc>
          <w:tcPr>
            <w:tcW w:w="4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(96)</w:t>
            </w:r>
          </w:p>
        </w:tc>
        <w:tc>
          <w:tcPr>
            <w:tcW w:w="4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74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Risk Assessment Testing</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w:t>
            </w:r>
          </w:p>
        </w:tc>
        <w:tc>
          <w:tcPr>
            <w:tcW w:w="4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w:t>
            </w:r>
          </w:p>
        </w:tc>
        <w:tc>
          <w:tcPr>
            <w:tcW w:w="4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74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product and services revenues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29,724 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29,847 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56,100 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58,844 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4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74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Non-product and services revenues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w:t>
            </w:r>
          </w:p>
        </w:tc>
        <w:tc>
          <w:tcPr>
            <w:tcW w:w="4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4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74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revenues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30,639 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31,242 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48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58,564 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61,173 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48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7955"/>
                <wp:effectExtent l="0" t="0" r="0" b="0"/>
                <wp:wrapNone/>
                <wp:docPr id="8" name="Frame7"/>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right"/>
                              <w:rPr>
                                <w:rFonts w:ascii="sans-serif" w:hAnsi="sans-serif"/>
                                <w:b w:val="false"/>
                                <w:color w:val="000000"/>
                                <w:sz w:val="20"/>
                              </w:rPr>
                            </w:pPr>
                            <w:r>
                              <w:rPr>
                                <w:rFonts w:ascii="sans-serif" w:hAnsi="sans-serif"/>
                                <w:b w:val="false"/>
                                <w:color w:val="000000"/>
                                <w:sz w:val="20"/>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sans-serif" w:hAnsi="sans-serif"/>
                          <w:b w:val="false"/>
                          <w:color w:val="000000"/>
                          <w:sz w:val="20"/>
                        </w:rPr>
                      </w:pPr>
                      <w:r>
                        <w:rPr>
                          <w:rFonts w:ascii="sans-serif" w:hAnsi="sans-serif"/>
                          <w:b w:val="false"/>
                          <w:color w:val="000000"/>
                          <w:sz w:val="20"/>
                        </w:rPr>
                        <w:t>4</w:t>
                      </w:r>
                    </w:p>
                  </w:txbxContent>
                </v:textbox>
                <w10:wrap type="none"/>
              </v:rect>
            </w:pict>
          </mc:Fallback>
        </mc:AlternateContent>
      </w:r>
    </w:p>
    <w:p>
      <w:pPr>
        <w:pStyle w:val="TextBody"/>
        <w:bidi w:val="0"/>
        <w:spacing w:lineRule="auto" w:line="288" w:before="240" w:after="283"/>
        <w:jc w:val="left"/>
        <w:rPr>
          <w:rFonts w:ascii="sans-serif" w:hAnsi="sans-serif"/>
          <w:b/>
          <w:color w:val="000000"/>
          <w:sz w:val="22"/>
        </w:rPr>
      </w:pPr>
      <w:r>
        <w:rPr>
          <w:rFonts w:ascii="sans-serif" w:hAnsi="sans-serif"/>
          <w:b/>
          <w:color w:val="000000"/>
          <w:sz w:val="22"/>
        </w:rPr>
        <w:t>Condensed Consolidated Balance Sheets (Unaudited, $ in 000’s)</w:t>
      </w:r>
    </w:p>
    <w:tbl>
      <w:tblPr>
        <w:tblW w:w="7697" w:type="dxa"/>
        <w:jc w:val="left"/>
        <w:tblInd w:w="0" w:type="dxa"/>
        <w:tblLayout w:type="fixed"/>
        <w:tblCellMar>
          <w:top w:w="28" w:type="dxa"/>
          <w:left w:w="28" w:type="dxa"/>
          <w:bottom w:w="28" w:type="dxa"/>
          <w:right w:w="28" w:type="dxa"/>
        </w:tblCellMar>
      </w:tblPr>
      <w:tblGrid>
        <w:gridCol w:w="1691"/>
        <w:gridCol w:w="1488"/>
        <w:gridCol w:w="1501"/>
        <w:gridCol w:w="211"/>
        <w:gridCol w:w="826"/>
        <w:gridCol w:w="109"/>
        <w:gridCol w:w="109"/>
        <w:gridCol w:w="109"/>
        <w:gridCol w:w="109"/>
        <w:gridCol w:w="241"/>
        <w:gridCol w:w="947"/>
        <w:gridCol w:w="356"/>
      </w:tblGrid>
      <w:tr>
        <w:trPr/>
        <w:tc>
          <w:tcPr>
            <w:tcW w:w="1691" w:type="dxa"/>
            <w:tcBorders/>
            <w:vAlign w:val="center"/>
          </w:tcPr>
          <w:p>
            <w:pPr>
              <w:pStyle w:val="TableContents"/>
              <w:bidi w:val="0"/>
              <w:spacing w:before="0" w:after="283"/>
              <w:jc w:val="left"/>
              <w:rPr>
                <w:sz w:val="4"/>
                <w:szCs w:val="4"/>
              </w:rPr>
            </w:pPr>
            <w:r>
              <w:rPr>
                <w:sz w:val="4"/>
                <w:szCs w:val="4"/>
              </w:rPr>
            </w:r>
          </w:p>
        </w:tc>
        <w:tc>
          <w:tcPr>
            <w:tcW w:w="1488"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47"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r>
      <w:tr>
        <w:trPr/>
        <w:tc>
          <w:tcPr>
            <w:tcW w:w="46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46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Assets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160,582 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199,278 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rPr/>
        <w:tc>
          <w:tcPr>
            <w:tcW w:w="46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 net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25,597 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22,203 </w:t>
            </w:r>
          </w:p>
        </w:tc>
        <w:tc>
          <w:tcPr>
            <w:tcW w:w="3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Inventories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30,071 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31,060 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assets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9,367 </w:t>
            </w:r>
          </w:p>
        </w:tc>
        <w:tc>
          <w:tcPr>
            <w:tcW w:w="3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plant and equipment, net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38,577 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39,179 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assets, net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18,835 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19,046 </w:t>
            </w:r>
          </w:p>
        </w:tc>
        <w:tc>
          <w:tcPr>
            <w:tcW w:w="3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42,717 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43,363 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 in equity method investee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24,355 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25,956 </w:t>
            </w:r>
          </w:p>
        </w:tc>
        <w:tc>
          <w:tcPr>
            <w:tcW w:w="3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noncurrent assets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13,131 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13,716 </w:t>
            </w:r>
          </w:p>
        </w:tc>
        <w:tc>
          <w:tcPr>
            <w:tcW w:w="356" w:type="dxa"/>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46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360,552 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403,168 </w:t>
            </w:r>
          </w:p>
        </w:tc>
        <w:tc>
          <w:tcPr>
            <w:tcW w:w="3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Liabilities and Stockholders’ Equity</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8,401 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6,521 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revenue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1,518 </w:t>
            </w:r>
          </w:p>
        </w:tc>
        <w:tc>
          <w:tcPr>
            <w:tcW w:w="3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Acquisition-related contingent consideration obligation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18,380 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liabilities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15,867 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13,376 </w:t>
            </w:r>
          </w:p>
        </w:tc>
        <w:tc>
          <w:tcPr>
            <w:tcW w:w="3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noncurrent liabilities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17,656 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22,546 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Stockholders’ equity</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317,777 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340,827 </w:t>
            </w:r>
          </w:p>
        </w:tc>
        <w:tc>
          <w:tcPr>
            <w:tcW w:w="356" w:type="dxa"/>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46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and stockholders’ equity</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360,552 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403,168 </w:t>
            </w:r>
          </w:p>
        </w:tc>
        <w:tc>
          <w:tcPr>
            <w:tcW w:w="3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sans-serif" w:hAnsi="sans-serif"/>
          <w:b/>
          <w:color w:val="000000"/>
          <w:sz w:val="22"/>
        </w:rPr>
      </w:pPr>
      <w:r>
        <w:rPr>
          <w:rFonts w:ascii="sans-serif" w:hAnsi="sans-serif"/>
          <w:b/>
          <w:color w:val="000000"/>
          <w:sz w:val="22"/>
        </w:rPr>
        <w:t>Additional Financial Data (Unaudited, $ in 000’s)</w:t>
      </w:r>
    </w:p>
    <w:tbl>
      <w:tblPr>
        <w:tblW w:w="5471" w:type="dxa"/>
        <w:jc w:val="left"/>
        <w:tblInd w:w="0" w:type="dxa"/>
        <w:tblLayout w:type="fixed"/>
        <w:tblCellMar>
          <w:top w:w="28" w:type="dxa"/>
          <w:left w:w="28" w:type="dxa"/>
          <w:bottom w:w="28" w:type="dxa"/>
          <w:right w:w="28" w:type="dxa"/>
        </w:tblCellMar>
      </w:tblPr>
      <w:tblGrid>
        <w:gridCol w:w="1004"/>
        <w:gridCol w:w="883"/>
        <w:gridCol w:w="887"/>
        <w:gridCol w:w="218"/>
        <w:gridCol w:w="825"/>
        <w:gridCol w:w="113"/>
        <w:gridCol w:w="113"/>
        <w:gridCol w:w="113"/>
        <w:gridCol w:w="113"/>
        <w:gridCol w:w="218"/>
        <w:gridCol w:w="825"/>
        <w:gridCol w:w="159"/>
      </w:tblGrid>
      <w:tr>
        <w:trPr/>
        <w:tc>
          <w:tcPr>
            <w:tcW w:w="1004"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7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For the Six Months Ended June 30,</w:t>
            </w:r>
          </w:p>
        </w:tc>
      </w:tr>
      <w:tr>
        <w:trPr/>
        <w:tc>
          <w:tcPr>
            <w:tcW w:w="27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27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Capital expenditures</w:t>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3,341 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2,356 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04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4,712 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5,334 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104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5,055 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5,852 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Cash used in operating activities</w:t>
            </w:r>
          </w:p>
        </w:tc>
        <w:tc>
          <w:tcPr>
            <w:tcW w:w="21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(23,816)</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(29,956)</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40" w:after="283"/>
        <w:jc w:val="both"/>
        <w:rPr/>
      </w:pPr>
      <w:r>
        <w:rPr/>
      </w:r>
    </w:p>
    <w:p>
      <w:pPr>
        <w:pStyle w:val="TextBody"/>
        <w:bidi w:val="0"/>
        <w:spacing w:before="240" w:after="283"/>
        <w:jc w:val="left"/>
        <w:rPr/>
      </w:pPr>
      <w:r>
        <w:rPr/>
      </w:r>
    </w:p>
    <w:p>
      <w:pPr>
        <w:pStyle w:val="TextBody"/>
        <w:bidi w:val="0"/>
        <w:spacing w:before="24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7955"/>
                <wp:effectExtent l="0" t="0" r="0" b="0"/>
                <wp:wrapNone/>
                <wp:docPr id="9" name="Frame8"/>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right"/>
                              <w:rPr>
                                <w:rFonts w:ascii="sans-serif" w:hAnsi="sans-serif"/>
                                <w:b w:val="false"/>
                                <w:color w:val="000000"/>
                                <w:sz w:val="20"/>
                              </w:rPr>
                            </w:pPr>
                            <w:r>
                              <w:rPr>
                                <w:rFonts w:ascii="sans-serif" w:hAnsi="sans-serif"/>
                                <w:b w:val="false"/>
                                <w:color w:val="000000"/>
                                <w:sz w:val="20"/>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sans-serif" w:hAnsi="sans-serif"/>
                          <w:b w:val="false"/>
                          <w:color w:val="000000"/>
                          <w:sz w:val="20"/>
                        </w:rPr>
                      </w:pPr>
                      <w:r>
                        <w:rPr>
                          <w:rFonts w:ascii="sans-serif" w:hAnsi="sans-serif"/>
                          <w:b w:val="false"/>
                          <w:color w:val="000000"/>
                          <w:sz w:val="20"/>
                        </w:rPr>
                        <w:t>5</w:t>
                      </w:r>
                    </w:p>
                  </w:txbxContent>
                </v:textbox>
                <w10:wrap type="none"/>
              </v:rect>
            </w:pict>
          </mc:Fallback>
        </mc:AlternateContent>
      </w:r>
    </w:p>
    <w:p>
      <w:pPr>
        <w:pStyle w:val="TextBody"/>
        <w:bidi w:val="0"/>
        <w:spacing w:lineRule="auto" w:line="288" w:before="240" w:after="283"/>
        <w:jc w:val="left"/>
        <w:rPr>
          <w:rFonts w:ascii="sans-serif" w:hAnsi="sans-serif"/>
          <w:b/>
          <w:color w:val="000000"/>
          <w:sz w:val="22"/>
        </w:rPr>
      </w:pPr>
      <w:r>
        <w:rPr>
          <w:rFonts w:ascii="sans-serif" w:hAnsi="sans-serif"/>
          <w:b/>
          <w:color w:val="000000"/>
          <w:sz w:val="22"/>
        </w:rPr>
        <w:t>Consolidated Statement of Cash Flows (Unaudited, $ in 000’s)</w:t>
      </w:r>
    </w:p>
    <w:tbl>
      <w:tblPr>
        <w:tblW w:w="9678" w:type="dxa"/>
        <w:jc w:val="left"/>
        <w:tblInd w:w="0" w:type="dxa"/>
        <w:tblLayout w:type="fixed"/>
        <w:tblCellMar>
          <w:top w:w="28" w:type="dxa"/>
          <w:left w:w="28" w:type="dxa"/>
          <w:bottom w:w="28" w:type="dxa"/>
          <w:right w:w="28" w:type="dxa"/>
        </w:tblCellMar>
      </w:tblPr>
      <w:tblGrid>
        <w:gridCol w:w="2450"/>
        <w:gridCol w:w="2152"/>
        <w:gridCol w:w="2163"/>
        <w:gridCol w:w="213"/>
        <w:gridCol w:w="837"/>
        <w:gridCol w:w="110"/>
        <w:gridCol w:w="110"/>
        <w:gridCol w:w="110"/>
        <w:gridCol w:w="110"/>
        <w:gridCol w:w="213"/>
        <w:gridCol w:w="837"/>
        <w:gridCol w:w="110"/>
        <w:gridCol w:w="109"/>
        <w:gridCol w:w="154"/>
      </w:tblGrid>
      <w:tr>
        <w:trPr/>
        <w:tc>
          <w:tcPr>
            <w:tcW w:w="2450" w:type="dxa"/>
            <w:tcBorders/>
            <w:vAlign w:val="center"/>
          </w:tcPr>
          <w:p>
            <w:pPr>
              <w:pStyle w:val="TableContents"/>
              <w:bidi w:val="0"/>
              <w:spacing w:before="0" w:after="283"/>
              <w:jc w:val="left"/>
              <w:rPr>
                <w:sz w:val="4"/>
                <w:szCs w:val="4"/>
              </w:rPr>
            </w:pPr>
            <w:r>
              <w:rPr>
                <w:sz w:val="4"/>
                <w:szCs w:val="4"/>
              </w:rPr>
            </w:r>
          </w:p>
        </w:tc>
        <w:tc>
          <w:tcPr>
            <w:tcW w:w="2152" w:type="dxa"/>
            <w:tcBorders/>
            <w:vAlign w:val="center"/>
          </w:tcPr>
          <w:p>
            <w:pPr>
              <w:pStyle w:val="TableContents"/>
              <w:bidi w:val="0"/>
              <w:spacing w:before="0" w:after="283"/>
              <w:jc w:val="left"/>
              <w:rPr>
                <w:sz w:val="4"/>
                <w:szCs w:val="4"/>
              </w:rPr>
            </w:pPr>
            <w:r>
              <w:rPr>
                <w:sz w:val="4"/>
                <w:szCs w:val="4"/>
              </w:rPr>
            </w:r>
          </w:p>
        </w:tc>
        <w:tc>
          <w:tcPr>
            <w:tcW w:w="216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For the Six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ACTIVITIES:</w:t>
            </w:r>
          </w:p>
        </w:tc>
        <w:tc>
          <w:tcPr>
            <w:tcW w:w="11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21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(16,128)</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(35,733)</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 to reconcile net loss to net cash used in operating activities:</w:t>
            </w:r>
          </w:p>
        </w:tc>
        <w:tc>
          <w:tcPr>
            <w:tcW w:w="11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5,055 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5,852 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4,712 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5,334 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65"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non-cash amortization</w:t>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(172)</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(147)</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credit losses</w:t>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288 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(296)</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Unrealized foreign currency loss</w:t>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285 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470 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on finance leases</w:t>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Loss on equity investment</w:t>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1,601 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1,326 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income taxes</w:t>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(152)</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(820)</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Gain on sale of fixed assets</w:t>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(780)</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the estimated fair value of acquisition-related contingent consideration</w:t>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(22,480)</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1,211 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65"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assets and liabilities:</w:t>
            </w:r>
          </w:p>
        </w:tc>
        <w:tc>
          <w:tcPr>
            <w:tcW w:w="11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w:t>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(3,710)</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(1,563)</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Inventories</w:t>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890 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1,009 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assets</w:t>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2,478 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(683)</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1,314 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(1,548)</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revenue</w:t>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(663)</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(520)</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Accrued expenses and other liabilities</w:t>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2,880 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(3,072)</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operating activities</w:t>
            </w:r>
          </w:p>
        </w:tc>
        <w:tc>
          <w:tcPr>
            <w:tcW w:w="105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(23,816)</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(29,956)</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INVESTING ACTIVITIES:</w:t>
            </w:r>
          </w:p>
        </w:tc>
        <w:tc>
          <w:tcPr>
            <w:tcW w:w="116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65"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65"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65"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65"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sale of assets</w:t>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790 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 of property and equipment</w:t>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(3,341)</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(2,356)</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65"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65"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65"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investing activities</w:t>
            </w:r>
          </w:p>
        </w:tc>
        <w:tc>
          <w:tcPr>
            <w:tcW w:w="105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(3,321)</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(1,566)</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FINANCING ACTIVITIES:</w:t>
            </w:r>
          </w:p>
        </w:tc>
        <w:tc>
          <w:tcPr>
            <w:tcW w:w="116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payments for finance lease liabilities</w:t>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65"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65"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Repurchase of common stock</w:t>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(7,000)</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(5,000)</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Payment of taxes related to net share settlement of equity awards</w:t>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(1,484)</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(1,725)</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financing activities</w:t>
            </w:r>
          </w:p>
        </w:tc>
        <w:tc>
          <w:tcPr>
            <w:tcW w:w="10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(8,529)</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(6,751)</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FOREIGN EXCHANGE RATE CHANGES ON CASH</w:t>
            </w:r>
          </w:p>
        </w:tc>
        <w:tc>
          <w:tcPr>
            <w:tcW w:w="105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(3,030)</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5,088 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DECREASE IN CASH AND CASH EQUIVALENTS</w:t>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(38,696)</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(33,185)</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 BEGINNING OF PERIOD</w:t>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199,278 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267,763 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 END OF PERIOD</w:t>
            </w:r>
          </w:p>
        </w:tc>
        <w:tc>
          <w:tcPr>
            <w:tcW w:w="2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160,582 </w:t>
            </w:r>
          </w:p>
        </w:tc>
        <w:tc>
          <w:tcPr>
            <w:tcW w:w="1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234,578 </w:t>
            </w:r>
          </w:p>
        </w:tc>
        <w:tc>
          <w:tcPr>
            <w:tcW w:w="1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240" w:after="283"/>
        <w:jc w:val="both"/>
        <w:rPr/>
      </w:pPr>
      <w:r>
        <w:rPr/>
      </w:r>
    </w:p>
    <w:p>
      <w:pPr>
        <w:pStyle w:val="TextBody"/>
        <w:bidi w:val="0"/>
        <w:spacing w:before="240" w:after="283"/>
        <w:jc w:val="both"/>
        <w:rPr/>
      </w:pPr>
      <w:r>
        <w:rPr/>
      </w:r>
    </w:p>
    <w:p>
      <w:pPr>
        <w:pStyle w:val="TextBody"/>
        <w:bidi w:val="0"/>
        <w:spacing w:before="240" w:after="283"/>
        <w:jc w:val="both"/>
        <w:rPr/>
      </w:pPr>
      <w:r>
        <w:rPr/>
      </w:r>
    </w:p>
    <w:p>
      <w:pPr>
        <w:pStyle w:val="TextBody"/>
        <w:bidi w:val="0"/>
        <w:spacing w:before="240" w:after="120"/>
        <w:jc w:val="both"/>
        <w:rPr/>
      </w:pPr>
      <w:r>
        <w:rPr/>
      </w:r>
    </w:p>
    <w:p>
      <w:pPr>
        <w:pStyle w:val="TextBody"/>
        <w:bidi w:val="0"/>
        <w:spacing w:before="240" w:after="120"/>
        <w:jc w:val="both"/>
        <w:rPr/>
      </w:pPr>
      <w:r>
        <w:rPr/>
      </w:r>
    </w:p>
    <w:p>
      <w:pPr>
        <w:pStyle w:val="TextBody"/>
        <w:bidi w:val="0"/>
        <w:spacing w:before="240" w:after="12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7955"/>
                <wp:effectExtent l="0" t="0" r="0" b="0"/>
                <wp:wrapNone/>
                <wp:docPr id="10" name="Frame9"/>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right"/>
                              <w:rPr>
                                <w:rFonts w:ascii="sans-serif" w:hAnsi="sans-serif"/>
                                <w:b w:val="false"/>
                                <w:color w:val="000000"/>
                                <w:sz w:val="20"/>
                              </w:rPr>
                            </w:pPr>
                            <w:r>
                              <w:rPr>
                                <w:rFonts w:ascii="sans-serif" w:hAnsi="sans-serif"/>
                                <w:b w:val="false"/>
                                <w:color w:val="000000"/>
                                <w:sz w:val="20"/>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sans-serif" w:hAnsi="sans-serif"/>
                          <w:b w:val="false"/>
                          <w:color w:val="000000"/>
                          <w:sz w:val="20"/>
                        </w:rPr>
                      </w:pPr>
                      <w:r>
                        <w:rPr>
                          <w:rFonts w:ascii="sans-serif" w:hAnsi="sans-serif"/>
                          <w:b w:val="false"/>
                          <w:color w:val="000000"/>
                          <w:sz w:val="20"/>
                        </w:rPr>
                        <w:t>6</w:t>
                      </w:r>
                    </w:p>
                  </w:txbxContent>
                </v:textbox>
                <w10:wrap type="none"/>
              </v:rect>
            </w:pict>
          </mc:Fallback>
        </mc:AlternateContent>
      </w:r>
    </w:p>
    <w:p>
      <w:pPr>
        <w:pStyle w:val="TextBody"/>
        <w:bidi w:val="0"/>
        <w:spacing w:lineRule="auto" w:line="268" w:before="240" w:after="120"/>
        <w:jc w:val="both"/>
        <w:rPr>
          <w:rFonts w:ascii="sans-serif" w:hAnsi="sans-serif"/>
          <w:b/>
          <w:color w:val="000000"/>
          <w:sz w:val="22"/>
        </w:rPr>
      </w:pPr>
      <w:r>
        <w:rPr>
          <w:rFonts w:ascii="sans-serif" w:hAnsi="sans-serif"/>
          <w:b/>
          <w:color w:val="000000"/>
          <w:sz w:val="22"/>
        </w:rPr>
        <w:t>About OraSure Technologies</w:t>
      </w:r>
    </w:p>
    <w:p>
      <w:pPr>
        <w:pStyle w:val="TextBody"/>
        <w:bidi w:val="0"/>
        <w:spacing w:lineRule="auto" w:line="288" w:before="240" w:after="283"/>
        <w:jc w:val="both"/>
        <w:rPr/>
      </w:pPr>
      <w:r>
        <w:rPr>
          <w:rFonts w:ascii="sans-serif" w:hAnsi="sans-serif"/>
          <w:b w:val="false"/>
          <w:color w:val="000000"/>
          <w:sz w:val="22"/>
        </w:rPr>
        <w:t xml:space="preserve">OraSure Technologies, Inc. (“OraSure” and “OTI”) transforms health through actionable insight and decentralizes diagnostics to connect people to healthcare wherever they are. OraSure improves access, quality, and value of healthcare with innovation in effortless tests and sample management solutions. Together with its wholly-owned subsidiaries, DNA Genotek Inc., Sherlock Biosciences, Inc., and BioMedomics, Inc., OTI is a leader in the development, manufacture, and distribution of rapid diagnostic tests and sample collection and stabilization devices designed to discover and detect critical medical conditions. OraSure’s portfolio of products is sold globally to clinical laboratories, hospitals, physicians’ offices, clinics, public health and community-based organizations, research institutions, government agencies, pharmaceutical companies, and direct to consumers. For more information on OraSure Technologies, please visit </w:t>
      </w:r>
      <w:r>
        <w:rPr>
          <w:rFonts w:ascii="sans-serif" w:hAnsi="sans-serif"/>
          <w:b w:val="false"/>
          <w:color w:val="0563C1"/>
          <w:sz w:val="22"/>
        </w:rPr>
        <w:t>www.orasure.com</w:t>
      </w:r>
    </w:p>
    <w:p>
      <w:pPr>
        <w:pStyle w:val="TextBody"/>
        <w:bidi w:val="0"/>
        <w:spacing w:lineRule="auto" w:line="288" w:before="240" w:after="120"/>
        <w:jc w:val="both"/>
        <w:rPr>
          <w:rFonts w:ascii="sans-serif" w:hAnsi="sans-serif"/>
          <w:b/>
          <w:color w:val="000000"/>
          <w:sz w:val="22"/>
        </w:rPr>
      </w:pPr>
      <w:r>
        <w:rPr>
          <w:rFonts w:ascii="sans-serif" w:hAnsi="sans-serif"/>
          <w:b/>
          <w:color w:val="000000"/>
          <w:sz w:val="22"/>
        </w:rPr>
        <w:t>Forward Looking Statements</w:t>
      </w:r>
    </w:p>
    <w:p>
      <w:pPr>
        <w:pStyle w:val="TextBody"/>
        <w:bidi w:val="0"/>
        <w:spacing w:lineRule="auto" w:line="268"/>
        <w:jc w:val="both"/>
        <w:rPr>
          <w:rFonts w:ascii="sans-serif" w:hAnsi="sans-serif"/>
          <w:b w:val="false"/>
          <w:color w:val="000000"/>
          <w:sz w:val="22"/>
        </w:rPr>
      </w:pPr>
      <w:r>
        <w:rPr>
          <w:rFonts w:ascii="sans-serif" w:hAnsi="sans-serif"/>
          <w:b w:val="false"/>
          <w:color w:val="000000"/>
          <w:sz w:val="22"/>
        </w:rPr>
        <w:t>This press release contains certain “forward-looking statements” within the meaning of the federal securities laws. These may include statements about the Company's expected revenues, earnings/losses per share, net income (loss), expenses, cash flow or other financial performance, or developments, clinical trial or development activities, expected regulatory filings and approvals, planned business transactions, views of future industry, competitive or market conditions, and other factors that could affect the Company's future operations, results of operations or financial position. These statements often include words, such as “believes,” “expects,” “anticipates,” “intends,” “plans,” “estimates,” “may,” “will,” “should,” “could,” or similar expressions. Forward-looking statements are not guarantees of future performance or results. Known and unknown factors that could cause actual performance or results to be materially different from those expressed or implied in these statements include, but are not limited to: market acceptance of, and our ability to develop, commercialize, market and sell our products and services, whether through our internal, direct sales force, distributors or third parties; our ability to obtain and comply with necessary regulatory approvals for new products or new indications or applications for existing products, including timing and associated costs; failure of distributors or other customers to meet purchase forecasts, historic purchase levels or minimum purchase requirements for our products; significant customer concentrations that exist or may develop in the future; our ability to manufacture products in accordance with applicable specifications, performance standards and quality requirements; changes in relationships with strategic partners or other parties, including disputes or disagreements, and reliance on such parties for the performance of critical activities under collaborative arrangements; our ability to meet increased demand for our products; the impact of replacing distributors; our ability to achieve our financial and strategic objectives, including increasing our revenues and gross margins, and our ability to expand international sales; impact of competitors, competing products and technology changes; reduction or deferral of public funding available to customers; changes in market acceptance of our products based on product performance or other factors, including changes in testing guidelines, algorithms or other recommendations by the Centers for Disease Control and Prevention or other agencies; our ability to fund research and development and other products and operations; availability of raw materials and our reliance on sole supply sources for critical products and components; impact of contracting with the U.S. government; estimates regarding revenues, expenses, capital requirements and needs for additional financing; ability to utilize net operating loss carry forwards or other deferred tax assets; volatility of our stock price; uncertainty relating to patent protection, potential patent infringement claims, the availability of licenses to patents or other technology and costs of litigation relating to intellectual property, product liability and other types of litigation; the impact of changes in international funding sources and testing algorithms on international sales; adverse movements in foreign currency exchange rates; our ability to attract and retain qualified personnel; changes in international, federal or state laws and regulations; and the impact of geopolitical and economic conditions on the Company’s business. These and other factors that could affect our results are discussed more fully in our SEC filings, including our registration statements, Annual Report on Form 10-K for the year ended December 31, 2025, Quarterly Reports on Form 10-Q, and other filings with the SEC. Although forward-looking statements help to provide information about future prospects, readers should keep in mind that forward-looking statements may not be reliable. Readers are cautioned not to place undue reliance on the forward-looking statements. The forward-looking statements are made as of the date of this press release and OraSure Technologies undertakes no duty to update these statements.</w:t>
      </w:r>
    </w:p>
    <w:p>
      <w:pPr>
        <w:pStyle w:val="TextBody"/>
        <w:bidi w:val="0"/>
        <w:spacing w:before="0" w:after="0"/>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7955"/>
                <wp:effectExtent l="0" t="0" r="0" b="0"/>
                <wp:wrapNone/>
                <wp:docPr id="11" name="Frame10"/>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right"/>
                              <w:rPr>
                                <w:rFonts w:ascii="sans-serif" w:hAnsi="sans-serif"/>
                                <w:b w:val="false"/>
                                <w:color w:val="000000"/>
                                <w:sz w:val="20"/>
                              </w:rPr>
                            </w:pPr>
                            <w:r>
                              <w:rPr>
                                <w:rFonts w:ascii="sans-serif" w:hAnsi="sans-serif"/>
                                <w:b w:val="false"/>
                                <w:color w:val="000000"/>
                                <w:sz w:val="20"/>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sans-serif" w:hAnsi="sans-serif"/>
                          <w:b w:val="false"/>
                          <w:color w:val="000000"/>
                          <w:sz w:val="20"/>
                        </w:rPr>
                      </w:pPr>
                      <w:r>
                        <w:rPr>
                          <w:rFonts w:ascii="sans-serif" w:hAnsi="sans-serif"/>
                          <w:b w:val="false"/>
                          <w:color w:val="000000"/>
                          <w:sz w:val="20"/>
                        </w:rPr>
                        <w:t>7</w:t>
                      </w:r>
                    </w:p>
                  </w:txbxContent>
                </v:textbox>
                <w10:wrap type="none"/>
              </v:rect>
            </w:pict>
          </mc:Fallback>
        </mc:AlternateContent>
      </w:r>
    </w:p>
    <w:p>
      <w:pPr>
        <w:pStyle w:val="TextBody"/>
        <w:bidi w:val="0"/>
        <w:spacing w:lineRule="auto" w:line="288" w:before="240" w:after="283"/>
        <w:jc w:val="both"/>
        <w:rPr>
          <w:rFonts w:ascii="sans-serif" w:hAnsi="sans-serif"/>
          <w:b/>
          <w:color w:val="3A3B3C"/>
          <w:sz w:val="22"/>
        </w:rPr>
      </w:pPr>
      <w:r>
        <w:rPr>
          <w:rFonts w:ascii="sans-serif" w:hAnsi="sans-serif"/>
          <w:b/>
          <w:color w:val="3A3B3C"/>
          <w:sz w:val="22"/>
        </w:rPr>
        <w:t>Statement Regarding Use of Non-GAAP Financial Measures</w:t>
      </w:r>
    </w:p>
    <w:p>
      <w:pPr>
        <w:pStyle w:val="TextBody"/>
        <w:bidi w:val="0"/>
        <w:spacing w:lineRule="auto" w:line="288" w:before="240" w:after="283"/>
        <w:jc w:val="both"/>
        <w:rPr>
          <w:rFonts w:ascii="sans-serif" w:hAnsi="sans-serif"/>
          <w:b w:val="false"/>
          <w:color w:val="000000"/>
          <w:sz w:val="22"/>
        </w:rPr>
      </w:pPr>
      <w:r>
        <w:rPr>
          <w:rFonts w:ascii="sans-serif" w:hAnsi="sans-serif"/>
          <w:b w:val="false"/>
          <w:color w:val="000000"/>
          <w:sz w:val="22"/>
        </w:rPr>
        <w:t>In this press release, the Company’s financial results and financial guidance are provided in accordance with accounting principles generally accepted in the United States (GAAP) and using certain non-GAAP financial measures, including non-GAAP gross margin, non-GAAP gross profit, non-GAAP cost of good sold, non-GAAP net income (loss), non-GAAP operating income (loss), and non-GAAP earnings (loss) per share. Management believes that presentation of operating results using these non-GAAP financial measures provides useful supplemental information to investors and facilitates the analysis of the Company’s core operating results and comparison of operating results across reporting periods, while excluding certain expenses that may not be indicative of the Company’s recurring core business operating results. In addition, management believes these non-GAAP financial measures are useful to investors both because they (1) allow for greater transparency with respect to key metrics used by management in its financial and operational decision-making and (2) are used by OraSure’s institutional investors and the analysis community to help them analyze the health of OraSure’s business. Management also uses non-GAAP financial measures to establish budgets and to manage the Company’s business. A reconciliation of the GAAP financial results to non-GAAP financial results is included in the schedules below and a description of the adjustments made to the GAAP financial measures is included at the end of the schedules.</w:t>
      </w:r>
    </w:p>
    <w:p>
      <w:pPr>
        <w:pStyle w:val="TextBody"/>
        <w:bidi w:val="0"/>
        <w:spacing w:lineRule="auto" w:line="288" w:before="240" w:after="283"/>
        <w:jc w:val="both"/>
        <w:rPr>
          <w:rFonts w:ascii="sans-serif" w:hAnsi="sans-serif"/>
          <w:b w:val="false"/>
          <w:color w:val="000000"/>
          <w:sz w:val="22"/>
        </w:rPr>
      </w:pPr>
      <w:r>
        <w:rPr>
          <w:rFonts w:ascii="sans-serif" w:hAnsi="sans-serif"/>
          <w:b w:val="false"/>
          <w:color w:val="000000"/>
          <w:sz w:val="22"/>
        </w:rPr>
        <w:t>The Company encourages investors to carefully consider its results under GAAP, as well as its supplemental non-GAAP information and the reconciliation between these presentations, to more fully understand its business. Non-GAAP financial results are reported in addition to, and not as a substitute for, or superior to, financial measures calculated in accordance with GAAP. Further, non-GAAP financial measures, even if similarly titled, may not be calculated in the same manner by all companies, and therefore should not be compared.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7955"/>
                <wp:effectExtent l="0" t="0" r="0" b="0"/>
                <wp:wrapNone/>
                <wp:docPr id="12" name="Frame11"/>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right"/>
                              <w:rPr>
                                <w:rFonts w:ascii="sans-serif" w:hAnsi="sans-serif"/>
                                <w:b w:val="false"/>
                                <w:color w:val="000000"/>
                                <w:sz w:val="20"/>
                              </w:rPr>
                            </w:pPr>
                            <w:r>
                              <w:rPr>
                                <w:rFonts w:ascii="sans-serif" w:hAnsi="sans-serif"/>
                                <w:b w:val="false"/>
                                <w:color w:val="000000"/>
                                <w:sz w:val="20"/>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sans-serif" w:hAnsi="sans-serif"/>
                          <w:b w:val="false"/>
                          <w:color w:val="000000"/>
                          <w:sz w:val="20"/>
                        </w:rPr>
                      </w:pPr>
                      <w:r>
                        <w:rPr>
                          <w:rFonts w:ascii="sans-serif" w:hAnsi="sans-serif"/>
                          <w:b w:val="false"/>
                          <w:color w:val="000000"/>
                          <w:sz w:val="20"/>
                        </w:rPr>
                        <w:t>8</w:t>
                      </w:r>
                    </w:p>
                  </w:txbxContent>
                </v:textbox>
                <w10:wrap type="none"/>
              </v:rect>
            </w:pict>
          </mc:Fallback>
        </mc:AlternateContent>
      </w:r>
    </w:p>
    <w:p>
      <w:pPr>
        <w:pStyle w:val="TextBody"/>
        <w:bidi w:val="0"/>
        <w:spacing w:lineRule="auto" w:line="288" w:before="240" w:after="283"/>
        <w:jc w:val="left"/>
        <w:rPr>
          <w:rFonts w:ascii="sans-serif" w:hAnsi="sans-serif"/>
          <w:b/>
          <w:color w:val="000000"/>
          <w:sz w:val="22"/>
        </w:rPr>
      </w:pPr>
      <w:r>
        <w:rPr>
          <w:rFonts w:ascii="sans-serif" w:hAnsi="sans-serif"/>
          <w:b/>
          <w:color w:val="000000"/>
          <w:sz w:val="22"/>
        </w:rPr>
        <w:t>OraSure Technologies GAAP to Non-GAAP Reconciliation ($ in 000's, except per share amounts)</w:t>
      </w:r>
    </w:p>
    <w:tbl>
      <w:tblPr>
        <w:tblW w:w="10205" w:type="dxa"/>
        <w:jc w:val="left"/>
        <w:tblInd w:w="0" w:type="dxa"/>
        <w:tblLayout w:type="fixed"/>
        <w:tblCellMar>
          <w:top w:w="28" w:type="dxa"/>
          <w:left w:w="28" w:type="dxa"/>
          <w:bottom w:w="28" w:type="dxa"/>
          <w:right w:w="28" w:type="dxa"/>
        </w:tblCellMar>
      </w:tblPr>
      <w:tblGrid>
        <w:gridCol w:w="1591"/>
        <w:gridCol w:w="1220"/>
        <w:gridCol w:w="1232"/>
        <w:gridCol w:w="206"/>
        <w:gridCol w:w="740"/>
        <w:gridCol w:w="253"/>
        <w:gridCol w:w="114"/>
        <w:gridCol w:w="114"/>
        <w:gridCol w:w="114"/>
        <w:gridCol w:w="206"/>
        <w:gridCol w:w="740"/>
        <w:gridCol w:w="253"/>
        <w:gridCol w:w="109"/>
        <w:gridCol w:w="109"/>
        <w:gridCol w:w="109"/>
        <w:gridCol w:w="196"/>
        <w:gridCol w:w="703"/>
        <w:gridCol w:w="241"/>
        <w:gridCol w:w="109"/>
        <w:gridCol w:w="109"/>
        <w:gridCol w:w="109"/>
        <w:gridCol w:w="196"/>
        <w:gridCol w:w="703"/>
        <w:gridCol w:w="241"/>
        <w:gridCol w:w="109"/>
        <w:gridCol w:w="109"/>
        <w:gridCol w:w="109"/>
        <w:gridCol w:w="161"/>
      </w:tblGrid>
      <w:tr>
        <w:trPr/>
        <w:tc>
          <w:tcPr>
            <w:tcW w:w="1591"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1232"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0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For the 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For the Six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gridSpan w:val="2"/>
            <w:tcBorders/>
          </w:tcPr>
          <w:p>
            <w:pPr>
              <w:pStyle w:val="TableContents"/>
              <w:bidi w:val="0"/>
              <w:spacing w:before="0" w:after="283"/>
              <w:jc w:val="left"/>
              <w:rPr>
                <w:sz w:val="4"/>
                <w:szCs w:val="4"/>
              </w:rPr>
            </w:pPr>
            <w:r>
              <w:rPr>
                <w:sz w:val="4"/>
                <w:szCs w:val="4"/>
              </w:rPr>
            </w:r>
          </w:p>
        </w:tc>
      </w:tr>
      <w:tr>
        <w:trPr/>
        <w:tc>
          <w:tcPr>
            <w:tcW w:w="40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04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Net Revenues</w:t>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30,639 </w:t>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31,242 </w:t>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58,564 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61,173 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04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GAAP Cost of Products and Services Sold</w:t>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17,322 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18,083 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33,443 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35,715 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04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7"/>
              </w:rPr>
            </w:pPr>
            <w:r>
              <w:rPr>
                <w:rFonts w:ascii="Times New Roman;serif" w:hAnsi="Times New Roman;serif"/>
                <w:b w:val="false"/>
                <w:i/>
                <w:color w:val="000000"/>
                <w:sz w:val="17"/>
              </w:rPr>
              <w:t>GAAP Gross Margin</w:t>
            </w:r>
          </w:p>
        </w:tc>
        <w:tc>
          <w:tcPr>
            <w:tcW w:w="9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i/>
                <w:color w:val="000000"/>
                <w:sz w:val="17"/>
              </w:rPr>
            </w:pPr>
            <w:r>
              <w:rPr>
                <w:rFonts w:ascii="Times New Roman;serif" w:hAnsi="Times New Roman;serif"/>
                <w:b w:val="false"/>
                <w:i/>
                <w:color w:val="000000"/>
                <w:sz w:val="17"/>
              </w:rPr>
              <w:t>43.5 </w:t>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i/>
                <w:color w:val="000000"/>
                <w:sz w:val="17"/>
              </w:rPr>
            </w:pPr>
            <w:r>
              <w:rPr>
                <w:rFonts w:ascii="Times New Roman;serif" w:hAnsi="Times New Roman;serif"/>
                <w:b w:val="false"/>
                <w:i/>
                <w:color w:val="000000"/>
                <w:sz w:val="17"/>
              </w:rPr>
              <w:t>%</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i/>
                <w:color w:val="000000"/>
                <w:sz w:val="17"/>
              </w:rPr>
            </w:pPr>
            <w:r>
              <w:rPr>
                <w:rFonts w:ascii="Times New Roman;serif" w:hAnsi="Times New Roman;serif"/>
                <w:b w:val="false"/>
                <w:i/>
                <w:color w:val="000000"/>
                <w:sz w:val="17"/>
              </w:rPr>
              <w:t>42.1 </w:t>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i/>
                <w:color w:val="000000"/>
                <w:sz w:val="17"/>
              </w:rPr>
            </w:pPr>
            <w:r>
              <w:rPr>
                <w:rFonts w:ascii="Times New Roman;serif" w:hAnsi="Times New Roman;serif"/>
                <w:b w:val="false"/>
                <w:i/>
                <w:color w:val="000000"/>
                <w:sz w:val="17"/>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i/>
                <w:color w:val="000000"/>
                <w:sz w:val="17"/>
              </w:rPr>
            </w:pPr>
            <w:r>
              <w:rPr>
                <w:rFonts w:ascii="Times New Roman;serif" w:hAnsi="Times New Roman;serif"/>
                <w:b w:val="false"/>
                <w:i/>
                <w:color w:val="000000"/>
                <w:sz w:val="17"/>
              </w:rPr>
              <w:t>42.9 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i/>
                <w:color w:val="000000"/>
                <w:sz w:val="17"/>
              </w:rPr>
            </w:pPr>
            <w:r>
              <w:rPr>
                <w:rFonts w:ascii="Times New Roman;serif" w:hAnsi="Times New Roman;serif"/>
                <w:b w:val="false"/>
                <w:i/>
                <w:color w:val="000000"/>
                <w:sz w:val="17"/>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i/>
                <w:color w:val="000000"/>
                <w:sz w:val="17"/>
              </w:rPr>
            </w:pPr>
            <w:r>
              <w:rPr>
                <w:rFonts w:ascii="Times New Roman;serif" w:hAnsi="Times New Roman;serif"/>
                <w:b w:val="false"/>
                <w:i/>
                <w:color w:val="000000"/>
                <w:sz w:val="17"/>
              </w:rPr>
              <w:t>41.6 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i/>
                <w:color w:val="000000"/>
                <w:sz w:val="17"/>
              </w:rPr>
            </w:pPr>
            <w:r>
              <w:rPr>
                <w:rFonts w:ascii="Times New Roman;serif" w:hAnsi="Times New Roman;serif"/>
                <w:b w:val="false"/>
                <w:i/>
                <w:color w:val="000000"/>
                <w:sz w:val="17"/>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04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Stock compensation</w:t>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191 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207 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381 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376 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04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Inventory reserve for product line discontinuance</w:t>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146 </w:t>
            </w:r>
          </w:p>
        </w:tc>
        <w:tc>
          <w:tcPr>
            <w:tcW w:w="2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146 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04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Amortization of acquisition-related intangible assets</w:t>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48 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96 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04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Reduction in workforce severance</w:t>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65 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04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Non-GAAP Cost of Goods Sold</w:t>
            </w:r>
          </w:p>
        </w:tc>
        <w:tc>
          <w:tcPr>
            <w:tcW w:w="9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17,083 </w:t>
            </w:r>
          </w:p>
        </w:tc>
        <w:tc>
          <w:tcPr>
            <w:tcW w:w="25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17,730 </w:t>
            </w:r>
          </w:p>
        </w:tc>
        <w:tc>
          <w:tcPr>
            <w:tcW w:w="25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32,901 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35,193 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04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7"/>
              </w:rPr>
            </w:pPr>
            <w:r>
              <w:rPr>
                <w:rFonts w:ascii="Times New Roman;serif" w:hAnsi="Times New Roman;serif"/>
                <w:b w:val="false"/>
                <w:i/>
                <w:color w:val="000000"/>
                <w:sz w:val="17"/>
              </w:rPr>
              <w:t>Non-GAAP Gross Margin</w:t>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i/>
                <w:color w:val="000000"/>
                <w:sz w:val="17"/>
              </w:rPr>
            </w:pPr>
            <w:r>
              <w:rPr>
                <w:rFonts w:ascii="Times New Roman;serif" w:hAnsi="Times New Roman;serif"/>
                <w:b w:val="false"/>
                <w:i/>
                <w:color w:val="000000"/>
                <w:sz w:val="17"/>
              </w:rPr>
              <w:t>44.2 </w:t>
            </w:r>
          </w:p>
        </w:tc>
        <w:tc>
          <w:tcPr>
            <w:tcW w:w="25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i/>
                <w:color w:val="000000"/>
                <w:sz w:val="17"/>
              </w:rPr>
            </w:pPr>
            <w:r>
              <w:rPr>
                <w:rFonts w:ascii="Times New Roman;serif" w:hAnsi="Times New Roman;serif"/>
                <w:b w:val="false"/>
                <w:i/>
                <w:color w:val="000000"/>
                <w:sz w:val="17"/>
              </w:rPr>
              <w:t>%</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i/>
                <w:color w:val="000000"/>
                <w:sz w:val="17"/>
              </w:rPr>
            </w:pPr>
            <w:r>
              <w:rPr>
                <w:rFonts w:ascii="Times New Roman;serif" w:hAnsi="Times New Roman;serif"/>
                <w:b w:val="false"/>
                <w:i/>
                <w:color w:val="000000"/>
                <w:sz w:val="17"/>
              </w:rPr>
              <w:t>43.2 </w:t>
            </w:r>
          </w:p>
        </w:tc>
        <w:tc>
          <w:tcPr>
            <w:tcW w:w="25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i/>
                <w:color w:val="000000"/>
                <w:sz w:val="17"/>
              </w:rPr>
            </w:pPr>
            <w:r>
              <w:rPr>
                <w:rFonts w:ascii="Times New Roman;serif" w:hAnsi="Times New Roman;serif"/>
                <w:b w:val="false"/>
                <w:i/>
                <w:color w:val="000000"/>
                <w:sz w:val="17"/>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i/>
                <w:color w:val="000000"/>
                <w:sz w:val="17"/>
              </w:rPr>
            </w:pPr>
            <w:r>
              <w:rPr>
                <w:rFonts w:ascii="Times New Roman;serif" w:hAnsi="Times New Roman;serif"/>
                <w:b w:val="false"/>
                <w:i/>
                <w:color w:val="000000"/>
                <w:sz w:val="17"/>
              </w:rPr>
              <w:t>43.8 </w:t>
            </w:r>
          </w:p>
        </w:tc>
        <w:tc>
          <w:tcPr>
            <w:tcW w:w="24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i/>
                <w:color w:val="000000"/>
                <w:sz w:val="17"/>
              </w:rPr>
            </w:pPr>
            <w:r>
              <w:rPr>
                <w:rFonts w:ascii="Times New Roman;serif" w:hAnsi="Times New Roman;serif"/>
                <w:b w:val="false"/>
                <w:i/>
                <w:color w:val="000000"/>
                <w:sz w:val="17"/>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i/>
                <w:color w:val="000000"/>
                <w:sz w:val="17"/>
              </w:rPr>
            </w:pPr>
            <w:r>
              <w:rPr>
                <w:rFonts w:ascii="Times New Roman;serif" w:hAnsi="Times New Roman;serif"/>
                <w:b w:val="false"/>
                <w:i/>
                <w:color w:val="000000"/>
                <w:sz w:val="17"/>
              </w:rPr>
              <w:t>42.5 </w:t>
            </w:r>
          </w:p>
        </w:tc>
        <w:tc>
          <w:tcPr>
            <w:tcW w:w="24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i/>
                <w:color w:val="000000"/>
                <w:sz w:val="17"/>
              </w:rPr>
            </w:pPr>
            <w:r>
              <w:rPr>
                <w:rFonts w:ascii="Times New Roman;serif" w:hAnsi="Times New Roman;serif"/>
                <w:b w:val="false"/>
                <w:i/>
                <w:color w:val="000000"/>
                <w:sz w:val="17"/>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0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04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GAAP Operating Income (Loss)</w:t>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5,440 </w:t>
            </w:r>
          </w:p>
        </w:tc>
        <w:tc>
          <w:tcPr>
            <w:tcW w:w="2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(18,026)</w:t>
            </w:r>
          </w:p>
        </w:tc>
        <w:tc>
          <w:tcPr>
            <w:tcW w:w="2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(17,829)</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(35,776)</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04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Stock compensation</w:t>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2,287 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3,166 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5,055 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5,853 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04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Amortization of acquisition-related intangible assets</w:t>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106 </w:t>
            </w:r>
          </w:p>
        </w:tc>
        <w:tc>
          <w:tcPr>
            <w:tcW w:w="2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58 </w:t>
            </w:r>
          </w:p>
        </w:tc>
        <w:tc>
          <w:tcPr>
            <w:tcW w:w="2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211 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113 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04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Inventory reserve for product line discontinuance</w:t>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146 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146 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04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Reduction in workforce severance</w:t>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1,269 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04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Executive severance expense</w:t>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751 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751 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04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Gain on sale of assets under product line discontinuance</w:t>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(750)</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04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Change in fair value of acquisition-related contingent consideration</w:t>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(22,573)</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733 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(22,480)</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1,211 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04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Non-GAAP Operating Loss</w:t>
            </w:r>
          </w:p>
        </w:tc>
        <w:tc>
          <w:tcPr>
            <w:tcW w:w="9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(14,740)</w:t>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(13,172)</w:t>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(33,774)</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(28,452)</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0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04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GAAP Net Income (Loss)</w:t>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6,249 </w:t>
            </w:r>
          </w:p>
        </w:tc>
        <w:tc>
          <w:tcPr>
            <w:tcW w:w="2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(19,693)</w:t>
            </w:r>
          </w:p>
        </w:tc>
        <w:tc>
          <w:tcPr>
            <w:tcW w:w="2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(16,128)</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(35,733)</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04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Stock compensation</w:t>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2,287 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3,166 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5,055 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5,853 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04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Amortization of acquisition-related intangible assets</w:t>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106 </w:t>
            </w:r>
          </w:p>
        </w:tc>
        <w:tc>
          <w:tcPr>
            <w:tcW w:w="2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58 </w:t>
            </w:r>
          </w:p>
        </w:tc>
        <w:tc>
          <w:tcPr>
            <w:tcW w:w="2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211 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113 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04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Inventory reserve for product line discontinuance</w:t>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146 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146 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04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Reduction in workforce severance</w:t>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1,269 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04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Executive severance expense</w:t>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751 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751 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04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Gain on sale of assets under product line discontinuance</w:t>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(750)</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04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Change in fair value of acquisition-related contingent consideration</w:t>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(22,573)</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733 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(22,480)</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1,211 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04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Loss on equity investment</w:t>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513 </w:t>
            </w:r>
          </w:p>
        </w:tc>
        <w:tc>
          <w:tcPr>
            <w:tcW w:w="2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802 </w:t>
            </w:r>
          </w:p>
        </w:tc>
        <w:tc>
          <w:tcPr>
            <w:tcW w:w="2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1,601 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1,326 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04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Tax effect of non-GAAP adjustments</w:t>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(399)</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(156)</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(367)</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(249)</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04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7"/>
              </w:rPr>
            </w:pPr>
            <w:r>
              <w:rPr>
                <w:rFonts w:ascii="Times New Roman;serif" w:hAnsi="Times New Roman;serif"/>
                <w:b w:val="false"/>
                <w:color w:val="000000"/>
                <w:sz w:val="17"/>
              </w:rPr>
              <w:t>Non-GAAP Net Loss</w:t>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(13,817)</w:t>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(14,193)</w:t>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(30,839)</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(27,332)</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0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04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GAAP Earnings (Loss) Per Share:</w:t>
            </w:r>
          </w:p>
        </w:tc>
        <w:tc>
          <w:tcPr>
            <w:tcW w:w="20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4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0.09 </w:t>
            </w:r>
          </w:p>
        </w:tc>
        <w:tc>
          <w:tcPr>
            <w:tcW w:w="2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4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(0.26)</w:t>
            </w:r>
          </w:p>
        </w:tc>
        <w:tc>
          <w:tcPr>
            <w:tcW w:w="2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0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(0.23)</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0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(0.48)</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04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7"/>
              </w:rPr>
            </w:pPr>
            <w:r>
              <w:rPr>
                <w:rFonts w:ascii="Times New Roman;serif" w:hAnsi="Times New Roman;serif"/>
                <w:b w:val="false"/>
                <w:color w:val="000000"/>
                <w:sz w:val="17"/>
              </w:rPr>
              <w:t>Non-GAAP Loss Per Share:</w:t>
            </w:r>
          </w:p>
        </w:tc>
        <w:tc>
          <w:tcPr>
            <w:tcW w:w="20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4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(0.20)</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4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(0.19)</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0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(0.44)</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0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(0.37)</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04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Diluted Shares Outstanding, if applicable</w:t>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70,158 </w:t>
            </w:r>
          </w:p>
        </w:tc>
        <w:tc>
          <w:tcPr>
            <w:tcW w:w="2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74,541 </w:t>
            </w:r>
          </w:p>
        </w:tc>
        <w:tc>
          <w:tcPr>
            <w:tcW w:w="2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69,337 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74,703 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04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Basic Shares Outstanding Used For Computing Non-GAAP Loss Per Share</w:t>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69,003 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74,541 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69,337 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74,703 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sans-serif" w:hAnsi="sans-serif"/>
          <w:b w:val="false"/>
          <w:color w:val="3A3B3C"/>
          <w:sz w:val="20"/>
        </w:rPr>
      </w:pPr>
      <w:r>
        <w:rPr>
          <w:rFonts w:ascii="sans-serif" w:hAnsi="sans-serif"/>
          <w:b w:val="false"/>
          <w:color w:val="3A3B3C"/>
          <w:sz w:val="20"/>
        </w:rPr>
        <w:t>The following is a description of the adjustments made to GAAP financial measures:</w:t>
      </w:r>
    </w:p>
    <w:p>
      <w:pPr>
        <w:pStyle w:val="TextBody"/>
        <w:bidi w:val="0"/>
        <w:spacing w:lineRule="auto" w:line="288" w:before="120" w:after="283"/>
        <w:ind w:left="0" w:right="0" w:hanging="720"/>
        <w:jc w:val="both"/>
        <w:rPr/>
      </w:pPr>
      <w:r>
        <w:rPr>
          <w:color w:val="000000"/>
        </w:rPr>
        <w:t>•</w:t>
      </w:r>
      <w:r>
        <w:rPr>
          <w:rFonts w:ascii="sans-serif" w:hAnsi="sans-serif"/>
          <w:b w:val="false"/>
          <w:color w:val="3A3B3C"/>
          <w:sz w:val="20"/>
        </w:rPr>
        <w:t xml:space="preserve">Stock Compensation: non-cash equity-based compensation provided to OraSure employees and directors </w:t>
      </w:r>
    </w:p>
    <w:p>
      <w:pPr>
        <w:pStyle w:val="TextBody"/>
        <w:bidi w:val="0"/>
        <w:spacing w:lineRule="auto" w:line="288" w:before="0" w:after="0"/>
        <w:ind w:left="0" w:right="0" w:hanging="720"/>
        <w:jc w:val="both"/>
        <w:rPr/>
      </w:pPr>
      <w:r>
        <w:rPr>
          <w:color w:val="000000"/>
        </w:rPr>
        <w:t>•</w:t>
      </w:r>
      <w:r>
        <w:rPr>
          <w:rFonts w:ascii="sans-serif" w:hAnsi="sans-serif"/>
          <w:b w:val="false"/>
          <w:color w:val="3A3B3C"/>
          <w:sz w:val="20"/>
        </w:rPr>
        <w:t>Amortization of acquisition-related intangible assets: represents recurring amortization charges resulting from the acquisition of intangible assets associated with our business combinations</w:t>
      </w:r>
    </w:p>
    <w:p>
      <w:pPr>
        <w:pStyle w:val="TextBody"/>
        <w:bidi w:val="0"/>
        <w:spacing w:lineRule="auto" w:line="288" w:before="0" w:after="0"/>
        <w:ind w:left="0" w:right="0" w:hanging="720"/>
        <w:jc w:val="both"/>
        <w:rPr/>
      </w:pPr>
      <w:r>
        <w:rPr>
          <w:color w:val="3A3B3C"/>
        </w:rPr>
        <w:t>•</w:t>
      </w:r>
      <w:r>
        <w:rPr>
          <w:rFonts w:ascii="sans-serif" w:hAnsi="sans-serif"/>
          <w:b w:val="false"/>
          <w:color w:val="3A3B3C"/>
          <w:sz w:val="20"/>
        </w:rPr>
        <w:t>Inventory reserve for product line discontinuance: represents inventory associated with discontinued line of business</w:t>
      </w:r>
    </w:p>
    <w:p>
      <w:pPr>
        <w:pStyle w:val="TextBody"/>
        <w:bidi w:val="0"/>
        <w:spacing w:lineRule="auto" w:line="288" w:before="0" w:after="0"/>
        <w:ind w:left="0" w:right="0" w:hanging="720"/>
        <w:jc w:val="both"/>
        <w:rPr/>
      </w:pPr>
      <w:r>
        <w:rPr>
          <w:color w:val="3A3B3C"/>
        </w:rPr>
        <w:t>•</w:t>
      </w:r>
      <w:r>
        <w:rPr>
          <w:rFonts w:ascii="sans-serif" w:hAnsi="sans-serif"/>
          <w:b w:val="false"/>
          <w:color w:val="3A3B3C"/>
          <w:sz w:val="20"/>
        </w:rPr>
        <w:t xml:space="preserve">Reduction in workforce severance: termination benefits associated with the Company’s workforce reduction associated with certain business </w:t>
      </w:r>
    </w:p>
    <w:p>
      <w:pPr>
        <w:pStyle w:val="TextBody"/>
        <w:bidi w:val="0"/>
        <w:spacing w:lineRule="auto" w:line="288" w:before="0" w:after="0"/>
        <w:ind w:left="0" w:right="0" w:hanging="720"/>
        <w:jc w:val="both"/>
        <w:rPr/>
      </w:pPr>
      <w:r>
        <w:rPr>
          <w:color w:val="3A3B3C"/>
        </w:rPr>
        <w:t>•</w:t>
      </w:r>
      <w:r>
        <w:rPr>
          <w:rFonts w:ascii="sans-serif" w:hAnsi="sans-serif"/>
          <w:b w:val="false"/>
          <w:color w:val="3A3B3C"/>
          <w:sz w:val="20"/>
        </w:rPr>
        <w:t>Executive severance expense: expenses associated with the departure of an executive</w:t>
      </w:r>
    </w:p>
    <w:p>
      <w:pPr>
        <w:pStyle w:val="TextBody"/>
        <w:bidi w:val="0"/>
        <w:spacing w:lineRule="auto" w:line="288"/>
        <w:ind w:left="0" w:right="0" w:hanging="720"/>
        <w:jc w:val="both"/>
        <w:rPr/>
      </w:pPr>
      <w:r>
        <w:rPr>
          <w:color w:val="000000"/>
        </w:rPr>
        <w:t>•</w:t>
      </w:r>
      <w:r>
        <w:rPr>
          <w:rFonts w:ascii="sans-serif" w:hAnsi="sans-serif"/>
          <w:b w:val="false"/>
          <w:color w:val="3A3B3C"/>
          <w:sz w:val="20"/>
        </w:rPr>
        <w:t>Gain on sale of assets under product line discontinuance: represents the gain on the sale of fixed assets associated with the risk assessment line of business that was discontinued and sold to a third party</w:t>
      </w:r>
    </w:p>
    <w:p>
      <w:pPr>
        <w:pStyle w:val="TextBody"/>
        <w:bidi w:val="0"/>
        <w:spacing w:before="0" w:after="0"/>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7955"/>
                <wp:effectExtent l="0" t="0" r="0" b="0"/>
                <wp:wrapNone/>
                <wp:docPr id="13" name="Frame12"/>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right"/>
                              <w:rPr>
                                <w:rFonts w:ascii="sans-serif" w:hAnsi="sans-serif"/>
                                <w:b w:val="false"/>
                                <w:color w:val="000000"/>
                                <w:sz w:val="20"/>
                              </w:rPr>
                            </w:pPr>
                            <w:r>
                              <w:rPr>
                                <w:rFonts w:ascii="sans-serif" w:hAnsi="sans-serif"/>
                                <w:b w:val="false"/>
                                <w:color w:val="000000"/>
                                <w:sz w:val="20"/>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sans-serif" w:hAnsi="sans-serif"/>
                          <w:b w:val="false"/>
                          <w:color w:val="000000"/>
                          <w:sz w:val="20"/>
                        </w:rPr>
                      </w:pPr>
                      <w:r>
                        <w:rPr>
                          <w:rFonts w:ascii="sans-serif" w:hAnsi="sans-serif"/>
                          <w:b w:val="false"/>
                          <w:color w:val="000000"/>
                          <w:sz w:val="20"/>
                        </w:rPr>
                        <w:t>9</w:t>
                      </w:r>
                    </w:p>
                  </w:txbxContent>
                </v:textbox>
                <w10:wrap type="none"/>
              </v:rect>
            </w:pict>
          </mc:Fallback>
        </mc:AlternateContent>
      </w:r>
    </w:p>
    <w:p>
      <w:pPr>
        <w:pStyle w:val="TextBody"/>
        <w:bidi w:val="0"/>
        <w:spacing w:lineRule="auto" w:line="288" w:before="0" w:after="0"/>
        <w:ind w:left="0" w:right="0" w:hanging="720"/>
        <w:jc w:val="both"/>
        <w:rPr/>
      </w:pPr>
      <w:r>
        <w:rPr>
          <w:color w:val="3A3B3C"/>
        </w:rPr>
        <w:t>•</w:t>
      </w:r>
      <w:r>
        <w:rPr>
          <w:rFonts w:ascii="sans-serif" w:hAnsi="sans-serif"/>
          <w:b w:val="false"/>
          <w:color w:val="3A3B3C"/>
          <w:sz w:val="20"/>
        </w:rPr>
        <w:t>Change in fair value of acquisition-related contingent consideration: changes in the fair value of contingent consideration liability associated with changes in the probability of milestone payments and the impact of the passage of time and updated forecasts.</w:t>
      </w:r>
    </w:p>
    <w:p>
      <w:pPr>
        <w:pStyle w:val="TextBody"/>
        <w:bidi w:val="0"/>
        <w:spacing w:lineRule="auto" w:line="288" w:before="0" w:after="0"/>
        <w:ind w:left="0" w:right="0" w:hanging="720"/>
        <w:jc w:val="both"/>
        <w:rPr/>
      </w:pPr>
      <w:r>
        <w:rPr>
          <w:color w:val="3A3B3C"/>
        </w:rPr>
        <w:t>•</w:t>
      </w:r>
      <w:r>
        <w:rPr>
          <w:rFonts w:ascii="sans-serif" w:hAnsi="sans-serif"/>
          <w:b w:val="false"/>
          <w:color w:val="3A3B3C"/>
          <w:sz w:val="20"/>
        </w:rPr>
        <w:t>Loss on equity investment: we have excluded our proportionate share of our equity method investee’s net loss as we do not have direct control over the investee’s operations or resulting revenue and expenses</w:t>
      </w:r>
    </w:p>
    <w:p>
      <w:pPr>
        <w:pStyle w:val="TextBody"/>
        <w:bidi w:val="0"/>
        <w:spacing w:lineRule="auto" w:line="288" w:before="0" w:after="240"/>
        <w:ind w:left="0" w:right="0" w:hanging="720"/>
        <w:jc w:val="both"/>
        <w:rPr/>
      </w:pPr>
      <w:r>
        <w:rPr>
          <w:color w:val="000000"/>
        </w:rPr>
        <w:t>•</w:t>
      </w:r>
      <w:r>
        <w:rPr>
          <w:rFonts w:ascii="sans-serif" w:hAnsi="sans-serif"/>
          <w:b w:val="false"/>
          <w:color w:val="3A3B3C"/>
          <w:sz w:val="20"/>
        </w:rPr>
        <w:t>Tax impact associated with non-GAAP adjustments: tax expense/(benefit) due to non-GAAP adjustments</w:t>
      </w:r>
      <w:r>
        <w:rPr>
          <w:color w:val="3A3B3C"/>
        </w:rPr>
        <w:t xml:space="preserve"> </w:t>
      </w:r>
    </w:p>
    <w:p>
      <w:pPr>
        <w:pStyle w:val="TextBody"/>
        <w:bidi w:val="0"/>
        <w:spacing w:lineRule="auto" w:line="288" w:before="0" w:after="0"/>
        <w:ind w:left="0" w:right="0" w:hanging="360"/>
        <w:jc w:val="both"/>
        <w:rPr/>
      </w:pPr>
      <w:r>
        <w:rPr>
          <w:rFonts w:ascii="sans-serif" w:hAnsi="sans-serif"/>
          <w:b w:val="false"/>
          <w:color w:val="000000"/>
          <w:sz w:val="16"/>
        </w:rPr>
        <w:t xml:space="preserve">A reconciliation of our non-GAAP measures to their most directly comparable GAAP measures can also be found at: </w:t>
      </w:r>
      <w:r>
        <w:rPr>
          <w:rFonts w:ascii="sans-serif" w:hAnsi="sans-serif"/>
          <w:b w:val="false"/>
          <w:color w:val="0563C2"/>
          <w:sz w:val="16"/>
        </w:rPr>
        <w:t>https://orasure.gcs-web.com/gaap-non-gaap-reconciliation</w:t>
      </w:r>
    </w:p>
    <w:p>
      <w:pPr>
        <w:pStyle w:val="TextBody"/>
        <w:bidi w:val="0"/>
        <w:spacing w:lineRule="auto" w:line="288" w:before="240" w:after="283"/>
        <w:jc w:val="center"/>
        <w:rPr>
          <w:rFonts w:ascii="sans-serif" w:hAnsi="sans-serif"/>
          <w:b w:val="false"/>
          <w:color w:val="000000"/>
          <w:sz w:val="22"/>
        </w:rPr>
      </w:pPr>
      <w:r>
        <w:rPr>
          <w:rFonts w:ascii="sans-serif" w:hAnsi="sans-serif"/>
          <w:b w:val="false"/>
          <w:color w:val="000000"/>
          <w:sz w:val="22"/>
        </w:rPr>
        <w:t>###</w:t>
      </w:r>
    </w:p>
    <w:p>
      <w:pPr>
        <w:pStyle w:val="TextBody"/>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7955"/>
                <wp:effectExtent l="0" t="0" r="0" b="0"/>
                <wp:wrapNone/>
                <wp:docPr id="14" name="Frame13"/>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right"/>
                              <w:rPr>
                                <w:rFonts w:ascii="sans-serif" w:hAnsi="sans-serif"/>
                                <w:b w:val="false"/>
                                <w:color w:val="000000"/>
                                <w:sz w:val="20"/>
                              </w:rPr>
                            </w:pPr>
                            <w:r>
                              <w:rPr>
                                <w:rFonts w:ascii="sans-serif" w:hAnsi="sans-serif"/>
                                <w:b w:val="false"/>
                                <w:color w:val="000000"/>
                                <w:sz w:val="20"/>
                              </w:rPr>
                              <w:t>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sans-serif" w:hAnsi="sans-serif"/>
                          <w:b w:val="false"/>
                          <w:color w:val="000000"/>
                          <w:sz w:val="20"/>
                        </w:rPr>
                      </w:pPr>
                      <w:r>
                        <w:rPr>
                          <w:rFonts w:ascii="sans-serif" w:hAnsi="sans-serif"/>
                          <w:b w:val="false"/>
                          <w:color w:val="000000"/>
                          <w:sz w:val="20"/>
                        </w:rPr>
                        <w:t>10</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 w:name="sans-serif">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11</Pages>
  <Words>4058</Words>
  <Characters>23256</Characters>
  <CharactersWithSpaces>26795</CharactersWithSpaces>
  <Paragraphs>874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