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158750</wp:posOffset>
            </wp:positionV>
            <wp:extent cx="15265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178435</wp:posOffset>
            </wp:positionV>
            <wp:extent cx="15265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May 20,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165735</wp:posOffset>
            </wp:positionV>
            <wp:extent cx="1526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OraSure Technologies,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167640</wp:posOffset>
            </wp:positionV>
            <wp:extent cx="1526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2280"/>
        <w:spacing w:after="0"/>
        <w:rPr>
          <w:sz w:val="20"/>
          <w:szCs w:val="20"/>
          <w:color w:val="auto"/>
        </w:rPr>
      </w:pPr>
      <w:r>
        <w:rPr>
          <w:rFonts w:ascii="Arial" w:cs="Arial" w:eastAsia="Arial" w:hAnsi="Arial"/>
          <w:sz w:val="16"/>
          <w:szCs w:val="16"/>
          <w:b w:val="1"/>
          <w:bCs w:val="1"/>
          <w:color w:val="auto"/>
        </w:rPr>
        <w:t>001-16537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36-4370966</w:t>
      </w:r>
    </w:p>
    <w:p>
      <w:pPr>
        <w:spacing w:after="0" w:line="31" w:lineRule="exact"/>
        <w:rPr>
          <w:sz w:val="24"/>
          <w:szCs w:val="24"/>
          <w:color w:val="auto"/>
        </w:rPr>
      </w:pPr>
    </w:p>
    <w:p>
      <w:pPr>
        <w:sectPr>
          <w:pgSz w:w="11900" w:h="16838" w:orient="portrait"/>
          <w:cols w:equalWidth="0" w:num="3">
            <w:col w:w="4600" w:space="720"/>
            <w:col w:w="3060" w:space="720"/>
            <w:col w:w="2340"/>
          </w:cols>
          <w:pgMar w:left="240" w:top="557" w:right="21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580" w:space="720"/>
            <w:col w:w="2960" w:space="720"/>
            <w:col w:w="2460"/>
          </w:cols>
          <w:pgMar w:left="240" w:top="557" w:right="219" w:bottom="1440" w:gutter="0" w:footer="0" w:header="0"/>
          <w:type w:val="continuous"/>
        </w:sectPr>
      </w:pPr>
    </w:p>
    <w:p>
      <w:pPr>
        <w:jc w:val="center"/>
        <w:ind w:right="1700"/>
        <w:spacing w:after="0"/>
        <w:rPr>
          <w:sz w:val="20"/>
          <w:szCs w:val="20"/>
          <w:color w:val="auto"/>
        </w:rPr>
      </w:pPr>
      <w:r>
        <w:rPr>
          <w:rFonts w:ascii="Arial" w:cs="Arial" w:eastAsia="Arial" w:hAnsi="Arial"/>
          <w:sz w:val="18"/>
          <w:szCs w:val="18"/>
          <w:b w:val="1"/>
          <w:bCs w:val="1"/>
          <w:color w:val="auto"/>
        </w:rPr>
        <w:t>220 East First Street</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5"/>
          <w:szCs w:val="15"/>
          <w:b w:val="1"/>
          <w:bCs w:val="1"/>
          <w:color w:val="auto"/>
        </w:rPr>
        <w:t>Bethlehem, Pennsylvania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18015-1360</w:t>
      </w:r>
    </w:p>
    <w:p>
      <w:pPr>
        <w:spacing w:after="0" w:line="50" w:lineRule="exact"/>
        <w:rPr>
          <w:sz w:val="24"/>
          <w:szCs w:val="24"/>
          <w:color w:val="auto"/>
        </w:rPr>
      </w:pPr>
    </w:p>
    <w:p>
      <w:pPr>
        <w:sectPr>
          <w:pgSz w:w="11900" w:h="16838" w:orient="portrait"/>
          <w:cols w:equalWidth="0" w:num="2">
            <w:col w:w="7420" w:space="720"/>
            <w:col w:w="3300"/>
          </w:cols>
          <w:pgMar w:left="240" w:top="557" w:right="219" w:bottom="1440" w:gutter="0" w:footer="0" w:header="0"/>
          <w:type w:val="continuous"/>
        </w:sectPr>
      </w:pPr>
    </w:p>
    <w:p>
      <w:pPr>
        <w:ind w:left="16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520" w:space="720"/>
            <w:col w:w="3200"/>
          </w:cols>
          <w:pgMar w:left="240" w:top="557" w:right="2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610-882-1820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265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right="8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ind w:left="480" w:hanging="472"/>
        <w:spacing w:after="0" w:line="189" w:lineRule="auto"/>
        <w:tabs>
          <w:tab w:leader="none" w:pos="48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74" w:lineRule="exact"/>
        <w:rPr>
          <w:rFonts w:ascii="MS PGothic" w:cs="MS PGothic" w:eastAsia="MS PGothic" w:hAnsi="MS PGothic"/>
          <w:sz w:val="43"/>
          <w:szCs w:val="43"/>
          <w:color w:val="auto"/>
          <w:vertAlign w:val="subscript"/>
        </w:rPr>
      </w:pPr>
    </w:p>
    <w:p>
      <w:pPr>
        <w:ind w:left="480" w:hanging="472"/>
        <w:spacing w:after="0" w:line="182" w:lineRule="auto"/>
        <w:tabs>
          <w:tab w:leader="none" w:pos="48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7"/>
          <w:szCs w:val="17"/>
          <w:color w:val="auto"/>
        </w:rPr>
        <w:t>Soliciting material pursuant to Rule 14a-12 under the Exchange Act (17 CFR 240.14a-12)</w:t>
      </w:r>
    </w:p>
    <w:p>
      <w:pPr>
        <w:spacing w:after="0" w:line="74" w:lineRule="exact"/>
        <w:rPr>
          <w:rFonts w:ascii="MS PGothic" w:cs="MS PGothic" w:eastAsia="MS PGothic" w:hAnsi="MS PGothic"/>
          <w:sz w:val="40"/>
          <w:szCs w:val="40"/>
          <w:color w:val="auto"/>
          <w:vertAlign w:val="subscript"/>
        </w:rPr>
      </w:pPr>
    </w:p>
    <w:p>
      <w:pPr>
        <w:ind w:left="480" w:hanging="472"/>
        <w:spacing w:after="0" w:line="182" w:lineRule="auto"/>
        <w:tabs>
          <w:tab w:leader="none" w:pos="48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7"/>
          <w:szCs w:val="17"/>
          <w:color w:val="auto"/>
        </w:rPr>
        <w:t>Pre-commencement communications pursuant to Rule 14d-2(b) under the Exchange Act (17 CFR 240.14d-2(b))</w:t>
      </w:r>
    </w:p>
    <w:p>
      <w:pPr>
        <w:spacing w:after="0" w:line="74" w:lineRule="exact"/>
        <w:rPr>
          <w:rFonts w:ascii="MS PGothic" w:cs="MS PGothic" w:eastAsia="MS PGothic" w:hAnsi="MS PGothic"/>
          <w:sz w:val="40"/>
          <w:szCs w:val="40"/>
          <w:color w:val="auto"/>
          <w:vertAlign w:val="subscript"/>
        </w:rPr>
      </w:pPr>
    </w:p>
    <w:p>
      <w:pPr>
        <w:ind w:left="480" w:hanging="472"/>
        <w:spacing w:after="0" w:line="182" w:lineRule="auto"/>
        <w:tabs>
          <w:tab w:leader="none" w:pos="48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7"/>
          <w:szCs w:val="17"/>
          <w:color w:val="auto"/>
        </w:rPr>
        <w:t>Pre-commencement communications pursuant to Rule 13e-4(c) under the Exchange Act (17 CFR 240.13e-4(c))</w:t>
      </w:r>
    </w:p>
    <w:p>
      <w:pPr>
        <w:spacing w:after="0" w:line="24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a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1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80" w:type="dxa"/>
            <w:vAlign w:val="bottom"/>
            <w:gridSpan w:val="3"/>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Trading</w:t>
            </w: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Symbol(s)</w:t>
            </w:r>
          </w:p>
        </w:tc>
        <w:tc>
          <w:tcPr>
            <w:tcW w:w="51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2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$0.000001 par value per share</w:t>
            </w:r>
          </w:p>
        </w:tc>
        <w:tc>
          <w:tcPr>
            <w:tcW w:w="120" w:type="dxa"/>
            <w:vAlign w:val="bottom"/>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OSUR</w:t>
            </w:r>
          </w:p>
        </w:tc>
        <w:tc>
          <w:tcPr>
            <w:tcW w:w="100" w:type="dxa"/>
            <w:vAlign w:val="bottom"/>
          </w:tcPr>
          <w:p>
            <w:pPr>
              <w:spacing w:after="0"/>
              <w:rPr>
                <w:sz w:val="19"/>
                <w:szCs w:val="19"/>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c>
          <w:tcPr>
            <w:tcW w:w="2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1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44"/>
        </w:trPr>
        <w:tc>
          <w:tcPr>
            <w:tcW w:w="20" w:type="dxa"/>
            <w:vAlign w:val="bottom"/>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type w:val="continuous"/>
        </w:sectPr>
      </w:pPr>
    </w:p>
    <w:bookmarkStart w:id="1" w:name="page2"/>
    <w:bookmarkEnd w:id="1"/>
    <w:p>
      <w:pPr>
        <w:jc w:val="both"/>
        <w:ind w:right="4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Amended Non-Employee Director Compensation Policy</w:t>
      </w:r>
    </w:p>
    <w:p>
      <w:pPr>
        <w:spacing w:after="0" w:line="225" w:lineRule="exact"/>
        <w:rPr>
          <w:sz w:val="20"/>
          <w:szCs w:val="20"/>
          <w:color w:val="auto"/>
        </w:rPr>
      </w:pPr>
    </w:p>
    <w:p>
      <w:pPr>
        <w:jc w:val="both"/>
        <w:ind w:right="20" w:firstLine="713"/>
        <w:spacing w:after="0" w:line="254" w:lineRule="auto"/>
        <w:rPr>
          <w:sz w:val="20"/>
          <w:szCs w:val="20"/>
          <w:color w:val="auto"/>
        </w:rPr>
      </w:pPr>
      <w:r>
        <w:rPr>
          <w:rFonts w:ascii="Arial" w:cs="Arial" w:eastAsia="Arial" w:hAnsi="Arial"/>
          <w:sz w:val="18"/>
          <w:szCs w:val="18"/>
          <w:color w:val="auto"/>
        </w:rPr>
        <w:t>On May 20, 2019, the Board of Directors (the “Board”) of OraSure Technologies, Inc. (the “Company”) amended the Company’s Compensation Policy for Non-Employee Directors (the “Amended Director Policy”), pursuant to which non-employee members of the Board receive compensation for service on the Board and its committees. The amendment had previously been approved by the Compensation Committee of the Board (the” Committee”) and was based on a competitive market assessment provided by Pay Governance, the Committee’s independent compensation consultant. The amendment provides for an initial equity award for new Directors of time-vested restricted shares when the Director joins the Board. The Board approved this amendment because it believes an initial equity award is necessary in order to align the interests of a new Board member with the interests of stockholders and to enable the Company to attract qualified individuals to serve on the Board. As a result, the Amended Director Policy provides for the following compensation for non-employee Directors:</w:t>
      </w:r>
    </w:p>
    <w:p>
      <w:pPr>
        <w:spacing w:after="0" w:line="192" w:lineRule="exact"/>
        <w:rPr>
          <w:sz w:val="20"/>
          <w:szCs w:val="20"/>
          <w:color w:val="auto"/>
        </w:rPr>
      </w:pPr>
    </w:p>
    <w:p>
      <w:pPr>
        <w:ind w:left="720"/>
        <w:spacing w:after="0"/>
        <w:rPr>
          <w:sz w:val="20"/>
          <w:szCs w:val="20"/>
          <w:color w:val="auto"/>
        </w:rPr>
      </w:pPr>
      <w:r>
        <w:rPr>
          <w:rFonts w:ascii="Arial" w:cs="Arial" w:eastAsia="Arial" w:hAnsi="Arial"/>
          <w:sz w:val="18"/>
          <w:szCs w:val="18"/>
          <w:i w:val="1"/>
          <w:iCs w:val="1"/>
          <w:u w:val="single" w:color="auto"/>
          <w:color w:val="auto"/>
        </w:rPr>
        <w:t>Cash Fees</w:t>
      </w:r>
      <w:r>
        <w:rPr>
          <w:rFonts w:ascii="Arial" w:cs="Arial" w:eastAsia="Arial" w:hAnsi="Arial"/>
          <w:sz w:val="18"/>
          <w:szCs w:val="18"/>
          <w:color w:val="auto"/>
        </w:rPr>
        <w:t>. Under the Amended Director Policy, annual cash fees are payable in arrears to Directors, as follows:</w:t>
      </w:r>
    </w:p>
    <w:p>
      <w:pPr>
        <w:spacing w:after="0" w:line="208" w:lineRule="exact"/>
        <w:rPr>
          <w:sz w:val="20"/>
          <w:szCs w:val="20"/>
          <w:color w:val="auto"/>
        </w:rPr>
      </w:pPr>
    </w:p>
    <w:tbl>
      <w:tblPr>
        <w:tblLayout w:type="fixed"/>
        <w:tblInd w:w="356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Arial" w:cs="Arial" w:eastAsia="Arial" w:hAnsi="Arial"/>
                <w:sz w:val="18"/>
                <w:szCs w:val="18"/>
                <w:b w:val="1"/>
                <w:bCs w:val="1"/>
                <w:color w:val="auto"/>
                <w:w w:val="84"/>
              </w:rPr>
              <w:t>Position</w:t>
            </w:r>
          </w:p>
        </w:tc>
        <w:tc>
          <w:tcPr>
            <w:tcW w:w="1060" w:type="dxa"/>
            <w:vAlign w:val="bottom"/>
          </w:tcPr>
          <w:p>
            <w:pPr>
              <w:spacing w:after="0"/>
              <w:rPr>
                <w:sz w:val="17"/>
                <w:szCs w:val="17"/>
                <w:color w:val="auto"/>
              </w:rPr>
            </w:pPr>
          </w:p>
        </w:tc>
        <w:tc>
          <w:tcPr>
            <w:tcW w:w="126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89"/>
              </w:rPr>
              <w:t>Annual Fees</w:t>
            </w:r>
          </w:p>
        </w:tc>
      </w:tr>
      <w:tr>
        <w:trPr>
          <w:trHeight w:val="20"/>
        </w:trPr>
        <w:tc>
          <w:tcPr>
            <w:tcW w:w="1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r>
        <w:trPr>
          <w:trHeight w:val="222"/>
        </w:trPr>
        <w:tc>
          <w:tcPr>
            <w:tcW w:w="2860" w:type="dxa"/>
            <w:vAlign w:val="bottom"/>
            <w:gridSpan w:val="3"/>
          </w:tcPr>
          <w:p>
            <w:pPr>
              <w:spacing w:after="0"/>
              <w:rPr>
                <w:sz w:val="20"/>
                <w:szCs w:val="20"/>
                <w:color w:val="auto"/>
              </w:rPr>
            </w:pPr>
            <w:r>
              <w:rPr>
                <w:rFonts w:ascii="Arial" w:cs="Arial" w:eastAsia="Arial" w:hAnsi="Arial"/>
                <w:sz w:val="18"/>
                <w:szCs w:val="18"/>
                <w:color w:val="auto"/>
              </w:rPr>
              <w:t>Board Member (Base Fee)</w:t>
            </w:r>
          </w:p>
        </w:tc>
        <w:tc>
          <w:tcPr>
            <w:tcW w:w="126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$55,000</w:t>
            </w:r>
          </w:p>
        </w:tc>
      </w:tr>
      <w:tr>
        <w:trPr>
          <w:trHeight w:val="216"/>
        </w:trPr>
        <w:tc>
          <w:tcPr>
            <w:tcW w:w="2860" w:type="dxa"/>
            <w:vAlign w:val="bottom"/>
            <w:gridSpan w:val="3"/>
          </w:tcPr>
          <w:p>
            <w:pPr>
              <w:spacing w:after="0"/>
              <w:rPr>
                <w:sz w:val="20"/>
                <w:szCs w:val="20"/>
                <w:color w:val="auto"/>
              </w:rPr>
            </w:pPr>
            <w:r>
              <w:rPr>
                <w:rFonts w:ascii="Arial" w:cs="Arial" w:eastAsia="Arial" w:hAnsi="Arial"/>
                <w:sz w:val="18"/>
                <w:szCs w:val="18"/>
                <w:color w:val="auto"/>
              </w:rPr>
              <w:t>Board Chairman (Additional Fee)</w:t>
            </w:r>
          </w:p>
        </w:tc>
        <w:tc>
          <w:tcPr>
            <w:tcW w:w="126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$25,000</w:t>
            </w:r>
          </w:p>
        </w:tc>
      </w:tr>
      <w:tr>
        <w:trPr>
          <w:trHeight w:val="216"/>
        </w:trPr>
        <w:tc>
          <w:tcPr>
            <w:tcW w:w="2860" w:type="dxa"/>
            <w:vAlign w:val="bottom"/>
            <w:gridSpan w:val="3"/>
          </w:tcPr>
          <w:p>
            <w:pPr>
              <w:spacing w:after="0"/>
              <w:rPr>
                <w:sz w:val="20"/>
                <w:szCs w:val="20"/>
                <w:color w:val="auto"/>
              </w:rPr>
            </w:pPr>
            <w:r>
              <w:rPr>
                <w:rFonts w:ascii="Arial" w:cs="Arial" w:eastAsia="Arial" w:hAnsi="Arial"/>
                <w:sz w:val="18"/>
                <w:szCs w:val="18"/>
                <w:color w:val="auto"/>
              </w:rPr>
              <w:t>Audit Chairman</w:t>
            </w:r>
          </w:p>
        </w:tc>
        <w:tc>
          <w:tcPr>
            <w:tcW w:w="126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$20,000</w:t>
            </w:r>
          </w:p>
        </w:tc>
      </w:tr>
      <w:tr>
        <w:trPr>
          <w:trHeight w:val="216"/>
        </w:trPr>
        <w:tc>
          <w:tcPr>
            <w:tcW w:w="2860" w:type="dxa"/>
            <w:vAlign w:val="bottom"/>
            <w:gridSpan w:val="3"/>
          </w:tcPr>
          <w:p>
            <w:pPr>
              <w:spacing w:after="0"/>
              <w:rPr>
                <w:sz w:val="20"/>
                <w:szCs w:val="20"/>
                <w:color w:val="auto"/>
              </w:rPr>
            </w:pPr>
            <w:r>
              <w:rPr>
                <w:rFonts w:ascii="Arial" w:cs="Arial" w:eastAsia="Arial" w:hAnsi="Arial"/>
                <w:sz w:val="18"/>
                <w:szCs w:val="18"/>
                <w:color w:val="auto"/>
              </w:rPr>
              <w:t>Compensation Chairman</w:t>
            </w:r>
          </w:p>
        </w:tc>
        <w:tc>
          <w:tcPr>
            <w:tcW w:w="126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$20,000</w:t>
            </w:r>
          </w:p>
        </w:tc>
      </w:tr>
      <w:tr>
        <w:trPr>
          <w:trHeight w:val="216"/>
        </w:trPr>
        <w:tc>
          <w:tcPr>
            <w:tcW w:w="2860" w:type="dxa"/>
            <w:vAlign w:val="bottom"/>
            <w:gridSpan w:val="3"/>
          </w:tcPr>
          <w:p>
            <w:pPr>
              <w:spacing w:after="0"/>
              <w:rPr>
                <w:sz w:val="20"/>
                <w:szCs w:val="20"/>
                <w:color w:val="auto"/>
              </w:rPr>
            </w:pPr>
            <w:r>
              <w:rPr>
                <w:rFonts w:ascii="Arial" w:cs="Arial" w:eastAsia="Arial" w:hAnsi="Arial"/>
                <w:sz w:val="18"/>
                <w:szCs w:val="18"/>
                <w:color w:val="auto"/>
              </w:rPr>
              <w:t>N&amp;CG Chairman</w:t>
            </w:r>
          </w:p>
        </w:tc>
        <w:tc>
          <w:tcPr>
            <w:tcW w:w="126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$20,000</w:t>
            </w:r>
          </w:p>
        </w:tc>
      </w:tr>
      <w:tr>
        <w:trPr>
          <w:trHeight w:val="230"/>
        </w:trPr>
        <w:tc>
          <w:tcPr>
            <w:tcW w:w="2860" w:type="dxa"/>
            <w:vAlign w:val="bottom"/>
            <w:gridSpan w:val="3"/>
          </w:tcPr>
          <w:p>
            <w:pPr>
              <w:spacing w:after="0"/>
              <w:rPr>
                <w:sz w:val="20"/>
                <w:szCs w:val="20"/>
                <w:color w:val="auto"/>
              </w:rPr>
            </w:pPr>
            <w:r>
              <w:rPr>
                <w:rFonts w:ascii="Arial" w:cs="Arial" w:eastAsia="Arial" w:hAnsi="Arial"/>
                <w:sz w:val="18"/>
                <w:szCs w:val="18"/>
                <w:color w:val="auto"/>
              </w:rPr>
              <w:t>Non-Chairman Committee member</w:t>
            </w:r>
          </w:p>
        </w:tc>
        <w:tc>
          <w:tcPr>
            <w:tcW w:w="1260" w:type="dxa"/>
            <w:vAlign w:val="bottom"/>
            <w:gridSpan w:val="2"/>
          </w:tcPr>
          <w:p>
            <w:pPr>
              <w:jc w:val="center"/>
              <w:ind w:left="190"/>
              <w:spacing w:after="0"/>
              <w:rPr>
                <w:sz w:val="20"/>
                <w:szCs w:val="20"/>
                <w:color w:val="auto"/>
              </w:rPr>
            </w:pPr>
            <w:r>
              <w:rPr>
                <w:rFonts w:ascii="Arial" w:cs="Arial" w:eastAsia="Arial" w:hAnsi="Arial"/>
                <w:sz w:val="18"/>
                <w:szCs w:val="18"/>
                <w:color w:val="auto"/>
                <w:w w:val="96"/>
              </w:rPr>
              <w:t>$ 5,000</w:t>
            </w:r>
          </w:p>
        </w:tc>
      </w:tr>
    </w:tbl>
    <w:p>
      <w:pPr>
        <w:spacing w:after="0" w:line="202" w:lineRule="exact"/>
        <w:rPr>
          <w:sz w:val="20"/>
          <w:szCs w:val="20"/>
          <w:color w:val="auto"/>
        </w:rPr>
      </w:pPr>
    </w:p>
    <w:p>
      <w:pPr>
        <w:jc w:val="both"/>
        <w:ind w:right="20" w:firstLine="713"/>
        <w:spacing w:after="0" w:line="264" w:lineRule="auto"/>
        <w:rPr>
          <w:sz w:val="20"/>
          <w:szCs w:val="20"/>
          <w:color w:val="auto"/>
        </w:rPr>
      </w:pPr>
      <w:r>
        <w:rPr>
          <w:rFonts w:ascii="Arial" w:cs="Arial" w:eastAsia="Arial" w:hAnsi="Arial"/>
          <w:sz w:val="18"/>
          <w:szCs w:val="18"/>
          <w:i w:val="1"/>
          <w:iCs w:val="1"/>
          <w:u w:val="single" w:color="auto"/>
          <w:color w:val="auto"/>
        </w:rPr>
        <w:t>Initial Equity Awards</w:t>
      </w:r>
      <w:r>
        <w:rPr>
          <w:rFonts w:ascii="Arial" w:cs="Arial" w:eastAsia="Arial" w:hAnsi="Arial"/>
          <w:sz w:val="18"/>
          <w:szCs w:val="18"/>
          <w:color w:val="auto"/>
        </w:rPr>
        <w:t>. Non-employee Directors will receive an initial grant of time-vested restricted shares of the Company’s Common Stock upon</w:t>
      </w:r>
      <w:r>
        <w:rPr>
          <w:rFonts w:ascii="Arial" w:cs="Arial" w:eastAsia="Arial" w:hAnsi="Arial"/>
          <w:sz w:val="18"/>
          <w:szCs w:val="18"/>
          <w:i w:val="1"/>
          <w:iCs w:val="1"/>
          <w:color w:val="auto"/>
        </w:rPr>
        <w:t xml:space="preserve"> </w:t>
      </w:r>
      <w:r>
        <w:rPr>
          <w:rFonts w:ascii="Arial" w:cs="Arial" w:eastAsia="Arial" w:hAnsi="Arial"/>
          <w:sz w:val="18"/>
          <w:szCs w:val="18"/>
          <w:color w:val="auto"/>
        </w:rPr>
        <w:t>joining the Board (the “Initial Grant”). The Initial Grant will be valued at $100,000 on the grant date and will cliff vest two (2) years after the Director joins the Board.</w:t>
      </w:r>
    </w:p>
    <w:p>
      <w:pPr>
        <w:spacing w:after="0" w:line="181" w:lineRule="exact"/>
        <w:rPr>
          <w:sz w:val="20"/>
          <w:szCs w:val="20"/>
          <w:color w:val="auto"/>
        </w:rPr>
      </w:pPr>
    </w:p>
    <w:p>
      <w:pPr>
        <w:jc w:val="both"/>
        <w:ind w:right="20" w:firstLine="713"/>
        <w:spacing w:after="0" w:line="264" w:lineRule="auto"/>
        <w:rPr>
          <w:sz w:val="20"/>
          <w:szCs w:val="20"/>
          <w:color w:val="auto"/>
        </w:rPr>
      </w:pPr>
      <w:r>
        <w:rPr>
          <w:rFonts w:ascii="Arial" w:cs="Arial" w:eastAsia="Arial" w:hAnsi="Arial"/>
          <w:sz w:val="18"/>
          <w:szCs w:val="18"/>
          <w:i w:val="1"/>
          <w:iCs w:val="1"/>
          <w:u w:val="single" w:color="auto"/>
          <w:color w:val="auto"/>
        </w:rPr>
        <w:t>Annual Equity Awards</w:t>
      </w:r>
      <w:r>
        <w:rPr>
          <w:rFonts w:ascii="Arial" w:cs="Arial" w:eastAsia="Arial" w:hAnsi="Arial"/>
          <w:sz w:val="18"/>
          <w:szCs w:val="18"/>
          <w:color w:val="auto"/>
        </w:rPr>
        <w:t>. Each non-employee Director receives an annual grant of restricted shares (the “Annual Grant”) on the date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Annual Meeting of Stockholders which will vest immediately prior to the Company’s next Annual Meeting of Stockholders. The value of Annual Grants for Board members are as follows:</w:t>
      </w:r>
    </w:p>
    <w:p>
      <w:pPr>
        <w:spacing w:after="0" w:line="164" w:lineRule="exact"/>
        <w:rPr>
          <w:sz w:val="20"/>
          <w:szCs w:val="20"/>
          <w:color w:val="auto"/>
        </w:rPr>
      </w:pPr>
    </w:p>
    <w:tbl>
      <w:tblPr>
        <w:tblLayout w:type="fixed"/>
        <w:tblInd w:w="3380" w:type="dxa"/>
        <w:tblCellMar>
          <w:top w:w="0" w:type="dxa"/>
          <w:left w:w="0" w:type="dxa"/>
          <w:bottom w:w="0" w:type="dxa"/>
          <w:right w:w="0" w:type="dxa"/>
        </w:tblCellMar>
      </w:tblPr>
      <w:tr>
        <w:trPr>
          <w:trHeight w:val="207"/>
        </w:trPr>
        <w:tc>
          <w:tcPr>
            <w:tcW w:w="140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7"/>
              </w:rPr>
              <w:t>Value</w:t>
            </w:r>
          </w:p>
        </w:tc>
      </w:tr>
      <w:tr>
        <w:trPr>
          <w:trHeight w:val="20"/>
        </w:trPr>
        <w:tc>
          <w:tcPr>
            <w:tcW w:w="1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330"/>
        </w:trPr>
        <w:tc>
          <w:tcPr>
            <w:tcW w:w="3280" w:type="dxa"/>
            <w:vAlign w:val="bottom"/>
            <w:gridSpan w:val="3"/>
          </w:tcPr>
          <w:p>
            <w:pPr>
              <w:spacing w:after="0"/>
              <w:rPr>
                <w:sz w:val="20"/>
                <w:szCs w:val="20"/>
                <w:color w:val="auto"/>
              </w:rPr>
            </w:pPr>
            <w:r>
              <w:rPr>
                <w:rFonts w:ascii="Arial" w:cs="Arial" w:eastAsia="Arial" w:hAnsi="Arial"/>
                <w:sz w:val="18"/>
                <w:szCs w:val="18"/>
                <w:color w:val="auto"/>
              </w:rPr>
              <w:t>Board Member (Base Value)</w:t>
            </w:r>
          </w:p>
        </w:tc>
        <w:tc>
          <w:tcPr>
            <w:tcW w:w="1000" w:type="dxa"/>
            <w:vAlign w:val="bottom"/>
            <w:gridSpan w:val="3"/>
          </w:tcPr>
          <w:p>
            <w:pPr>
              <w:jc w:val="right"/>
              <w:ind w:right="70"/>
              <w:spacing w:after="0"/>
              <w:rPr>
                <w:sz w:val="20"/>
                <w:szCs w:val="20"/>
                <w:color w:val="auto"/>
              </w:rPr>
            </w:pPr>
            <w:r>
              <w:rPr>
                <w:rFonts w:ascii="Arial" w:cs="Arial" w:eastAsia="Arial" w:hAnsi="Arial"/>
                <w:sz w:val="18"/>
                <w:szCs w:val="18"/>
                <w:color w:val="auto"/>
              </w:rPr>
              <w:t>$105,000</w:t>
            </w:r>
          </w:p>
        </w:tc>
      </w:tr>
      <w:tr>
        <w:trPr>
          <w:trHeight w:val="230"/>
        </w:trPr>
        <w:tc>
          <w:tcPr>
            <w:tcW w:w="3280" w:type="dxa"/>
            <w:vAlign w:val="bottom"/>
            <w:gridSpan w:val="3"/>
          </w:tcPr>
          <w:p>
            <w:pPr>
              <w:spacing w:after="0"/>
              <w:rPr>
                <w:sz w:val="20"/>
                <w:szCs w:val="20"/>
                <w:color w:val="auto"/>
              </w:rPr>
            </w:pPr>
            <w:r>
              <w:rPr>
                <w:rFonts w:ascii="Arial" w:cs="Arial" w:eastAsia="Arial" w:hAnsi="Arial"/>
                <w:sz w:val="18"/>
                <w:szCs w:val="18"/>
                <w:color w:val="auto"/>
                <w:w w:val="97"/>
              </w:rPr>
              <w:t>Board Chairman (Additional Award Value)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w w:val="94"/>
              </w:rPr>
              <w:t>25,000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 Submission of Matters to a Vote of Security Holders.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is a summary of the items considered by stockholders and the corresponding voting results at the Company’s Annual Meeting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Stockholders held on May 21, 2019:</w:t>
      </w:r>
    </w:p>
    <w:p>
      <w:pPr>
        <w:spacing w:after="0" w:line="3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 Election of Two Class I Directors for Terms Ending in 2022.</w:t>
      </w:r>
    </w:p>
    <w:p>
      <w:pPr>
        <w:spacing w:after="0" w:line="224" w:lineRule="exact"/>
        <w:rPr>
          <w:sz w:val="20"/>
          <w:szCs w:val="20"/>
          <w:color w:val="auto"/>
        </w:rPr>
      </w:pPr>
    </w:p>
    <w:tbl>
      <w:tblPr>
        <w:tblLayout w:type="fixed"/>
        <w:tblInd w:w="490" w:type="dxa"/>
        <w:tblCellMar>
          <w:top w:w="0" w:type="dxa"/>
          <w:left w:w="0" w:type="dxa"/>
          <w:bottom w:w="0" w:type="dxa"/>
          <w:right w:w="0" w:type="dxa"/>
        </w:tblCellMar>
      </w:tblPr>
      <w:tr>
        <w:trPr>
          <w:trHeight w:val="189"/>
        </w:trPr>
        <w:tc>
          <w:tcPr>
            <w:tcW w:w="2560" w:type="dxa"/>
            <w:vAlign w:val="bottom"/>
            <w:tcBorders>
              <w:top w:val="single" w:sz="8" w:color="auto"/>
              <w:left w:val="single" w:sz="8" w:color="auto"/>
              <w:right w:val="single" w:sz="8" w:color="auto"/>
            </w:tcBorders>
            <w:gridSpan w:val="3"/>
          </w:tcPr>
          <w:p>
            <w:pPr>
              <w:jc w:val="right"/>
              <w:ind w:right="940"/>
              <w:spacing w:after="0" w:line="189" w:lineRule="exact"/>
              <w:rPr>
                <w:sz w:val="20"/>
                <w:szCs w:val="20"/>
                <w:color w:val="auto"/>
              </w:rPr>
            </w:pPr>
            <w:r>
              <w:rPr>
                <w:rFonts w:ascii="Arial" w:cs="Arial" w:eastAsia="Arial" w:hAnsi="Arial"/>
                <w:sz w:val="18"/>
                <w:szCs w:val="18"/>
                <w:b w:val="1"/>
                <w:bCs w:val="1"/>
                <w:color w:val="auto"/>
              </w:rPr>
              <w:t>Nominee</w:t>
            </w:r>
          </w:p>
        </w:tc>
        <w:tc>
          <w:tcPr>
            <w:tcW w:w="2100" w:type="dxa"/>
            <w:vAlign w:val="bottom"/>
            <w:tcBorders>
              <w:top w:val="single" w:sz="8" w:color="auto"/>
              <w:right w:val="single" w:sz="8" w:color="auto"/>
            </w:tcBorders>
            <w:gridSpan w:val="3"/>
          </w:tcPr>
          <w:p>
            <w:pPr>
              <w:jc w:val="center"/>
              <w:ind w:right="40"/>
              <w:spacing w:after="0" w:line="189" w:lineRule="exact"/>
              <w:rPr>
                <w:sz w:val="20"/>
                <w:szCs w:val="20"/>
                <w:color w:val="auto"/>
              </w:rPr>
            </w:pPr>
            <w:r>
              <w:rPr>
                <w:rFonts w:ascii="Arial" w:cs="Arial" w:eastAsia="Arial" w:hAnsi="Arial"/>
                <w:sz w:val="18"/>
                <w:szCs w:val="18"/>
                <w:b w:val="1"/>
                <w:bCs w:val="1"/>
                <w:color w:val="auto"/>
                <w:w w:val="89"/>
              </w:rPr>
              <w:t>Votes For</w:t>
            </w:r>
          </w:p>
        </w:tc>
        <w:tc>
          <w:tcPr>
            <w:tcW w:w="340" w:type="dxa"/>
            <w:vAlign w:val="bottom"/>
            <w:tcBorders>
              <w:top w:val="single" w:sz="8" w:color="auto"/>
            </w:tcBorders>
          </w:tcPr>
          <w:p>
            <w:pPr>
              <w:spacing w:after="0"/>
              <w:rPr>
                <w:sz w:val="16"/>
                <w:szCs w:val="16"/>
                <w:color w:val="auto"/>
              </w:rPr>
            </w:pPr>
          </w:p>
        </w:tc>
        <w:tc>
          <w:tcPr>
            <w:tcW w:w="144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Votes Against</w:t>
            </w:r>
          </w:p>
        </w:tc>
        <w:tc>
          <w:tcPr>
            <w:tcW w:w="520" w:type="dxa"/>
            <w:vAlign w:val="bottom"/>
            <w:tcBorders>
              <w:top w:val="single" w:sz="8" w:color="auto"/>
            </w:tcBorders>
          </w:tcPr>
          <w:p>
            <w:pPr>
              <w:spacing w:after="0"/>
              <w:rPr>
                <w:sz w:val="16"/>
                <w:szCs w:val="16"/>
                <w:color w:val="auto"/>
              </w:rPr>
            </w:pPr>
          </w:p>
        </w:tc>
        <w:tc>
          <w:tcPr>
            <w:tcW w:w="1460" w:type="dxa"/>
            <w:vAlign w:val="bottom"/>
            <w:tcBorders>
              <w:top w:val="single" w:sz="8" w:color="auto"/>
              <w:right w:val="single" w:sz="8" w:color="auto"/>
            </w:tcBorders>
            <w:gridSpan w:val="2"/>
          </w:tcPr>
          <w:p>
            <w:pPr>
              <w:jc w:val="center"/>
              <w:ind w:right="540"/>
              <w:spacing w:after="0" w:line="189" w:lineRule="exact"/>
              <w:rPr>
                <w:sz w:val="20"/>
                <w:szCs w:val="20"/>
                <w:color w:val="auto"/>
              </w:rPr>
            </w:pPr>
            <w:r>
              <w:rPr>
                <w:rFonts w:ascii="Arial" w:cs="Arial" w:eastAsia="Arial" w:hAnsi="Arial"/>
                <w:sz w:val="18"/>
                <w:szCs w:val="18"/>
                <w:b w:val="1"/>
                <w:bCs w:val="1"/>
                <w:color w:val="auto"/>
                <w:w w:val="88"/>
              </w:rPr>
              <w:t>Abstentions</w:t>
            </w:r>
          </w:p>
        </w:tc>
        <w:tc>
          <w:tcPr>
            <w:tcW w:w="320" w:type="dxa"/>
            <w:vAlign w:val="bottom"/>
            <w:tcBorders>
              <w:top w:val="single" w:sz="8" w:color="auto"/>
            </w:tcBorders>
          </w:tcPr>
          <w:p>
            <w:pPr>
              <w:spacing w:after="0"/>
              <w:rPr>
                <w:sz w:val="16"/>
                <w:szCs w:val="16"/>
                <w:color w:val="auto"/>
              </w:rPr>
            </w:pPr>
          </w:p>
        </w:tc>
        <w:tc>
          <w:tcPr>
            <w:tcW w:w="1740" w:type="dxa"/>
            <w:vAlign w:val="bottom"/>
            <w:tcBorders>
              <w:top w:val="single" w:sz="8" w:color="auto"/>
              <w:right w:val="single" w:sz="8" w:color="auto"/>
            </w:tcBorders>
            <w:gridSpan w:val="2"/>
          </w:tcPr>
          <w:p>
            <w:pPr>
              <w:jc w:val="center"/>
              <w:ind w:right="340"/>
              <w:spacing w:after="0" w:line="189" w:lineRule="exact"/>
              <w:rPr>
                <w:sz w:val="20"/>
                <w:szCs w:val="20"/>
                <w:color w:val="auto"/>
              </w:rPr>
            </w:pPr>
            <w:r>
              <w:rPr>
                <w:rFonts w:ascii="Arial" w:cs="Arial" w:eastAsia="Arial" w:hAnsi="Arial"/>
                <w:sz w:val="18"/>
                <w:szCs w:val="18"/>
                <w:b w:val="1"/>
                <w:bCs w:val="1"/>
                <w:color w:val="auto"/>
                <w:w w:val="91"/>
              </w:rPr>
              <w:t>Broker Non-Votes</w:t>
            </w:r>
          </w:p>
        </w:tc>
      </w:tr>
      <w:tr>
        <w:trPr>
          <w:trHeight w:val="21"/>
        </w:trPr>
        <w:tc>
          <w:tcPr>
            <w:tcW w:w="940" w:type="dxa"/>
            <w:vAlign w:val="bottom"/>
            <w:tcBorders>
              <w:left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2560" w:type="dxa"/>
            <w:vAlign w:val="bottom"/>
            <w:tcBorders>
              <w:left w:val="single" w:sz="8" w:color="auto"/>
              <w:bottom w:val="single" w:sz="8" w:color="auto"/>
              <w:right w:val="single" w:sz="8" w:color="auto"/>
            </w:tcBorders>
            <w:gridSpan w:val="3"/>
          </w:tcPr>
          <w:p>
            <w:pPr>
              <w:ind w:left="440"/>
              <w:spacing w:after="0"/>
              <w:rPr>
                <w:sz w:val="20"/>
                <w:szCs w:val="20"/>
                <w:color w:val="auto"/>
              </w:rPr>
            </w:pPr>
            <w:r>
              <w:rPr>
                <w:rFonts w:ascii="Arial" w:cs="Arial" w:eastAsia="Arial" w:hAnsi="Arial"/>
                <w:sz w:val="18"/>
                <w:szCs w:val="18"/>
                <w:color w:val="auto"/>
              </w:rPr>
              <w:t>Stephen S. Tang, Ph.D.</w:t>
            </w:r>
          </w:p>
        </w:tc>
        <w:tc>
          <w:tcPr>
            <w:tcW w:w="21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0"/>
              </w:rPr>
              <w:t>47,287,274</w:t>
            </w:r>
          </w:p>
        </w:tc>
        <w:tc>
          <w:tcPr>
            <w:tcW w:w="14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437,751</w:t>
            </w:r>
          </w:p>
        </w:tc>
        <w:tc>
          <w:tcPr>
            <w:tcW w:w="38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90"/>
              </w:rPr>
              <w:t>48,396</w:t>
            </w:r>
          </w:p>
        </w:tc>
        <w:tc>
          <w:tcPr>
            <w:tcW w:w="5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tcBorders>
            <w:gridSpan w:val="2"/>
          </w:tcPr>
          <w:p>
            <w:pPr>
              <w:jc w:val="center"/>
              <w:ind w:left="230"/>
              <w:spacing w:after="0"/>
              <w:rPr>
                <w:sz w:val="20"/>
                <w:szCs w:val="20"/>
                <w:color w:val="auto"/>
              </w:rPr>
            </w:pPr>
            <w:r>
              <w:rPr>
                <w:rFonts w:ascii="Arial" w:cs="Arial" w:eastAsia="Arial" w:hAnsi="Arial"/>
                <w:sz w:val="18"/>
                <w:szCs w:val="18"/>
                <w:color w:val="auto"/>
                <w:w w:val="89"/>
              </w:rPr>
              <w:t>6,361,840</w:t>
            </w:r>
          </w:p>
        </w:tc>
        <w:tc>
          <w:tcPr>
            <w:tcW w:w="340" w:type="dxa"/>
            <w:vAlign w:val="bottom"/>
            <w:tcBorders>
              <w:bottom w:val="single" w:sz="8" w:color="auto"/>
              <w:right w:val="single" w:sz="8" w:color="auto"/>
            </w:tcBorders>
          </w:tcPr>
          <w:p>
            <w:pPr>
              <w:spacing w:after="0"/>
              <w:rPr>
                <w:sz w:val="18"/>
                <w:szCs w:val="18"/>
                <w:color w:val="auto"/>
              </w:rPr>
            </w:pPr>
          </w:p>
        </w:tc>
      </w:tr>
      <w:tr>
        <w:trPr>
          <w:trHeight w:val="210"/>
        </w:trPr>
        <w:tc>
          <w:tcPr>
            <w:tcW w:w="2560" w:type="dxa"/>
            <w:vAlign w:val="bottom"/>
            <w:tcBorders>
              <w:left w:val="single" w:sz="8" w:color="auto"/>
              <w:bottom w:val="single" w:sz="8" w:color="auto"/>
              <w:right w:val="single" w:sz="8" w:color="auto"/>
            </w:tcBorders>
            <w:gridSpan w:val="3"/>
          </w:tcPr>
          <w:p>
            <w:pPr>
              <w:jc w:val="right"/>
              <w:ind w:right="940"/>
              <w:spacing w:after="0"/>
              <w:rPr>
                <w:sz w:val="20"/>
                <w:szCs w:val="20"/>
                <w:color w:val="auto"/>
              </w:rPr>
            </w:pPr>
            <w:r>
              <w:rPr>
                <w:rFonts w:ascii="Arial" w:cs="Arial" w:eastAsia="Arial" w:hAnsi="Arial"/>
                <w:sz w:val="18"/>
                <w:szCs w:val="18"/>
                <w:color w:val="auto"/>
              </w:rPr>
              <w:t>Eamonn P. Hobbs</w:t>
            </w:r>
          </w:p>
        </w:tc>
        <w:tc>
          <w:tcPr>
            <w:tcW w:w="21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0"/>
              </w:rPr>
              <w:t>46,549,687</w:t>
            </w:r>
          </w:p>
        </w:tc>
        <w:tc>
          <w:tcPr>
            <w:tcW w:w="14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1,175,238</w:t>
            </w:r>
          </w:p>
        </w:tc>
        <w:tc>
          <w:tcPr>
            <w:tcW w:w="38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90"/>
              </w:rPr>
              <w:t>48,496</w:t>
            </w:r>
          </w:p>
        </w:tc>
        <w:tc>
          <w:tcPr>
            <w:tcW w:w="5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tcBorders>
            <w:gridSpan w:val="2"/>
          </w:tcPr>
          <w:p>
            <w:pPr>
              <w:jc w:val="center"/>
              <w:ind w:left="230"/>
              <w:spacing w:after="0"/>
              <w:rPr>
                <w:sz w:val="20"/>
                <w:szCs w:val="20"/>
                <w:color w:val="auto"/>
              </w:rPr>
            </w:pPr>
            <w:r>
              <w:rPr>
                <w:rFonts w:ascii="Arial" w:cs="Arial" w:eastAsia="Arial" w:hAnsi="Arial"/>
                <w:sz w:val="18"/>
                <w:szCs w:val="18"/>
                <w:color w:val="auto"/>
                <w:w w:val="89"/>
              </w:rPr>
              <w:t>6,361,840</w:t>
            </w:r>
          </w:p>
        </w:tc>
        <w:tc>
          <w:tcPr>
            <w:tcW w:w="34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ind w:left="820" w:right="440" w:hanging="745"/>
        <w:spacing w:after="0" w:line="282"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color w:val="auto"/>
        </w:rPr>
        <w:t>-</w:t>
      </w:r>
      <w:r>
        <w:rPr>
          <w:rFonts w:ascii="Arial" w:cs="Arial" w:eastAsia="Arial" w:hAnsi="Arial"/>
          <w:sz w:val="18"/>
          <w:szCs w:val="18"/>
          <w:b w:val="1"/>
          <w:bCs w:val="1"/>
          <w:color w:val="auto"/>
        </w:rPr>
        <w:t xml:space="preserve"> Proposal to Ratify the Appointment of KPMG LLP as the Company’s Independent Registered Public Accounting Firm for Fiscal Year 2019.</w:t>
      </w:r>
    </w:p>
    <w:p>
      <w:pPr>
        <w:spacing w:after="0" w:line="160" w:lineRule="exact"/>
        <w:rPr>
          <w:sz w:val="20"/>
          <w:szCs w:val="20"/>
          <w:color w:val="auto"/>
        </w:rPr>
      </w:pPr>
    </w:p>
    <w:tbl>
      <w:tblPr>
        <w:tblLayout w:type="fixed"/>
        <w:tblInd w:w="2110" w:type="dxa"/>
        <w:tblCellMar>
          <w:top w:w="0" w:type="dxa"/>
          <w:left w:w="0" w:type="dxa"/>
          <w:bottom w:w="0" w:type="dxa"/>
          <w:right w:w="0" w:type="dxa"/>
        </w:tblCellMar>
      </w:tblPr>
      <w:tr>
        <w:trPr>
          <w:trHeight w:val="189"/>
        </w:trPr>
        <w:tc>
          <w:tcPr>
            <w:tcW w:w="840" w:type="dxa"/>
            <w:vAlign w:val="bottom"/>
            <w:tcBorders>
              <w:top w:val="single" w:sz="8" w:color="auto"/>
              <w:left w:val="single" w:sz="8" w:color="auto"/>
            </w:tcBorders>
          </w:tcPr>
          <w:p>
            <w:pPr>
              <w:spacing w:after="0"/>
              <w:rPr>
                <w:sz w:val="16"/>
                <w:szCs w:val="16"/>
                <w:color w:val="auto"/>
              </w:rPr>
            </w:pPr>
          </w:p>
        </w:tc>
        <w:tc>
          <w:tcPr>
            <w:tcW w:w="1580" w:type="dxa"/>
            <w:vAlign w:val="bottom"/>
            <w:tcBorders>
              <w:top w:val="single" w:sz="8" w:color="auto"/>
              <w:right w:val="single" w:sz="8" w:color="auto"/>
            </w:tcBorders>
            <w:gridSpan w:val="2"/>
          </w:tcPr>
          <w:p>
            <w:pPr>
              <w:jc w:val="center"/>
              <w:ind w:right="840"/>
              <w:spacing w:after="0" w:line="189" w:lineRule="exact"/>
              <w:rPr>
                <w:sz w:val="20"/>
                <w:szCs w:val="20"/>
                <w:color w:val="auto"/>
              </w:rPr>
            </w:pPr>
            <w:r>
              <w:rPr>
                <w:rFonts w:ascii="Arial" w:cs="Arial" w:eastAsia="Arial" w:hAnsi="Arial"/>
                <w:sz w:val="18"/>
                <w:szCs w:val="18"/>
                <w:b w:val="1"/>
                <w:bCs w:val="1"/>
                <w:color w:val="auto"/>
                <w:w w:val="89"/>
              </w:rPr>
              <w:t>Votes For</w:t>
            </w:r>
          </w:p>
        </w:tc>
        <w:tc>
          <w:tcPr>
            <w:tcW w:w="660" w:type="dxa"/>
            <w:vAlign w:val="bottom"/>
            <w:tcBorders>
              <w:top w:val="single" w:sz="8" w:color="auto"/>
            </w:tcBorders>
          </w:tcPr>
          <w:p>
            <w:pPr>
              <w:spacing w:after="0"/>
              <w:rPr>
                <w:sz w:val="16"/>
                <w:szCs w:val="16"/>
                <w:color w:val="auto"/>
              </w:rPr>
            </w:pPr>
          </w:p>
        </w:tc>
        <w:tc>
          <w:tcPr>
            <w:tcW w:w="1720" w:type="dxa"/>
            <w:vAlign w:val="bottom"/>
            <w:tcBorders>
              <w:top w:val="single" w:sz="8" w:color="auto"/>
              <w:right w:val="single" w:sz="8" w:color="auto"/>
            </w:tcBorders>
            <w:gridSpan w:val="2"/>
          </w:tcPr>
          <w:p>
            <w:pPr>
              <w:jc w:val="center"/>
              <w:ind w:right="680"/>
              <w:spacing w:after="0" w:line="189" w:lineRule="exact"/>
              <w:rPr>
                <w:sz w:val="20"/>
                <w:szCs w:val="20"/>
                <w:color w:val="auto"/>
              </w:rPr>
            </w:pPr>
            <w:r>
              <w:rPr>
                <w:rFonts w:ascii="Arial" w:cs="Arial" w:eastAsia="Arial" w:hAnsi="Arial"/>
                <w:sz w:val="18"/>
                <w:szCs w:val="18"/>
                <w:b w:val="1"/>
                <w:bCs w:val="1"/>
                <w:color w:val="auto"/>
                <w:w w:val="86"/>
              </w:rPr>
              <w:t>Votes Against</w:t>
            </w:r>
          </w:p>
        </w:tc>
        <w:tc>
          <w:tcPr>
            <w:tcW w:w="244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Arial" w:cs="Arial" w:eastAsia="Arial" w:hAnsi="Arial"/>
                <w:sz w:val="18"/>
                <w:szCs w:val="18"/>
                <w:b w:val="1"/>
                <w:bCs w:val="1"/>
                <w:color w:val="auto"/>
                <w:w w:val="86"/>
              </w:rPr>
              <w:t>Abstentions</w:t>
            </w:r>
          </w:p>
        </w:tc>
      </w:tr>
      <w:tr>
        <w:trPr>
          <w:trHeight w:val="21"/>
        </w:trPr>
        <w:tc>
          <w:tcPr>
            <w:tcW w:w="840" w:type="dxa"/>
            <w:vAlign w:val="bottom"/>
            <w:tcBorders>
              <w:left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2420" w:type="dxa"/>
            <w:vAlign w:val="bottom"/>
            <w:tcBorders>
              <w:left w:val="single" w:sz="8" w:color="auto"/>
              <w:bottom w:val="single" w:sz="8" w:color="auto"/>
              <w:right w:val="single" w:sz="8" w:color="auto"/>
            </w:tcBorders>
            <w:gridSpan w:val="3"/>
          </w:tcPr>
          <w:p>
            <w:pPr>
              <w:jc w:val="right"/>
              <w:ind w:right="800"/>
              <w:spacing w:after="0"/>
              <w:rPr>
                <w:sz w:val="20"/>
                <w:szCs w:val="20"/>
                <w:color w:val="auto"/>
              </w:rPr>
            </w:pPr>
            <w:r>
              <w:rPr>
                <w:rFonts w:ascii="Arial" w:cs="Arial" w:eastAsia="Arial" w:hAnsi="Arial"/>
                <w:sz w:val="18"/>
                <w:szCs w:val="18"/>
                <w:color w:val="auto"/>
              </w:rPr>
              <w:t>53,491,777</w:t>
            </w:r>
          </w:p>
        </w:tc>
        <w:tc>
          <w:tcPr>
            <w:tcW w:w="17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508,842</w:t>
            </w:r>
          </w:p>
        </w:tc>
        <w:tc>
          <w:tcPr>
            <w:tcW w:w="68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134,642</w:t>
            </w:r>
          </w:p>
        </w:tc>
        <w:tc>
          <w:tcPr>
            <w:tcW w:w="78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 Proposal to Approve an Advisory (Non-Binding) Resolution on the Company’s Executive Compensation.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20" w:type="dxa"/>
            <w:vAlign w:val="bottom"/>
            <w:tcBorders>
              <w:right w:val="single" w:sz="8" w:color="auto"/>
            </w:tcBorders>
          </w:tcPr>
          <w:p>
            <w:pPr>
              <w:spacing w:after="0"/>
              <w:rPr>
                <w:sz w:val="16"/>
                <w:szCs w:val="16"/>
                <w:color w:val="auto"/>
              </w:rPr>
            </w:pPr>
          </w:p>
        </w:tc>
        <w:tc>
          <w:tcPr>
            <w:tcW w:w="1980" w:type="dxa"/>
            <w:vAlign w:val="bottom"/>
            <w:tcBorders>
              <w:top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b w:val="1"/>
                <w:bCs w:val="1"/>
                <w:color w:val="auto"/>
                <w:w w:val="89"/>
              </w:rPr>
              <w:t>Votes For</w:t>
            </w:r>
          </w:p>
        </w:tc>
        <w:tc>
          <w:tcPr>
            <w:tcW w:w="238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Arial" w:cs="Arial" w:eastAsia="Arial" w:hAnsi="Arial"/>
                <w:sz w:val="18"/>
                <w:szCs w:val="18"/>
                <w:b w:val="1"/>
                <w:bCs w:val="1"/>
                <w:color w:val="auto"/>
                <w:w w:val="86"/>
              </w:rPr>
              <w:t>Votes Against</w:t>
            </w:r>
          </w:p>
        </w:tc>
        <w:tc>
          <w:tcPr>
            <w:tcW w:w="700" w:type="dxa"/>
            <w:vAlign w:val="bottom"/>
            <w:tcBorders>
              <w:top w:val="single" w:sz="8" w:color="auto"/>
            </w:tcBorders>
          </w:tcPr>
          <w:p>
            <w:pPr>
              <w:spacing w:after="0"/>
              <w:rPr>
                <w:sz w:val="16"/>
                <w:szCs w:val="16"/>
                <w:color w:val="auto"/>
              </w:rPr>
            </w:pPr>
          </w:p>
        </w:tc>
        <w:tc>
          <w:tcPr>
            <w:tcW w:w="1660" w:type="dxa"/>
            <w:vAlign w:val="bottom"/>
            <w:tcBorders>
              <w:top w:val="single" w:sz="8" w:color="auto"/>
              <w:right w:val="single" w:sz="8" w:color="auto"/>
            </w:tcBorders>
            <w:gridSpan w:val="2"/>
          </w:tcPr>
          <w:p>
            <w:pPr>
              <w:jc w:val="center"/>
              <w:ind w:right="740"/>
              <w:spacing w:after="0" w:line="189" w:lineRule="exact"/>
              <w:rPr>
                <w:sz w:val="20"/>
                <w:szCs w:val="20"/>
                <w:color w:val="auto"/>
              </w:rPr>
            </w:pPr>
            <w:r>
              <w:rPr>
                <w:rFonts w:ascii="Arial" w:cs="Arial" w:eastAsia="Arial" w:hAnsi="Arial"/>
                <w:sz w:val="18"/>
                <w:szCs w:val="18"/>
                <w:b w:val="1"/>
                <w:bCs w:val="1"/>
                <w:color w:val="auto"/>
                <w:w w:val="88"/>
              </w:rPr>
              <w:t>Abstentions</w:t>
            </w:r>
          </w:p>
        </w:tc>
        <w:tc>
          <w:tcPr>
            <w:tcW w:w="100" w:type="dxa"/>
            <w:vAlign w:val="bottom"/>
            <w:tcBorders>
              <w:top w:val="single" w:sz="8" w:color="auto"/>
            </w:tcBorders>
          </w:tcPr>
          <w:p>
            <w:pPr>
              <w:spacing w:after="0"/>
              <w:rPr>
                <w:sz w:val="16"/>
                <w:szCs w:val="16"/>
                <w:color w:val="auto"/>
              </w:rPr>
            </w:pPr>
          </w:p>
        </w:tc>
        <w:tc>
          <w:tcPr>
            <w:tcW w:w="200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Broker Non-Votes</w:t>
            </w:r>
          </w:p>
        </w:tc>
        <w:tc>
          <w:tcPr>
            <w:tcW w:w="1300" w:type="dxa"/>
            <w:vAlign w:val="bottom"/>
          </w:tcPr>
          <w:p>
            <w:pPr>
              <w:spacing w:after="0"/>
              <w:rPr>
                <w:sz w:val="16"/>
                <w:szCs w:val="16"/>
                <w:color w:val="auto"/>
              </w:rPr>
            </w:pPr>
          </w:p>
        </w:tc>
      </w:tr>
      <w:tr>
        <w:trPr>
          <w:trHeight w:val="129"/>
        </w:trPr>
        <w:tc>
          <w:tcPr>
            <w:tcW w:w="1320" w:type="dxa"/>
            <w:vAlign w:val="bottom"/>
            <w:tcBorders>
              <w:right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0" w:type="dxa"/>
            <w:vAlign w:val="bottom"/>
            <w:tcBorders>
              <w:top w:val="single" w:sz="8" w:color="auto"/>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1300" w:type="dxa"/>
            <w:vAlign w:val="bottom"/>
          </w:tcPr>
          <w:p>
            <w:pPr>
              <w:spacing w:after="0"/>
              <w:rPr>
                <w:sz w:val="11"/>
                <w:szCs w:val="11"/>
                <w:color w:val="auto"/>
              </w:rPr>
            </w:pPr>
          </w:p>
        </w:tc>
      </w:tr>
      <w:tr>
        <w:trPr>
          <w:trHeight w:val="210"/>
        </w:trPr>
        <w:tc>
          <w:tcPr>
            <w:tcW w:w="1320" w:type="dxa"/>
            <w:vAlign w:val="bottom"/>
            <w:tcBorders>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gridSpan w:val="3"/>
          </w:tcPr>
          <w:p>
            <w:pPr>
              <w:jc w:val="right"/>
              <w:ind w:right="600"/>
              <w:spacing w:after="0"/>
              <w:rPr>
                <w:sz w:val="20"/>
                <w:szCs w:val="20"/>
                <w:color w:val="auto"/>
              </w:rPr>
            </w:pPr>
            <w:r>
              <w:rPr>
                <w:rFonts w:ascii="Arial" w:cs="Arial" w:eastAsia="Arial" w:hAnsi="Arial"/>
                <w:sz w:val="18"/>
                <w:szCs w:val="18"/>
                <w:color w:val="auto"/>
              </w:rPr>
              <w:t>46,188,723</w:t>
            </w:r>
          </w:p>
        </w:tc>
        <w:tc>
          <w:tcPr>
            <w:tcW w:w="1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1,520,696</w:t>
            </w:r>
          </w:p>
        </w:tc>
        <w:tc>
          <w:tcPr>
            <w:tcW w:w="68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64,002</w:t>
            </w:r>
          </w:p>
        </w:tc>
        <w:tc>
          <w:tcPr>
            <w:tcW w:w="74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6,361,840</w:t>
            </w:r>
          </w:p>
        </w:tc>
        <w:tc>
          <w:tcPr>
            <w:tcW w:w="600" w:type="dxa"/>
            <w:vAlign w:val="bottom"/>
            <w:tcBorders>
              <w:bottom w:val="single" w:sz="8" w:color="auto"/>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973"/>
        </w:trPr>
        <w:tc>
          <w:tcPr>
            <w:tcW w:w="13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80" w:firstLine="48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20" w:type="dxa"/>
            <w:vAlign w:val="bottom"/>
          </w:tcPr>
          <w:p>
            <w:pPr>
              <w:ind w:left="960"/>
              <w:spacing w:after="0"/>
              <w:rPr>
                <w:sz w:val="20"/>
                <w:szCs w:val="20"/>
                <w:color w:val="auto"/>
              </w:rPr>
            </w:pPr>
            <w:r>
              <w:rPr>
                <w:rFonts w:ascii="Arial" w:cs="Arial" w:eastAsia="Arial" w:hAnsi="Arial"/>
                <w:sz w:val="18"/>
                <w:szCs w:val="18"/>
                <w:color w:val="auto"/>
              </w:rPr>
              <w:t>ORASURE TECHNOLOGIES, INC.</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 May 23, 2019</w:t>
            </w:r>
          </w:p>
        </w:tc>
        <w:tc>
          <w:tcPr>
            <w:tcW w:w="7700" w:type="dxa"/>
            <w:vAlign w:val="bottom"/>
            <w:gridSpan w:val="2"/>
          </w:tcPr>
          <w:p>
            <w:pPr>
              <w:ind w:left="2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Jack E. Jerrett</w:t>
            </w:r>
          </w:p>
        </w:tc>
      </w:tr>
      <w:tr>
        <w:trPr>
          <w:trHeight w:val="195"/>
        </w:trPr>
        <w:tc>
          <w:tcPr>
            <w:tcW w:w="37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Jack E. Jerrett</w:t>
            </w:r>
          </w:p>
        </w:tc>
      </w:tr>
      <w:tr>
        <w:trPr>
          <w:trHeight w:val="230"/>
        </w:trPr>
        <w:tc>
          <w:tcPr>
            <w:tcW w:w="37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2019-12-02T15:18:47Z</dcterms:created>
  <dcterms:modified xsi:type="dcterms:W3CDTF">2019-12-02T15:18:47Z</dcterms:modified>
</cp:coreProperties>
</file>