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2910840</wp:posOffset>
            </wp:positionH>
            <wp:positionV relativeFrom="paragraph">
              <wp:posOffset>64135</wp:posOffset>
            </wp:positionV>
            <wp:extent cx="13201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2910840</wp:posOffset>
            </wp:positionH>
            <wp:positionV relativeFrom="paragraph">
              <wp:posOffset>91440</wp:posOffset>
            </wp:positionV>
            <wp:extent cx="13201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16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(Mark One)</w:t>
      </w:r>
    </w:p>
    <w:p>
      <w:pPr>
        <w:spacing w:after="0" w:line="13" w:lineRule="exact"/>
        <w:rPr>
          <w:sz w:val="24"/>
          <w:szCs w:val="24"/>
          <w:color w:val="auto"/>
        </w:rPr>
      </w:pPr>
    </w:p>
    <w:p>
      <w:pPr>
        <w:ind w:left="4160" w:right="3460" w:hanging="4152"/>
        <w:spacing w:after="0" w:line="274" w:lineRule="auto"/>
        <w:tabs>
          <w:tab w:leader="none" w:pos="313"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ANNUAL REPORT PURSUANT TO SECTION 13 OR 15(d) OF THE SECURITIES EXCHANGE ACT OF 1934 For the fiscal year ended December 31, 2022</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15"/>
          <w:szCs w:val="15"/>
          <w:b w:val="1"/>
          <w:bCs w:val="1"/>
          <w:color w:val="auto"/>
        </w:rPr>
        <w:t>or</w:t>
      </w:r>
    </w:p>
    <w:p>
      <w:pPr>
        <w:spacing w:after="0" w:line="44" w:lineRule="exact"/>
        <w:rPr>
          <w:sz w:val="24"/>
          <w:szCs w:val="24"/>
          <w:color w:val="auto"/>
        </w:rPr>
      </w:pPr>
    </w:p>
    <w:p>
      <w:pPr>
        <w:ind w:left="320" w:hanging="312"/>
        <w:spacing w:after="0"/>
        <w:tabs>
          <w:tab w:leader="none" w:pos="320" w:val="left"/>
        </w:tabs>
        <w:numPr>
          <w:ilvl w:val="0"/>
          <w:numId w:val="2"/>
        </w:numPr>
        <w:rPr>
          <w:rFonts w:ascii="MS PGothic" w:cs="MS PGothic" w:eastAsia="MS PGothic" w:hAnsi="MS PGothic"/>
          <w:sz w:val="15"/>
          <w:szCs w:val="15"/>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42" w:lineRule="exact"/>
        <w:rPr>
          <w:sz w:val="24"/>
          <w:szCs w:val="24"/>
          <w:color w:val="auto"/>
        </w:rPr>
      </w:pPr>
    </w:p>
    <w:p>
      <w:pPr>
        <w:ind w:left="3740"/>
        <w:spacing w:after="0"/>
        <w:tabs>
          <w:tab w:leader="none" w:pos="6520" w:val="left"/>
        </w:tabs>
        <w:rPr>
          <w:sz w:val="20"/>
          <w:szCs w:val="20"/>
          <w:color w:val="auto"/>
        </w:rPr>
      </w:pPr>
      <w:r>
        <w:rPr>
          <w:rFonts w:ascii="Arial" w:cs="Arial" w:eastAsia="Arial" w:hAnsi="Arial"/>
          <w:sz w:val="15"/>
          <w:szCs w:val="15"/>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3648075</wp:posOffset>
            </wp:positionH>
            <wp:positionV relativeFrom="paragraph">
              <wp:posOffset>-10795</wp:posOffset>
            </wp:positionV>
            <wp:extent cx="485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5"/>
          <w:szCs w:val="15"/>
          <w:b w:val="1"/>
          <w:bCs w:val="1"/>
          <w:color w:val="auto"/>
        </w:rPr>
        <w:t>Commission File No. 001-16537</w:t>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ORASURE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-232410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82" w:lineRule="exact"/>
        <w:rPr>
          <w:sz w:val="24"/>
          <w:szCs w:val="24"/>
          <w:color w:val="auto"/>
        </w:rPr>
      </w:pPr>
    </w:p>
    <w:tbl>
      <w:tblPr>
        <w:tblLayout w:type="fixed"/>
        <w:tblInd w:w="380" w:type="dxa"/>
        <w:tblCellMar>
          <w:top w:w="0" w:type="dxa"/>
          <w:left w:w="0" w:type="dxa"/>
          <w:bottom w:w="0" w:type="dxa"/>
          <w:right w:w="0" w:type="dxa"/>
        </w:tblCellMar>
      </w:tblPr>
      <w:tr>
        <w:trPr>
          <w:trHeight w:val="190"/>
        </w:trPr>
        <w:tc>
          <w:tcPr>
            <w:tcW w:w="1660" w:type="dxa"/>
            <w:vAlign w:val="bottom"/>
          </w:tcPr>
          <w:p>
            <w:pPr>
              <w:spacing w:after="0"/>
              <w:rPr>
                <w:sz w:val="16"/>
                <w:szCs w:val="16"/>
                <w:color w:val="auto"/>
              </w:rPr>
            </w:pPr>
          </w:p>
        </w:tc>
        <w:tc>
          <w:tcPr>
            <w:tcW w:w="1900" w:type="dxa"/>
            <w:vAlign w:val="bottom"/>
            <w:gridSpan w:val="2"/>
          </w:tcPr>
          <w:p>
            <w:pPr>
              <w:ind w:left="480"/>
              <w:spacing w:after="0"/>
              <w:rPr>
                <w:sz w:val="20"/>
                <w:szCs w:val="20"/>
                <w:color w:val="auto"/>
              </w:rPr>
            </w:pPr>
            <w:r>
              <w:rPr>
                <w:rFonts w:ascii="Arial" w:cs="Arial" w:eastAsia="Arial" w:hAnsi="Arial"/>
                <w:sz w:val="13"/>
                <w:szCs w:val="13"/>
                <w:b w:val="1"/>
                <w:bCs w:val="1"/>
                <w:color w:val="auto"/>
              </w:rPr>
              <w:t>Delaware</w:t>
            </w:r>
          </w:p>
        </w:tc>
        <w:tc>
          <w:tcPr>
            <w:tcW w:w="56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gridSpan w:val="2"/>
          </w:tcPr>
          <w:p>
            <w:pPr>
              <w:jc w:val="right"/>
              <w:ind w:right="1324"/>
              <w:spacing w:after="0"/>
              <w:rPr>
                <w:sz w:val="20"/>
                <w:szCs w:val="20"/>
                <w:color w:val="auto"/>
              </w:rPr>
            </w:pPr>
            <w:r>
              <w:rPr>
                <w:rFonts w:ascii="Arial" w:cs="Arial" w:eastAsia="Arial" w:hAnsi="Arial"/>
                <w:sz w:val="13"/>
                <w:szCs w:val="13"/>
                <w:b w:val="1"/>
                <w:bCs w:val="1"/>
                <w:color w:val="auto"/>
              </w:rPr>
              <w:t>36-4370966</w:t>
            </w:r>
          </w:p>
        </w:tc>
        <w:tc>
          <w:tcPr>
            <w:tcW w:w="0" w:type="dxa"/>
            <w:vAlign w:val="bottom"/>
          </w:tcPr>
          <w:p>
            <w:pPr>
              <w:spacing w:after="0"/>
              <w:rPr>
                <w:sz w:val="1"/>
                <w:szCs w:val="1"/>
                <w:color w:val="auto"/>
              </w:rPr>
            </w:pPr>
          </w:p>
        </w:tc>
      </w:tr>
      <w:tr>
        <w:trPr>
          <w:trHeight w:val="148"/>
        </w:trPr>
        <w:tc>
          <w:tcPr>
            <w:tcW w:w="3560" w:type="dxa"/>
            <w:vAlign w:val="bottom"/>
            <w:gridSpan w:val="3"/>
          </w:tcPr>
          <w:p>
            <w:pPr>
              <w:jc w:val="center"/>
              <w:ind w:left="1130"/>
              <w:spacing w:after="0"/>
              <w:rPr>
                <w:sz w:val="20"/>
                <w:szCs w:val="20"/>
                <w:color w:val="auto"/>
              </w:rPr>
            </w:pPr>
            <w:r>
              <w:rPr>
                <w:rFonts w:ascii="Arial" w:cs="Arial" w:eastAsia="Arial" w:hAnsi="Arial"/>
                <w:sz w:val="13"/>
                <w:szCs w:val="13"/>
                <w:b w:val="1"/>
                <w:bCs w:val="1"/>
                <w:color w:val="auto"/>
                <w:w w:val="94"/>
              </w:rPr>
              <w:t>(State or other jurisdiction of</w:t>
            </w: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2"/>
          </w:tcPr>
          <w:p>
            <w:pPr>
              <w:jc w:val="center"/>
              <w:ind w:right="844"/>
              <w:spacing w:after="0"/>
              <w:rPr>
                <w:sz w:val="20"/>
                <w:szCs w:val="20"/>
                <w:color w:val="auto"/>
              </w:rPr>
            </w:pPr>
            <w:r>
              <w:rPr>
                <w:rFonts w:ascii="Arial" w:cs="Arial" w:eastAsia="Arial" w:hAnsi="Arial"/>
                <w:sz w:val="13"/>
                <w:szCs w:val="13"/>
                <w:b w:val="1"/>
                <w:bCs w:val="1"/>
                <w:color w:val="auto"/>
                <w:w w:val="98"/>
              </w:rPr>
              <w:t>(I.R.S. Employer</w:t>
            </w:r>
          </w:p>
        </w:tc>
        <w:tc>
          <w:tcPr>
            <w:tcW w:w="0" w:type="dxa"/>
            <w:vAlign w:val="bottom"/>
          </w:tcPr>
          <w:p>
            <w:pPr>
              <w:spacing w:after="0"/>
              <w:rPr>
                <w:sz w:val="1"/>
                <w:szCs w:val="1"/>
                <w:color w:val="auto"/>
              </w:rPr>
            </w:pPr>
          </w:p>
        </w:tc>
      </w:tr>
      <w:tr>
        <w:trPr>
          <w:trHeight w:val="174"/>
        </w:trPr>
        <w:tc>
          <w:tcPr>
            <w:tcW w:w="3560" w:type="dxa"/>
            <w:vAlign w:val="bottom"/>
            <w:gridSpan w:val="3"/>
          </w:tcPr>
          <w:p>
            <w:pPr>
              <w:jc w:val="center"/>
              <w:ind w:left="1130"/>
              <w:spacing w:after="0"/>
              <w:rPr>
                <w:sz w:val="20"/>
                <w:szCs w:val="20"/>
                <w:color w:val="auto"/>
              </w:rPr>
            </w:pPr>
            <w:r>
              <w:rPr>
                <w:rFonts w:ascii="Arial" w:cs="Arial" w:eastAsia="Arial" w:hAnsi="Arial"/>
                <w:sz w:val="13"/>
                <w:szCs w:val="13"/>
                <w:b w:val="1"/>
                <w:bCs w:val="1"/>
                <w:color w:val="auto"/>
                <w:w w:val="94"/>
              </w:rPr>
              <w:t>incorporation or organization)</w:t>
            </w: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2"/>
          </w:tcPr>
          <w:p>
            <w:pPr>
              <w:jc w:val="center"/>
              <w:ind w:right="844"/>
              <w:spacing w:after="0"/>
              <w:rPr>
                <w:sz w:val="20"/>
                <w:szCs w:val="20"/>
                <w:color w:val="auto"/>
              </w:rPr>
            </w:pPr>
            <w:r>
              <w:rPr>
                <w:rFonts w:ascii="Arial" w:cs="Arial" w:eastAsia="Arial" w:hAnsi="Arial"/>
                <w:sz w:val="13"/>
                <w:szCs w:val="13"/>
                <w:b w:val="1"/>
                <w:bCs w:val="1"/>
                <w:color w:val="auto"/>
                <w:w w:val="96"/>
              </w:rPr>
              <w:t>Identification No.)</w:t>
            </w:r>
          </w:p>
        </w:tc>
        <w:tc>
          <w:tcPr>
            <w:tcW w:w="0" w:type="dxa"/>
            <w:vAlign w:val="bottom"/>
          </w:tcPr>
          <w:p>
            <w:pPr>
              <w:spacing w:after="0"/>
              <w:rPr>
                <w:sz w:val="1"/>
                <w:szCs w:val="1"/>
                <w:color w:val="auto"/>
              </w:rPr>
            </w:pPr>
          </w:p>
        </w:tc>
      </w:tr>
      <w:tr>
        <w:trPr>
          <w:trHeight w:val="325"/>
        </w:trPr>
        <w:tc>
          <w:tcPr>
            <w:tcW w:w="1660" w:type="dxa"/>
            <w:vAlign w:val="bottom"/>
          </w:tcPr>
          <w:p>
            <w:pPr>
              <w:spacing w:after="0"/>
              <w:rPr>
                <w:sz w:val="24"/>
                <w:szCs w:val="24"/>
                <w:color w:val="auto"/>
              </w:rPr>
            </w:pPr>
          </w:p>
        </w:tc>
        <w:tc>
          <w:tcPr>
            <w:tcW w:w="1900" w:type="dxa"/>
            <w:vAlign w:val="bottom"/>
            <w:gridSpan w:val="2"/>
          </w:tcPr>
          <w:p>
            <w:pPr>
              <w:jc w:val="center"/>
              <w:ind w:right="373"/>
              <w:spacing w:after="0"/>
              <w:rPr>
                <w:sz w:val="20"/>
                <w:szCs w:val="20"/>
                <w:color w:val="auto"/>
              </w:rPr>
            </w:pPr>
            <w:r>
              <w:rPr>
                <w:rFonts w:ascii="Arial" w:cs="Arial" w:eastAsia="Arial" w:hAnsi="Arial"/>
                <w:sz w:val="13"/>
                <w:szCs w:val="13"/>
                <w:b w:val="1"/>
                <w:bCs w:val="1"/>
                <w:color w:val="auto"/>
                <w:w w:val="94"/>
              </w:rPr>
              <w:t>220 East First Street</w:t>
            </w: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3560" w:type="dxa"/>
            <w:vAlign w:val="bottom"/>
            <w:gridSpan w:val="3"/>
          </w:tcPr>
          <w:p>
            <w:pPr>
              <w:jc w:val="center"/>
              <w:ind w:left="1130"/>
              <w:spacing w:after="0"/>
              <w:rPr>
                <w:sz w:val="20"/>
                <w:szCs w:val="20"/>
                <w:color w:val="auto"/>
              </w:rPr>
            </w:pPr>
            <w:r>
              <w:rPr>
                <w:rFonts w:ascii="Arial" w:cs="Arial" w:eastAsia="Arial" w:hAnsi="Arial"/>
                <w:sz w:val="13"/>
                <w:szCs w:val="13"/>
                <w:b w:val="1"/>
                <w:bCs w:val="1"/>
                <w:color w:val="auto"/>
                <w:w w:val="91"/>
              </w:rPr>
              <w:t>Bethlehem, Pennsylvania</w:t>
            </w: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2"/>
          </w:tcPr>
          <w:p>
            <w:pPr>
              <w:jc w:val="right"/>
              <w:ind w:right="1484"/>
              <w:spacing w:after="0"/>
              <w:rPr>
                <w:sz w:val="20"/>
                <w:szCs w:val="20"/>
                <w:color w:val="auto"/>
              </w:rPr>
            </w:pPr>
            <w:r>
              <w:rPr>
                <w:rFonts w:ascii="Arial" w:cs="Arial" w:eastAsia="Arial" w:hAnsi="Arial"/>
                <w:sz w:val="13"/>
                <w:szCs w:val="13"/>
                <w:b w:val="1"/>
                <w:bCs w:val="1"/>
                <w:color w:val="auto"/>
              </w:rPr>
              <w:t>18015</w:t>
            </w:r>
          </w:p>
        </w:tc>
        <w:tc>
          <w:tcPr>
            <w:tcW w:w="0" w:type="dxa"/>
            <w:vAlign w:val="bottom"/>
          </w:tcPr>
          <w:p>
            <w:pPr>
              <w:spacing w:after="0"/>
              <w:rPr>
                <w:sz w:val="1"/>
                <w:szCs w:val="1"/>
                <w:color w:val="auto"/>
              </w:rPr>
            </w:pPr>
          </w:p>
        </w:tc>
      </w:tr>
      <w:tr>
        <w:trPr>
          <w:trHeight w:val="176"/>
        </w:trPr>
        <w:tc>
          <w:tcPr>
            <w:tcW w:w="3560" w:type="dxa"/>
            <w:vAlign w:val="bottom"/>
            <w:gridSpan w:val="3"/>
          </w:tcPr>
          <w:p>
            <w:pPr>
              <w:jc w:val="center"/>
              <w:ind w:left="1130"/>
              <w:spacing w:after="0"/>
              <w:rPr>
                <w:sz w:val="20"/>
                <w:szCs w:val="20"/>
                <w:color w:val="auto"/>
              </w:rPr>
            </w:pPr>
            <w:r>
              <w:rPr>
                <w:rFonts w:ascii="Arial" w:cs="Arial" w:eastAsia="Arial" w:hAnsi="Arial"/>
                <w:sz w:val="13"/>
                <w:szCs w:val="13"/>
                <w:b w:val="1"/>
                <w:bCs w:val="1"/>
                <w:color w:val="auto"/>
                <w:w w:val="92"/>
              </w:rPr>
              <w:t>(Address of principal executive offices)</w:t>
            </w: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2"/>
          </w:tcPr>
          <w:p>
            <w:pPr>
              <w:jc w:val="center"/>
              <w:ind w:right="844"/>
              <w:spacing w:after="0"/>
              <w:rPr>
                <w:sz w:val="20"/>
                <w:szCs w:val="20"/>
                <w:color w:val="auto"/>
              </w:rPr>
            </w:pPr>
            <w:r>
              <w:rPr>
                <w:rFonts w:ascii="Arial" w:cs="Arial" w:eastAsia="Arial" w:hAnsi="Arial"/>
                <w:sz w:val="13"/>
                <w:szCs w:val="13"/>
                <w:b w:val="1"/>
                <w:bCs w:val="1"/>
                <w:color w:val="auto"/>
                <w:w w:val="96"/>
              </w:rPr>
              <w:t>(Zip Code)</w:t>
            </w:r>
          </w:p>
        </w:tc>
        <w:tc>
          <w:tcPr>
            <w:tcW w:w="0" w:type="dxa"/>
            <w:vAlign w:val="bottom"/>
          </w:tcPr>
          <w:p>
            <w:pPr>
              <w:spacing w:after="0"/>
              <w:rPr>
                <w:sz w:val="1"/>
                <w:szCs w:val="1"/>
                <w:color w:val="auto"/>
              </w:rPr>
            </w:pPr>
          </w:p>
        </w:tc>
      </w:tr>
      <w:tr>
        <w:trPr>
          <w:trHeight w:val="378"/>
        </w:trPr>
        <w:tc>
          <w:tcPr>
            <w:tcW w:w="1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560" w:type="dxa"/>
            <w:vAlign w:val="bottom"/>
            <w:gridSpan w:val="7"/>
          </w:tcPr>
          <w:p>
            <w:pPr>
              <w:jc w:val="center"/>
              <w:ind w:left="373"/>
              <w:spacing w:after="0"/>
              <w:rPr>
                <w:sz w:val="20"/>
                <w:szCs w:val="20"/>
                <w:color w:val="auto"/>
              </w:rPr>
            </w:pPr>
            <w:r>
              <w:rPr>
                <w:rFonts w:ascii="Arial" w:cs="Arial" w:eastAsia="Arial" w:hAnsi="Arial"/>
                <w:sz w:val="13"/>
                <w:szCs w:val="13"/>
                <w:b w:val="1"/>
                <w:bCs w:val="1"/>
                <w:color w:val="auto"/>
                <w:w w:val="92"/>
              </w:rPr>
              <w:t>(Registrant’s telephone number, including area code): (610) 882-1820</w:t>
            </w:r>
          </w:p>
        </w:tc>
        <w:tc>
          <w:tcPr>
            <w:tcW w:w="8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40" w:type="dxa"/>
            <w:vAlign w:val="bottom"/>
            <w:gridSpan w:val="5"/>
          </w:tcPr>
          <w:p>
            <w:pPr>
              <w:jc w:val="center"/>
              <w:ind w:right="300"/>
              <w:spacing w:after="0"/>
              <w:rPr>
                <w:sz w:val="20"/>
                <w:szCs w:val="20"/>
                <w:color w:val="auto"/>
              </w:rPr>
            </w:pPr>
            <w:r>
              <w:rPr>
                <w:rFonts w:ascii="Arial" w:cs="Arial" w:eastAsia="Arial" w:hAnsi="Arial"/>
                <w:sz w:val="13"/>
                <w:szCs w:val="13"/>
                <w:b w:val="1"/>
                <w:bCs w:val="1"/>
                <w:color w:val="auto"/>
                <w:w w:val="92"/>
              </w:rPr>
              <w:t>Securities registered pursuant to Section 12(b) of the Act:</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660" w:type="dxa"/>
            <w:vAlign w:val="bottom"/>
          </w:tcPr>
          <w:p>
            <w:pPr>
              <w:spacing w:after="0"/>
              <w:rPr>
                <w:sz w:val="18"/>
                <w:szCs w:val="18"/>
                <w:color w:val="auto"/>
              </w:rPr>
            </w:pPr>
          </w:p>
        </w:tc>
        <w:tc>
          <w:tcPr>
            <w:tcW w:w="1900" w:type="dxa"/>
            <w:vAlign w:val="bottom"/>
            <w:gridSpan w:val="2"/>
          </w:tcPr>
          <w:p>
            <w:pPr>
              <w:jc w:val="center"/>
              <w:ind w:right="753"/>
              <w:spacing w:after="0"/>
              <w:rPr>
                <w:sz w:val="20"/>
                <w:szCs w:val="20"/>
                <w:color w:val="auto"/>
              </w:rPr>
            </w:pPr>
            <w:r>
              <w:rPr>
                <w:rFonts w:ascii="Arial" w:cs="Arial" w:eastAsia="Arial" w:hAnsi="Arial"/>
                <w:sz w:val="13"/>
                <w:szCs w:val="13"/>
                <w:b w:val="1"/>
                <w:bCs w:val="1"/>
                <w:color w:val="auto"/>
                <w:w w:val="93"/>
              </w:rPr>
              <w:t>Title of Each Class</w:t>
            </w:r>
          </w:p>
        </w:tc>
        <w:tc>
          <w:tcPr>
            <w:tcW w:w="560" w:type="dxa"/>
            <w:vAlign w:val="bottom"/>
          </w:tcPr>
          <w:p>
            <w:pPr>
              <w:spacing w:after="0"/>
              <w:rPr>
                <w:sz w:val="18"/>
                <w:szCs w:val="18"/>
                <w:color w:val="auto"/>
              </w:rPr>
            </w:pPr>
          </w:p>
        </w:tc>
        <w:tc>
          <w:tcPr>
            <w:tcW w:w="3080" w:type="dxa"/>
            <w:vAlign w:val="bottom"/>
            <w:gridSpan w:val="4"/>
          </w:tcPr>
          <w:p>
            <w:pPr>
              <w:jc w:val="center"/>
              <w:ind w:right="340"/>
              <w:spacing w:after="0"/>
              <w:rPr>
                <w:sz w:val="20"/>
                <w:szCs w:val="20"/>
                <w:color w:val="auto"/>
              </w:rPr>
            </w:pPr>
            <w:r>
              <w:rPr>
                <w:rFonts w:ascii="Arial" w:cs="Arial" w:eastAsia="Arial" w:hAnsi="Arial"/>
                <w:sz w:val="13"/>
                <w:szCs w:val="13"/>
                <w:b w:val="1"/>
                <w:bCs w:val="1"/>
                <w:color w:val="auto"/>
                <w:w w:val="95"/>
              </w:rPr>
              <w:t>Trading Symbol</w:t>
            </w:r>
          </w:p>
        </w:tc>
        <w:tc>
          <w:tcPr>
            <w:tcW w:w="2640" w:type="dxa"/>
            <w:vAlign w:val="bottom"/>
            <w:gridSpan w:val="3"/>
          </w:tcPr>
          <w:p>
            <w:pPr>
              <w:jc w:val="center"/>
              <w:spacing w:after="0"/>
              <w:rPr>
                <w:sz w:val="20"/>
                <w:szCs w:val="20"/>
                <w:color w:val="auto"/>
              </w:rPr>
            </w:pPr>
            <w:r>
              <w:rPr>
                <w:rFonts w:ascii="Arial" w:cs="Arial" w:eastAsia="Arial" w:hAnsi="Arial"/>
                <w:sz w:val="13"/>
                <w:szCs w:val="13"/>
                <w:b w:val="1"/>
                <w:bCs w:val="1"/>
                <w:color w:val="auto"/>
                <w:w w:val="92"/>
              </w:rPr>
              <w:t>Name of Each Exchange on Which Registered</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54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560" w:type="dxa"/>
            <w:vAlign w:val="bottom"/>
            <w:gridSpan w:val="3"/>
          </w:tcPr>
          <w:p>
            <w:pPr>
              <w:jc w:val="center"/>
              <w:ind w:left="770"/>
              <w:spacing w:after="0"/>
              <w:rPr>
                <w:sz w:val="20"/>
                <w:szCs w:val="20"/>
                <w:color w:val="auto"/>
              </w:rPr>
            </w:pPr>
            <w:r>
              <w:rPr>
                <w:rFonts w:ascii="Arial" w:cs="Arial" w:eastAsia="Arial" w:hAnsi="Arial"/>
                <w:sz w:val="13"/>
                <w:szCs w:val="13"/>
                <w:b w:val="1"/>
                <w:bCs w:val="1"/>
                <w:color w:val="auto"/>
                <w:w w:val="93"/>
              </w:rPr>
              <w:t>Common Stock, $0.000001 par value per share</w:t>
            </w: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180" w:type="dxa"/>
            <w:vAlign w:val="bottom"/>
            <w:gridSpan w:val="3"/>
          </w:tcPr>
          <w:p>
            <w:pPr>
              <w:jc w:val="center"/>
              <w:ind w:right="1240"/>
              <w:spacing w:after="0"/>
              <w:rPr>
                <w:sz w:val="20"/>
                <w:szCs w:val="20"/>
                <w:color w:val="auto"/>
              </w:rPr>
            </w:pPr>
            <w:r>
              <w:rPr>
                <w:rFonts w:ascii="Arial" w:cs="Arial" w:eastAsia="Arial" w:hAnsi="Arial"/>
                <w:sz w:val="13"/>
                <w:szCs w:val="13"/>
                <w:b w:val="1"/>
                <w:bCs w:val="1"/>
                <w:color w:val="auto"/>
              </w:rPr>
              <w:t>OSUR</w:t>
            </w:r>
          </w:p>
        </w:tc>
        <w:tc>
          <w:tcPr>
            <w:tcW w:w="100" w:type="dxa"/>
            <w:vAlign w:val="bottom"/>
          </w:tcPr>
          <w:p>
            <w:pPr>
              <w:spacing w:after="0"/>
              <w:rPr>
                <w:sz w:val="15"/>
                <w:szCs w:val="15"/>
                <w:color w:val="auto"/>
              </w:rPr>
            </w:pPr>
          </w:p>
        </w:tc>
        <w:tc>
          <w:tcPr>
            <w:tcW w:w="2540" w:type="dxa"/>
            <w:vAlign w:val="bottom"/>
            <w:gridSpan w:val="2"/>
          </w:tcPr>
          <w:p>
            <w:pPr>
              <w:jc w:val="center"/>
              <w:ind w:right="24"/>
              <w:spacing w:after="0"/>
              <w:rPr>
                <w:sz w:val="20"/>
                <w:szCs w:val="20"/>
                <w:color w:val="auto"/>
              </w:rPr>
            </w:pPr>
            <w:r>
              <w:rPr>
                <w:rFonts w:ascii="Arial" w:cs="Arial" w:eastAsia="Arial" w:hAnsi="Arial"/>
                <w:sz w:val="13"/>
                <w:szCs w:val="13"/>
                <w:b w:val="1"/>
                <w:bCs w:val="1"/>
                <w:color w:val="auto"/>
                <w:w w:val="98"/>
              </w:rPr>
              <w:t>The Nasdaq Stock Market LLC</w:t>
            </w:r>
          </w:p>
        </w:tc>
        <w:tc>
          <w:tcPr>
            <w:tcW w:w="0" w:type="dxa"/>
            <w:vAlign w:val="bottom"/>
          </w:tcPr>
          <w:p>
            <w:pPr>
              <w:spacing w:after="0"/>
              <w:rPr>
                <w:sz w:val="1"/>
                <w:szCs w:val="1"/>
                <w:color w:val="auto"/>
              </w:rPr>
            </w:pPr>
          </w:p>
        </w:tc>
      </w:tr>
      <w:tr>
        <w:trPr>
          <w:trHeight w:val="189"/>
        </w:trPr>
        <w:tc>
          <w:tcPr>
            <w:tcW w:w="1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460" w:type="dxa"/>
            <w:vAlign w:val="bottom"/>
            <w:gridSpan w:val="6"/>
          </w:tcPr>
          <w:p>
            <w:pPr>
              <w:jc w:val="center"/>
              <w:ind w:left="453"/>
              <w:spacing w:after="0"/>
              <w:rPr>
                <w:sz w:val="20"/>
                <w:szCs w:val="20"/>
                <w:color w:val="auto"/>
              </w:rPr>
            </w:pPr>
            <w:r>
              <w:rPr>
                <w:rFonts w:ascii="Arial" w:cs="Arial" w:eastAsia="Arial" w:hAnsi="Arial"/>
                <w:sz w:val="13"/>
                <w:szCs w:val="13"/>
                <w:b w:val="1"/>
                <w:bCs w:val="1"/>
                <w:color w:val="auto"/>
                <w:w w:val="92"/>
              </w:rPr>
              <w:t>Securities registered pursuant to Section 12(g) of the Act: None</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6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380" w:type="dxa"/>
            <w:vAlign w:val="bottom"/>
            <w:gridSpan w:val="2"/>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40" w:type="dxa"/>
            <w:vAlign w:val="bottom"/>
            <w:gridSpan w:val="2"/>
          </w:tcPr>
          <w:p>
            <w:pPr>
              <w:spacing w:after="0"/>
              <w:rPr>
                <w:sz w:val="4"/>
                <w:szCs w:val="4"/>
                <w:color w:val="auto"/>
              </w:rPr>
            </w:pPr>
          </w:p>
        </w:tc>
        <w:tc>
          <w:tcPr>
            <w:tcW w:w="860" w:type="dxa"/>
            <w:vAlign w:val="bottom"/>
            <w:vMerge w:val="restart"/>
          </w:tcPr>
          <w:p>
            <w:pPr>
              <w:ind w:left="80"/>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tc>
        <w:tc>
          <w:tcPr>
            <w:tcW w:w="1680" w:type="dxa"/>
            <w:vAlign w:val="bottom"/>
            <w:vMerge w:val="restart"/>
          </w:tcPr>
          <w:p>
            <w:pPr>
              <w:ind w:left="80"/>
              <w:spacing w:after="0" w:line="151" w:lineRule="exact"/>
              <w:rPr>
                <w:sz w:val="20"/>
                <w:szCs w:val="20"/>
                <w:color w:val="auto"/>
              </w:rPr>
            </w:pP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r>
        <w:trPr>
          <w:trHeight w:val="221"/>
        </w:trPr>
        <w:tc>
          <w:tcPr>
            <w:tcW w:w="7300" w:type="dxa"/>
            <w:vAlign w:val="bottom"/>
            <w:gridSpan w:val="9"/>
          </w:tcPr>
          <w:p>
            <w:pPr>
              <w:spacing w:after="0"/>
              <w:rPr>
                <w:sz w:val="20"/>
                <w:szCs w:val="20"/>
                <w:color w:val="auto"/>
              </w:rPr>
            </w:pPr>
            <w:r>
              <w:rPr>
                <w:rFonts w:ascii="Arial" w:cs="Arial" w:eastAsia="Arial" w:hAnsi="Arial"/>
                <w:sz w:val="15"/>
                <w:szCs w:val="15"/>
                <w:color w:val="auto"/>
                <w:w w:val="93"/>
              </w:rPr>
              <w:t>Indicate by check mark if the Registrant is a well-known seasoned issuer, as defined in Rule 405 of the Securities Act.</w:t>
            </w:r>
          </w:p>
        </w:tc>
        <w:tc>
          <w:tcPr>
            <w:tcW w:w="860" w:type="dxa"/>
            <w:vAlign w:val="bottom"/>
            <w:vMerge w:val="continue"/>
          </w:tcPr>
          <w:p>
            <w:pPr>
              <w:spacing w:after="0"/>
              <w:rPr>
                <w:sz w:val="19"/>
                <w:szCs w:val="19"/>
                <w:color w:val="auto"/>
              </w:rPr>
            </w:pPr>
          </w:p>
        </w:tc>
        <w:tc>
          <w:tcPr>
            <w:tcW w:w="1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8160" w:type="dxa"/>
            <w:vAlign w:val="bottom"/>
            <w:gridSpan w:val="10"/>
          </w:tcPr>
          <w:p>
            <w:pPr>
              <w:spacing w:after="0"/>
              <w:rPr>
                <w:sz w:val="20"/>
                <w:szCs w:val="20"/>
                <w:color w:val="auto"/>
              </w:rPr>
            </w:pPr>
            <w:r>
              <w:rPr>
                <w:rFonts w:ascii="Arial" w:cs="Arial" w:eastAsia="Arial" w:hAnsi="Arial"/>
                <w:sz w:val="15"/>
                <w:szCs w:val="15"/>
                <w:color w:val="auto"/>
                <w:w w:val="94"/>
              </w:rPr>
              <w:t>Indicate by check mark if the Registrant is not required to file reports pursuant to Section 13 or Section 15(d) of the Exchange Act.</w:t>
            </w:r>
          </w:p>
        </w:tc>
        <w:tc>
          <w:tcPr>
            <w:tcW w:w="1680" w:type="dxa"/>
            <w:vAlign w:val="bottom"/>
          </w:tcPr>
          <w:p>
            <w:pPr>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bl>
    <w:p>
      <w:pPr>
        <w:spacing w:after="0" w:line="6" w:lineRule="exact"/>
        <w:rPr>
          <w:sz w:val="24"/>
          <w:szCs w:val="24"/>
          <w:color w:val="auto"/>
        </w:rPr>
      </w:pPr>
    </w:p>
    <w:p>
      <w:pPr>
        <w:ind w:left="380"/>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w:t>
      </w:r>
    </w:p>
    <w:p>
      <w:pPr>
        <w:sectPr>
          <w:pgSz w:w="11900" w:h="16838" w:orient="portrait"/>
          <w:cols w:equalWidth="0" w:num="1">
            <w:col w:w="11240"/>
          </w:cols>
          <w:pgMar w:left="320" w:top="382" w:right="339" w:bottom="1440" w:gutter="0" w:footer="0" w:header="0"/>
        </w:sectPr>
      </w:pPr>
    </w:p>
    <w:p>
      <w:pPr>
        <w:spacing w:after="0" w:line="33" w:lineRule="exact"/>
        <w:rPr>
          <w:sz w:val="24"/>
          <w:szCs w:val="24"/>
          <w:color w:val="auto"/>
        </w:rPr>
      </w:pPr>
    </w:p>
    <w:p>
      <w:pPr>
        <w:spacing w:after="0"/>
        <w:rPr>
          <w:sz w:val="20"/>
          <w:szCs w:val="20"/>
          <w:color w:val="auto"/>
        </w:rPr>
      </w:pPr>
      <w:r>
        <w:rPr>
          <w:rFonts w:ascii="Arial" w:cs="Arial" w:eastAsia="Arial" w:hAnsi="Arial"/>
          <w:sz w:val="13"/>
          <w:szCs w:val="13"/>
          <w:color w:val="auto"/>
        </w:rPr>
        <w:t>12 months (or for such shorter period that the Registrant was required to file such reports), and (2) has been subject to such filing requirements for the past 90 days.</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jc w:val="center"/>
        <w:ind w:right="80"/>
        <w:spacing w:after="0" w:line="141" w:lineRule="exact"/>
        <w:rPr>
          <w:sz w:val="20"/>
          <w:szCs w:val="20"/>
          <w:color w:val="auto"/>
        </w:rPr>
      </w:pPr>
      <w:r>
        <w:rPr>
          <w:rFonts w:ascii="MS PGothic" w:cs="MS PGothic" w:eastAsia="MS PGothic" w:hAnsi="MS PGothic"/>
          <w:sz w:val="14"/>
          <w:szCs w:val="14"/>
          <w:color w:val="auto"/>
        </w:rPr>
        <w:t>☐</w:t>
      </w:r>
    </w:p>
    <w:p>
      <w:pPr>
        <w:spacing w:after="0" w:line="56" w:lineRule="exact"/>
        <w:rPr>
          <w:sz w:val="24"/>
          <w:szCs w:val="24"/>
          <w:color w:val="auto"/>
        </w:rPr>
      </w:pPr>
    </w:p>
    <w:p>
      <w:pPr>
        <w:sectPr>
          <w:pgSz w:w="11900" w:h="16838" w:orient="portrait"/>
          <w:cols w:equalWidth="0" w:num="5">
            <w:col w:w="10020" w:space="160"/>
            <w:col w:w="220" w:space="60"/>
            <w:col w:w="140" w:space="160"/>
            <w:col w:w="180" w:space="80"/>
            <w:col w:w="220"/>
          </w:cols>
          <w:pgMar w:left="320" w:top="382" w:right="339" w:bottom="1440" w:gutter="0" w:footer="0" w:header="0"/>
          <w:type w:val="continuous"/>
        </w:sectPr>
      </w:pPr>
    </w:p>
    <w:p>
      <w:pPr>
        <w:ind w:left="380"/>
        <w:spacing w:after="0"/>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w:t>
      </w:r>
    </w:p>
    <w:p>
      <w:pPr>
        <w:sectPr>
          <w:pgSz w:w="11900" w:h="16838" w:orient="portrait"/>
          <w:cols w:equalWidth="0" w:num="1">
            <w:col w:w="11240"/>
          </w:cols>
          <w:pgMar w:left="320" w:top="382" w:right="3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3"/>
          <w:szCs w:val="13"/>
          <w:color w:val="auto"/>
        </w:rPr>
        <w:t>(§232.405 of this chapter) during the preceding 12 months (or for such shorter period that the Registrant was required to submit such files).</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71" w:lineRule="exact"/>
        <w:rPr>
          <w:sz w:val="24"/>
          <w:szCs w:val="24"/>
          <w:color w:val="auto"/>
        </w:rPr>
      </w:pPr>
    </w:p>
    <w:p>
      <w:pPr>
        <w:sectPr>
          <w:pgSz w:w="11900" w:h="16838" w:orient="portrait"/>
          <w:cols w:equalWidth="0" w:num="5">
            <w:col w:w="8520" w:space="160"/>
            <w:col w:w="220" w:space="80"/>
            <w:col w:w="140" w:space="140"/>
            <w:col w:w="200" w:space="80"/>
            <w:col w:w="1700"/>
          </w:cols>
          <w:pgMar w:left="320" w:top="382" w:right="339" w:bottom="1440" w:gutter="0" w:footer="0" w:header="0"/>
          <w:type w:val="continuous"/>
        </w:sectPr>
      </w:pPr>
    </w:p>
    <w:p>
      <w:pPr>
        <w:ind w:right="20" w:firstLine="374"/>
        <w:spacing w:after="0" w:line="27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440" w:type="dxa"/>
            <w:vAlign w:val="bottom"/>
          </w:tcPr>
          <w:p>
            <w:pPr>
              <w:ind w:left="500"/>
              <w:spacing w:after="0" w:line="151" w:lineRule="exact"/>
              <w:rPr>
                <w:sz w:val="20"/>
                <w:szCs w:val="20"/>
                <w:color w:val="auto"/>
              </w:rPr>
            </w:pPr>
            <w:r>
              <w:rPr>
                <w:rFonts w:ascii="MS PGothic" w:cs="MS PGothic" w:eastAsia="MS PGothic" w:hAnsi="MS PGothic"/>
                <w:sz w:val="15"/>
                <w:szCs w:val="15"/>
                <w:color w:val="auto"/>
              </w:rPr>
              <w:t>☐</w:t>
            </w:r>
          </w:p>
        </w:tc>
        <w:tc>
          <w:tcPr>
            <w:tcW w:w="4980" w:type="dxa"/>
            <w:vAlign w:val="bottom"/>
          </w:tcPr>
          <w:p>
            <w:pPr>
              <w:ind w:left="2800"/>
              <w:spacing w:after="0"/>
              <w:rPr>
                <w:sz w:val="20"/>
                <w:szCs w:val="20"/>
                <w:color w:val="auto"/>
              </w:rPr>
            </w:pPr>
            <w:r>
              <w:rPr>
                <w:rFonts w:ascii="Arial" w:cs="Arial" w:eastAsia="Arial" w:hAnsi="Arial"/>
                <w:sz w:val="15"/>
                <w:szCs w:val="15"/>
                <w:color w:val="auto"/>
              </w:rPr>
              <w:t>Accelerated filer</w:t>
            </w:r>
          </w:p>
        </w:tc>
        <w:tc>
          <w:tcPr>
            <w:tcW w:w="580" w:type="dxa"/>
            <w:vAlign w:val="bottom"/>
          </w:tcPr>
          <w:p>
            <w:pPr>
              <w:ind w:left="4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16"/>
        </w:trPr>
        <w:tc>
          <w:tcPr>
            <w:tcW w:w="1880" w:type="dxa"/>
            <w:vAlign w:val="bottom"/>
          </w:tcPr>
          <w:p>
            <w:pPr>
              <w:spacing w:after="0"/>
              <w:rPr>
                <w:sz w:val="20"/>
                <w:szCs w:val="20"/>
                <w:color w:val="auto"/>
              </w:rPr>
            </w:pPr>
            <w:r>
              <w:rPr>
                <w:rFonts w:ascii="Arial" w:cs="Arial" w:eastAsia="Arial" w:hAnsi="Arial"/>
                <w:sz w:val="15"/>
                <w:szCs w:val="15"/>
                <w:color w:val="auto"/>
              </w:rPr>
              <w:t>Non-accelerated filer</w:t>
            </w:r>
          </w:p>
        </w:tc>
        <w:tc>
          <w:tcPr>
            <w:tcW w:w="3440" w:type="dxa"/>
            <w:vAlign w:val="bottom"/>
          </w:tcPr>
          <w:p>
            <w:pPr>
              <w:ind w:left="500"/>
              <w:spacing w:after="0" w:line="151" w:lineRule="exact"/>
              <w:rPr>
                <w:sz w:val="20"/>
                <w:szCs w:val="20"/>
                <w:color w:val="auto"/>
              </w:rPr>
            </w:pPr>
            <w:r>
              <w:rPr>
                <w:rFonts w:ascii="MS PGothic" w:cs="MS PGothic" w:eastAsia="MS PGothic" w:hAnsi="MS PGothic"/>
                <w:sz w:val="15"/>
                <w:szCs w:val="15"/>
                <w:color w:val="auto"/>
              </w:rPr>
              <w:t>☐</w:t>
            </w:r>
          </w:p>
        </w:tc>
        <w:tc>
          <w:tcPr>
            <w:tcW w:w="4980" w:type="dxa"/>
            <w:vAlign w:val="bottom"/>
          </w:tcPr>
          <w:p>
            <w:pPr>
              <w:ind w:left="2800"/>
              <w:spacing w:after="0"/>
              <w:rPr>
                <w:sz w:val="20"/>
                <w:szCs w:val="20"/>
                <w:color w:val="auto"/>
              </w:rPr>
            </w:pPr>
            <w:r>
              <w:rPr>
                <w:rFonts w:ascii="Arial" w:cs="Arial" w:eastAsia="Arial" w:hAnsi="Arial"/>
                <w:sz w:val="15"/>
                <w:szCs w:val="15"/>
                <w:color w:val="auto"/>
              </w:rPr>
              <w:t>Smaller reporting company</w:t>
            </w:r>
          </w:p>
        </w:tc>
        <w:tc>
          <w:tcPr>
            <w:tcW w:w="580" w:type="dxa"/>
            <w:vAlign w:val="bottom"/>
          </w:tcPr>
          <w:p>
            <w:pPr>
              <w:ind w:left="4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0"/>
        </w:trPr>
        <w:tc>
          <w:tcPr>
            <w:tcW w:w="18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4980" w:type="dxa"/>
            <w:vAlign w:val="bottom"/>
          </w:tcPr>
          <w:p>
            <w:pPr>
              <w:ind w:left="2800"/>
              <w:spacing w:after="0"/>
              <w:rPr>
                <w:sz w:val="20"/>
                <w:szCs w:val="20"/>
                <w:color w:val="auto"/>
              </w:rPr>
            </w:pPr>
            <w:r>
              <w:rPr>
                <w:rFonts w:ascii="Arial" w:cs="Arial" w:eastAsia="Arial" w:hAnsi="Arial"/>
                <w:sz w:val="15"/>
                <w:szCs w:val="15"/>
                <w:color w:val="auto"/>
              </w:rPr>
              <w:t>Emerging Growth Company</w:t>
            </w:r>
          </w:p>
        </w:tc>
        <w:tc>
          <w:tcPr>
            <w:tcW w:w="580" w:type="dxa"/>
            <w:vAlign w:val="bottom"/>
          </w:tcPr>
          <w:p>
            <w:pPr>
              <w:ind w:left="44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60" w:lineRule="exact"/>
        <w:rPr>
          <w:sz w:val="24"/>
          <w:szCs w:val="24"/>
          <w:color w:val="auto"/>
        </w:rPr>
      </w:pPr>
    </w:p>
    <w:p>
      <w:pPr>
        <w:ind w:right="180" w:firstLine="374"/>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6" w:lineRule="exact"/>
        <w:rPr>
          <w:sz w:val="24"/>
          <w:szCs w:val="24"/>
          <w:color w:val="auto"/>
        </w:rPr>
      </w:pPr>
    </w:p>
    <w:p>
      <w:pPr>
        <w:ind w:right="400" w:firstLine="374"/>
        <w:spacing w:after="0" w:line="193"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MS PGothic" w:cs="MS PGothic" w:eastAsia="MS PGothic" w:hAnsi="MS PGothic"/>
          <w:sz w:val="14"/>
          <w:szCs w:val="14"/>
          <w:color w:val="auto"/>
        </w:rPr>
        <w:t>☒</w:t>
      </w:r>
    </w:p>
    <w:p>
      <w:pPr>
        <w:spacing w:after="0" w:line="6" w:lineRule="exact"/>
        <w:rPr>
          <w:sz w:val="24"/>
          <w:szCs w:val="24"/>
          <w:color w:val="auto"/>
        </w:rPr>
      </w:pPr>
    </w:p>
    <w:p>
      <w:pPr>
        <w:ind w:right="540" w:firstLine="374"/>
        <w:spacing w:after="0" w:line="193" w:lineRule="exact"/>
        <w:rPr>
          <w:sz w:val="20"/>
          <w:szCs w:val="20"/>
          <w:color w:val="auto"/>
        </w:rPr>
      </w:pPr>
      <w:r>
        <w:rPr>
          <w:rFonts w:ascii="Arial" w:cs="Arial" w:eastAsia="Arial" w:hAnsi="Arial"/>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1" w:lineRule="exact"/>
        <w:rPr>
          <w:sz w:val="24"/>
          <w:szCs w:val="24"/>
          <w:color w:val="auto"/>
        </w:rPr>
      </w:pPr>
    </w:p>
    <w:p>
      <w:pPr>
        <w:ind w:right="560" w:firstLine="374"/>
        <w:spacing w:after="0" w:line="180" w:lineRule="exact"/>
        <w:rPr>
          <w:sz w:val="20"/>
          <w:szCs w:val="20"/>
          <w:color w:val="auto"/>
        </w:rPr>
      </w:pPr>
      <w:r>
        <w:rPr>
          <w:rFonts w:ascii="Arial" w:cs="Arial" w:eastAsia="Arial" w:hAnsi="Arial"/>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w:t>
      </w:r>
      <w:r>
        <w:rPr>
          <w:rFonts w:ascii="Arial" w:cs="Arial" w:eastAsia="Arial" w:hAnsi="Arial"/>
          <w:sz w:val="14"/>
          <w:szCs w:val="14"/>
          <w:color w:val="auto"/>
        </w:rPr>
        <w:t>§240.10D-1(b).</w:t>
      </w:r>
      <w:r>
        <w:rPr>
          <w:rFonts w:ascii="Arial" w:cs="Arial" w:eastAsia="Arial" w:hAnsi="Arial"/>
          <w:sz w:val="15"/>
          <w:szCs w:val="15"/>
          <w:color w:val="auto"/>
        </w:rPr>
        <w:t xml:space="preserve"> </w:t>
      </w:r>
      <w:r>
        <w:rPr>
          <w:rFonts w:ascii="MS PGothic" w:cs="MS PGothic" w:eastAsia="MS PGothic" w:hAnsi="MS PGothic"/>
          <w:sz w:val="14"/>
          <w:szCs w:val="14"/>
          <w:color w:val="auto"/>
        </w:rPr>
        <w:t>☐</w:t>
      </w:r>
    </w:p>
    <w:p>
      <w:pPr>
        <w:spacing w:after="0" w:line="1" w:lineRule="exact"/>
        <w:rPr>
          <w:sz w:val="24"/>
          <w:szCs w:val="24"/>
          <w:color w:val="auto"/>
        </w:rPr>
      </w:pPr>
    </w:p>
    <w:p>
      <w:pPr>
        <w:ind w:left="380"/>
        <w:spacing w:after="0" w:line="173" w:lineRule="exact"/>
        <w:tabs>
          <w:tab w:leader="none" w:pos="7520" w:val="left"/>
          <w:tab w:leader="none" w:pos="810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tab/>
        <w:t xml:space="preserve">Yes </w:t>
      </w:r>
      <w:r>
        <w:rPr>
          <w:rFonts w:ascii="MS PGothic" w:cs="MS PGothic" w:eastAsia="MS PGothic" w:hAnsi="MS PGothic"/>
          <w:sz w:val="15"/>
          <w:szCs w:val="15"/>
          <w:color w:val="auto"/>
        </w:rPr>
        <w:t>☐</w:t>
      </w:r>
      <w:r>
        <w:rPr>
          <w:rFonts w:ascii="Arial" w:cs="Arial" w:eastAsia="Arial" w:hAnsi="Arial"/>
          <w:sz w:val="15"/>
          <w:szCs w:val="15"/>
          <w:color w:val="auto"/>
        </w:rPr>
        <w:tab/>
        <w:t xml:space="preserve">No </w:t>
      </w:r>
      <w:r>
        <w:rPr>
          <w:rFonts w:ascii="MS PGothic" w:cs="MS PGothic" w:eastAsia="MS PGothic" w:hAnsi="MS PGothic"/>
          <w:sz w:val="15"/>
          <w:szCs w:val="15"/>
          <w:color w:val="auto"/>
        </w:rPr>
        <w:t>☒</w:t>
      </w:r>
    </w:p>
    <w:p>
      <w:pPr>
        <w:spacing w:after="0" w:line="67" w:lineRule="exact"/>
        <w:rPr>
          <w:sz w:val="24"/>
          <w:szCs w:val="24"/>
          <w:color w:val="auto"/>
        </w:rPr>
      </w:pPr>
    </w:p>
    <w:p>
      <w:pPr>
        <w:ind w:right="220" w:firstLine="374"/>
        <w:spacing w:after="0"/>
        <w:rPr>
          <w:sz w:val="20"/>
          <w:szCs w:val="20"/>
          <w:color w:val="auto"/>
        </w:rPr>
      </w:pPr>
      <w:r>
        <w:rPr>
          <w:rFonts w:ascii="Arial" w:cs="Arial" w:eastAsia="Arial" w:hAnsi="Arial"/>
          <w:sz w:val="15"/>
          <w:szCs w:val="15"/>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(June 30, 2022)</w:t>
      </w:r>
      <w:r>
        <w:rPr>
          <w:rFonts w:ascii="Arial" w:cs="Arial" w:eastAsia="Arial" w:hAnsi="Arial"/>
          <w:sz w:val="15"/>
          <w:szCs w:val="15"/>
          <w:b w:val="1"/>
          <w:bCs w:val="1"/>
          <w:color w:val="auto"/>
        </w:rPr>
        <w:t>:</w:t>
      </w:r>
      <w:r>
        <w:rPr>
          <w:rFonts w:ascii="Arial" w:cs="Arial" w:eastAsia="Arial" w:hAnsi="Arial"/>
          <w:sz w:val="15"/>
          <w:szCs w:val="15"/>
          <w:color w:val="auto"/>
        </w:rPr>
        <w:t xml:space="preserve"> $197,743,692</w:t>
      </w:r>
    </w:p>
    <w:p>
      <w:pPr>
        <w:spacing w:after="0" w:line="1" w:lineRule="exact"/>
        <w:rPr>
          <w:sz w:val="24"/>
          <w:szCs w:val="24"/>
          <w:color w:val="auto"/>
        </w:rPr>
      </w:pPr>
    </w:p>
    <w:p>
      <w:pPr>
        <w:ind w:left="380"/>
        <w:spacing w:after="0"/>
        <w:rPr>
          <w:sz w:val="20"/>
          <w:szCs w:val="20"/>
          <w:color w:val="auto"/>
        </w:rPr>
      </w:pPr>
      <w:r>
        <w:rPr>
          <w:rFonts w:ascii="Arial" w:cs="Arial" w:eastAsia="Arial" w:hAnsi="Arial"/>
          <w:sz w:val="15"/>
          <w:szCs w:val="15"/>
          <w:color w:val="auto"/>
        </w:rPr>
        <w:t>Indicate the number of shares outstanding of each of the Registrant’s classes of common stock, as of February 24, 2023: 73,244,807 shares.</w:t>
      </w:r>
    </w:p>
    <w:p>
      <w:pPr>
        <w:spacing w:after="0" w:line="21" w:lineRule="exact"/>
        <w:rPr>
          <w:sz w:val="24"/>
          <w:szCs w:val="24"/>
          <w:color w:val="auto"/>
        </w:rPr>
      </w:pPr>
    </w:p>
    <w:p>
      <w:pPr>
        <w:ind w:left="4320"/>
        <w:spacing w:after="0"/>
        <w:rPr>
          <w:sz w:val="20"/>
          <w:szCs w:val="20"/>
          <w:color w:val="auto"/>
        </w:rPr>
      </w:pPr>
      <w:r>
        <w:rPr>
          <w:rFonts w:ascii="Arial" w:cs="Arial" w:eastAsia="Arial" w:hAnsi="Arial"/>
          <w:sz w:val="15"/>
          <w:szCs w:val="15"/>
          <w:b w:val="1"/>
          <w:bCs w:val="1"/>
          <w:color w:val="auto"/>
        </w:rPr>
        <w:t>Documents Incorporated by Reference:</w:t>
      </w:r>
    </w:p>
    <w:p>
      <w:pPr>
        <w:spacing w:after="0" w:line="34" w:lineRule="exact"/>
        <w:rPr>
          <w:sz w:val="24"/>
          <w:szCs w:val="24"/>
          <w:color w:val="auto"/>
        </w:rPr>
      </w:pPr>
    </w:p>
    <w:p>
      <w:pPr>
        <w:ind w:right="100" w:firstLine="374"/>
        <w:spacing w:after="0" w:line="266" w:lineRule="auto"/>
        <w:rPr>
          <w:sz w:val="20"/>
          <w:szCs w:val="20"/>
          <w:color w:val="auto"/>
        </w:rPr>
      </w:pPr>
      <w:r>
        <w:rPr>
          <w:rFonts w:ascii="Arial" w:cs="Arial" w:eastAsia="Arial" w:hAnsi="Arial"/>
          <w:sz w:val="14"/>
          <w:szCs w:val="14"/>
          <w:color w:val="auto"/>
        </w:rPr>
        <w:t>Part III of this Annual Report on Form 10-K will be incorporated by reference from certain portions of the Registrant's Definitive Proxy Statement for its 2023 Annual Meeting of Shareholders, or will be included in an amendment hereto, to be filed not later than 120 days after the close of the fiscal year ended December 31, 2022. Except with respect to information specifically incorporated by reference in the Annual Report on Form 10-K, the Definitive Proxy Statement is not deemed to be filed as part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880" w:type="dxa"/>
            <w:vAlign w:val="bottom"/>
            <w:gridSpan w:val="16"/>
          </w:tcPr>
          <w:p>
            <w:pPr>
              <w:jc w:val="center"/>
              <w:ind w:right="3560"/>
              <w:spacing w:after="0"/>
              <w:rPr>
                <w:sz w:val="20"/>
                <w:szCs w:val="20"/>
                <w:color w:val="auto"/>
              </w:rPr>
            </w:pPr>
            <w:r>
              <w:rPr>
                <w:rFonts w:ascii="Arial" w:cs="Arial" w:eastAsia="Arial" w:hAnsi="Arial"/>
                <w:sz w:val="18"/>
                <w:szCs w:val="18"/>
                <w:b w:val="1"/>
                <w:bCs w:val="1"/>
                <w:color w:val="auto"/>
                <w:w w:val="89"/>
              </w:rPr>
              <w:t>Table of Contents</w:t>
            </w:r>
          </w:p>
        </w:tc>
        <w:tc>
          <w:tcPr>
            <w:tcW w:w="900" w:type="dxa"/>
            <w:vAlign w:val="bottom"/>
          </w:tcPr>
          <w:p>
            <w:pPr>
              <w:spacing w:after="0"/>
              <w:rPr>
                <w:sz w:val="20"/>
                <w:szCs w:val="20"/>
                <w:color w:val="auto"/>
              </w:rPr>
            </w:pPr>
          </w:p>
        </w:tc>
      </w:tr>
      <w:tr>
        <w:trPr>
          <w:trHeight w:val="432"/>
        </w:trPr>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0" w:type="dxa"/>
            <w:vAlign w:val="bottom"/>
            <w:gridSpan w:val="12"/>
          </w:tcPr>
          <w:p>
            <w:pPr>
              <w:jc w:val="center"/>
              <w:ind w:right="4380"/>
              <w:spacing w:after="0"/>
              <w:rPr>
                <w:sz w:val="20"/>
                <w:szCs w:val="20"/>
                <w:color w:val="auto"/>
              </w:rPr>
            </w:pPr>
            <w:r>
              <w:rPr>
                <w:rFonts w:ascii="Arial" w:cs="Arial" w:eastAsia="Arial" w:hAnsi="Arial"/>
                <w:sz w:val="18"/>
                <w:szCs w:val="18"/>
                <w:color w:val="0000FF"/>
                <w:w w:val="92"/>
              </w:rPr>
              <w:t>PART I</w:t>
            </w:r>
          </w:p>
        </w:tc>
        <w:tc>
          <w:tcPr>
            <w:tcW w:w="900" w:type="dxa"/>
            <w:vAlign w:val="bottom"/>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Page</w:t>
            </w:r>
          </w:p>
        </w:tc>
      </w:tr>
      <w:tr>
        <w:trPr>
          <w:trHeight w:val="372"/>
        </w:trPr>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9200" w:type="dxa"/>
            <w:vAlign w:val="bottom"/>
            <w:gridSpan w:val="26"/>
          </w:tcPr>
          <w:p>
            <w:pPr>
              <w:spacing w:after="0"/>
              <w:rPr>
                <w:sz w:val="20"/>
                <w:szCs w:val="20"/>
                <w:color w:val="auto"/>
              </w:rPr>
            </w:pPr>
            <w:r>
              <w:rPr>
                <w:rFonts w:ascii="Arial" w:cs="Arial" w:eastAsia="Arial" w:hAnsi="Arial"/>
                <w:sz w:val="18"/>
                <w:szCs w:val="18"/>
                <w:color w:val="0000FF"/>
              </w:rPr>
              <w:t>Business</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1</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ITEM 1A.</w:t>
            </w:r>
          </w:p>
        </w:tc>
        <w:tc>
          <w:tcPr>
            <w:tcW w:w="9200" w:type="dxa"/>
            <w:vAlign w:val="bottom"/>
            <w:gridSpan w:val="26"/>
          </w:tcPr>
          <w:p>
            <w:pPr>
              <w:spacing w:after="0"/>
              <w:rPr>
                <w:sz w:val="20"/>
                <w:szCs w:val="20"/>
                <w:color w:val="auto"/>
              </w:rPr>
            </w:pPr>
            <w:r>
              <w:rPr>
                <w:rFonts w:ascii="Arial" w:cs="Arial" w:eastAsia="Arial" w:hAnsi="Arial"/>
                <w:sz w:val="18"/>
                <w:szCs w:val="18"/>
                <w:color w:val="0000FF"/>
              </w:rPr>
              <w:t>Risk Factors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20</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ITEM 1B.</w:t>
            </w:r>
          </w:p>
        </w:tc>
        <w:tc>
          <w:tcPr>
            <w:tcW w:w="9200" w:type="dxa"/>
            <w:vAlign w:val="bottom"/>
            <w:gridSpan w:val="26"/>
          </w:tcPr>
          <w:p>
            <w:pPr>
              <w:spacing w:after="0"/>
              <w:rPr>
                <w:sz w:val="20"/>
                <w:szCs w:val="20"/>
                <w:color w:val="auto"/>
              </w:rPr>
            </w:pPr>
            <w:r>
              <w:rPr>
                <w:rFonts w:ascii="Arial" w:cs="Arial" w:eastAsia="Arial" w:hAnsi="Arial"/>
                <w:sz w:val="18"/>
                <w:szCs w:val="18"/>
                <w:color w:val="0000FF"/>
              </w:rPr>
              <w:t>Unresolved Staff Comments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50</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ITEM 2.</w:t>
            </w:r>
          </w:p>
        </w:tc>
        <w:tc>
          <w:tcPr>
            <w:tcW w:w="9200" w:type="dxa"/>
            <w:vAlign w:val="bottom"/>
            <w:gridSpan w:val="26"/>
          </w:tcPr>
          <w:p>
            <w:pPr>
              <w:spacing w:after="0"/>
              <w:rPr>
                <w:sz w:val="20"/>
                <w:szCs w:val="20"/>
                <w:color w:val="auto"/>
              </w:rPr>
            </w:pPr>
            <w:r>
              <w:rPr>
                <w:rFonts w:ascii="Arial" w:cs="Arial" w:eastAsia="Arial" w:hAnsi="Arial"/>
                <w:sz w:val="18"/>
                <w:szCs w:val="18"/>
                <w:color w:val="0000FF"/>
              </w:rPr>
              <w:t>Properties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50</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EE"/>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ITEM 3.</w:t>
            </w:r>
          </w:p>
        </w:tc>
        <w:tc>
          <w:tcPr>
            <w:tcW w:w="9200" w:type="dxa"/>
            <w:vAlign w:val="bottom"/>
            <w:gridSpan w:val="26"/>
          </w:tcPr>
          <w:p>
            <w:pPr>
              <w:spacing w:after="0"/>
              <w:rPr>
                <w:sz w:val="20"/>
                <w:szCs w:val="20"/>
                <w:color w:val="auto"/>
              </w:rPr>
            </w:pPr>
            <w:r>
              <w:rPr>
                <w:rFonts w:ascii="Arial" w:cs="Arial" w:eastAsia="Arial" w:hAnsi="Arial"/>
                <w:sz w:val="18"/>
                <w:szCs w:val="18"/>
                <w:color w:val="0000FF"/>
              </w:rPr>
              <w:t>Legal Proceedings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51</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ITEM 4.</w:t>
            </w:r>
          </w:p>
        </w:tc>
        <w:tc>
          <w:tcPr>
            <w:tcW w:w="9200" w:type="dxa"/>
            <w:vAlign w:val="bottom"/>
            <w:gridSpan w:val="26"/>
          </w:tcPr>
          <w:p>
            <w:pPr>
              <w:spacing w:after="0"/>
              <w:rPr>
                <w:sz w:val="20"/>
                <w:szCs w:val="20"/>
                <w:color w:val="auto"/>
              </w:rPr>
            </w:pPr>
            <w:r>
              <w:rPr>
                <w:rFonts w:ascii="Arial" w:cs="Arial" w:eastAsia="Arial" w:hAnsi="Arial"/>
                <w:sz w:val="18"/>
                <w:szCs w:val="18"/>
                <w:color w:val="0000FF"/>
              </w:rPr>
              <w:t>Mine Safety Disclosures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51</w:t>
            </w:r>
          </w:p>
        </w:tc>
      </w:tr>
      <w:tr>
        <w:trPr>
          <w:trHeight w:val="344"/>
        </w:trPr>
        <w:tc>
          <w:tcPr>
            <w:tcW w:w="110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0" w:type="dxa"/>
            <w:vAlign w:val="bottom"/>
            <w:gridSpan w:val="12"/>
          </w:tcPr>
          <w:p>
            <w:pPr>
              <w:jc w:val="center"/>
              <w:ind w:right="4400"/>
              <w:spacing w:after="0"/>
              <w:rPr>
                <w:sz w:val="20"/>
                <w:szCs w:val="20"/>
                <w:color w:val="auto"/>
              </w:rPr>
            </w:pPr>
            <w:r>
              <w:rPr>
                <w:rFonts w:ascii="Arial" w:cs="Arial" w:eastAsia="Arial" w:hAnsi="Arial"/>
                <w:sz w:val="18"/>
                <w:szCs w:val="18"/>
                <w:color w:val="0000FF"/>
                <w:w w:val="95"/>
              </w:rPr>
              <w:t>PART II</w:t>
            </w:r>
          </w:p>
        </w:tc>
        <w:tc>
          <w:tcPr>
            <w:tcW w:w="90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8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58"/>
        </w:trPr>
        <w:tc>
          <w:tcPr>
            <w:tcW w:w="1100" w:type="dxa"/>
            <w:vAlign w:val="bottom"/>
          </w:tcPr>
          <w:p>
            <w:pPr>
              <w:spacing w:after="0"/>
              <w:rPr>
                <w:sz w:val="20"/>
                <w:szCs w:val="20"/>
                <w:color w:val="auto"/>
              </w:rPr>
            </w:pPr>
            <w:r>
              <w:rPr>
                <w:rFonts w:ascii="Arial" w:cs="Arial" w:eastAsia="Arial" w:hAnsi="Arial"/>
                <w:sz w:val="18"/>
                <w:szCs w:val="18"/>
                <w:color w:val="auto"/>
              </w:rPr>
              <w:t>ITEM 5.</w:t>
            </w:r>
          </w:p>
        </w:tc>
        <w:tc>
          <w:tcPr>
            <w:tcW w:w="9200" w:type="dxa"/>
            <w:vAlign w:val="bottom"/>
            <w:gridSpan w:val="26"/>
          </w:tcPr>
          <w:p>
            <w:pPr>
              <w:spacing w:after="0"/>
              <w:rPr>
                <w:sz w:val="20"/>
                <w:szCs w:val="20"/>
                <w:color w:val="auto"/>
              </w:rPr>
            </w:pPr>
            <w:r>
              <w:rPr>
                <w:rFonts w:ascii="Arial" w:cs="Arial" w:eastAsia="Arial" w:hAnsi="Arial"/>
                <w:sz w:val="18"/>
                <w:szCs w:val="18"/>
                <w:color w:val="0000FF"/>
              </w:rPr>
              <w:t>Market for Registrant’s Common Equity, Related Stockholder Matters and Issuer Purchases of Equity Securities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52</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ITEM 6.</w:t>
            </w:r>
          </w:p>
        </w:tc>
        <w:tc>
          <w:tcPr>
            <w:tcW w:w="9200" w:type="dxa"/>
            <w:vAlign w:val="bottom"/>
            <w:gridSpan w:val="26"/>
          </w:tcPr>
          <w:p>
            <w:pPr>
              <w:spacing w:after="0"/>
              <w:rPr>
                <w:sz w:val="20"/>
                <w:szCs w:val="20"/>
                <w:color w:val="auto"/>
              </w:rPr>
            </w:pPr>
            <w:r>
              <w:rPr>
                <w:rFonts w:ascii="Arial" w:cs="Arial" w:eastAsia="Arial" w:hAnsi="Arial"/>
                <w:sz w:val="18"/>
                <w:szCs w:val="18"/>
                <w:color w:val="0000FF"/>
              </w:rPr>
              <w:t>Reserved</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53</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EE"/>
            </w:tcBorders>
            <w:gridSpan w:val="2"/>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91"/>
        </w:trPr>
        <w:tc>
          <w:tcPr>
            <w:tcW w:w="1100" w:type="dxa"/>
            <w:vAlign w:val="bottom"/>
          </w:tcPr>
          <w:p>
            <w:pPr>
              <w:spacing w:after="0"/>
              <w:rPr>
                <w:sz w:val="20"/>
                <w:szCs w:val="20"/>
                <w:color w:val="auto"/>
              </w:rPr>
            </w:pPr>
            <w:r>
              <w:rPr>
                <w:rFonts w:ascii="Arial" w:cs="Arial" w:eastAsia="Arial" w:hAnsi="Arial"/>
                <w:sz w:val="18"/>
                <w:szCs w:val="18"/>
                <w:color w:val="auto"/>
              </w:rPr>
              <w:t>ITEM 7.</w:t>
            </w:r>
          </w:p>
        </w:tc>
        <w:tc>
          <w:tcPr>
            <w:tcW w:w="9200" w:type="dxa"/>
            <w:vAlign w:val="bottom"/>
            <w:gridSpan w:val="26"/>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54</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ITEM 7A.</w:t>
            </w:r>
          </w:p>
        </w:tc>
        <w:tc>
          <w:tcPr>
            <w:tcW w:w="9200" w:type="dxa"/>
            <w:vAlign w:val="bottom"/>
            <w:gridSpan w:val="26"/>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63</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ITEM 8.</w:t>
            </w:r>
          </w:p>
        </w:tc>
        <w:tc>
          <w:tcPr>
            <w:tcW w:w="9200" w:type="dxa"/>
            <w:vAlign w:val="bottom"/>
            <w:gridSpan w:val="26"/>
          </w:tcPr>
          <w:p>
            <w:pPr>
              <w:spacing w:after="0"/>
              <w:rPr>
                <w:sz w:val="20"/>
                <w:szCs w:val="20"/>
                <w:color w:val="auto"/>
              </w:rPr>
            </w:pPr>
            <w:r>
              <w:rPr>
                <w:rFonts w:ascii="Arial" w:cs="Arial" w:eastAsia="Arial" w:hAnsi="Arial"/>
                <w:sz w:val="18"/>
                <w:szCs w:val="18"/>
                <w:color w:val="0000FF"/>
              </w:rPr>
              <w:t>Financial Statements and Supplementary Data</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63</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ITEM 9.</w:t>
            </w:r>
          </w:p>
        </w:tc>
        <w:tc>
          <w:tcPr>
            <w:tcW w:w="9200" w:type="dxa"/>
            <w:vAlign w:val="bottom"/>
            <w:gridSpan w:val="26"/>
          </w:tcPr>
          <w:p>
            <w:pPr>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63</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60" w:type="dxa"/>
            <w:vAlign w:val="bottom"/>
            <w:gridSpan w:val="6"/>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ITEM 9A.</w:t>
            </w:r>
          </w:p>
        </w:tc>
        <w:tc>
          <w:tcPr>
            <w:tcW w:w="9200" w:type="dxa"/>
            <w:vAlign w:val="bottom"/>
            <w:gridSpan w:val="26"/>
          </w:tcPr>
          <w:p>
            <w:pPr>
              <w:spacing w:after="0"/>
              <w:rPr>
                <w:sz w:val="20"/>
                <w:szCs w:val="20"/>
                <w:color w:val="auto"/>
              </w:rPr>
            </w:pPr>
            <w:r>
              <w:rPr>
                <w:rFonts w:ascii="Arial" w:cs="Arial" w:eastAsia="Arial" w:hAnsi="Arial"/>
                <w:sz w:val="18"/>
                <w:szCs w:val="18"/>
                <w:color w:val="0000FF"/>
              </w:rPr>
              <w:t>Controls and Procedures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63</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ITEM 9B.</w:t>
            </w:r>
          </w:p>
        </w:tc>
        <w:tc>
          <w:tcPr>
            <w:tcW w:w="9200" w:type="dxa"/>
            <w:vAlign w:val="bottom"/>
            <w:gridSpan w:val="26"/>
          </w:tcPr>
          <w:p>
            <w:pPr>
              <w:spacing w:after="0"/>
              <w:rPr>
                <w:sz w:val="20"/>
                <w:szCs w:val="20"/>
                <w:color w:val="auto"/>
              </w:rPr>
            </w:pPr>
            <w:r>
              <w:rPr>
                <w:rFonts w:ascii="Arial" w:cs="Arial" w:eastAsia="Arial" w:hAnsi="Arial"/>
                <w:sz w:val="18"/>
                <w:szCs w:val="18"/>
                <w:color w:val="0000FF"/>
              </w:rPr>
              <w:t>Other Information</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65</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7"/>
        </w:trPr>
        <w:tc>
          <w:tcPr>
            <w:tcW w:w="1100" w:type="dxa"/>
            <w:vAlign w:val="bottom"/>
          </w:tcPr>
          <w:p>
            <w:pPr>
              <w:spacing w:after="0"/>
              <w:rPr>
                <w:sz w:val="20"/>
                <w:szCs w:val="20"/>
                <w:color w:val="auto"/>
              </w:rPr>
            </w:pPr>
            <w:r>
              <w:rPr>
                <w:rFonts w:ascii="Arial" w:cs="Arial" w:eastAsia="Arial" w:hAnsi="Arial"/>
                <w:sz w:val="18"/>
                <w:szCs w:val="18"/>
                <w:color w:val="auto"/>
              </w:rPr>
              <w:t>ITEM 9C.</w:t>
            </w:r>
          </w:p>
        </w:tc>
        <w:tc>
          <w:tcPr>
            <w:tcW w:w="9200" w:type="dxa"/>
            <w:vAlign w:val="bottom"/>
            <w:gridSpan w:val="26"/>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65</w:t>
            </w:r>
          </w:p>
        </w:tc>
      </w:tr>
      <w:tr>
        <w:trPr>
          <w:trHeight w:val="344"/>
        </w:trPr>
        <w:tc>
          <w:tcPr>
            <w:tcW w:w="110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60" w:type="dxa"/>
            <w:vAlign w:val="bottom"/>
            <w:tcBorders>
              <w:top w:val="single" w:sz="8" w:color="0000FF"/>
              <w:bottom w:val="single" w:sz="8" w:color="0000FF"/>
            </w:tcBorders>
            <w:gridSpan w:val="6"/>
          </w:tcPr>
          <w:p>
            <w:pPr>
              <w:jc w:val="center"/>
              <w:spacing w:after="0"/>
              <w:rPr>
                <w:sz w:val="20"/>
                <w:szCs w:val="20"/>
                <w:color w:val="auto"/>
              </w:rPr>
            </w:pPr>
            <w:r>
              <w:rPr>
                <w:rFonts w:ascii="Arial" w:cs="Arial" w:eastAsia="Arial" w:hAnsi="Arial"/>
                <w:sz w:val="18"/>
                <w:szCs w:val="18"/>
                <w:color w:val="0000FF"/>
                <w:w w:val="96"/>
              </w:rPr>
              <w:t>PART III</w:t>
            </w:r>
          </w:p>
        </w:tc>
        <w:tc>
          <w:tcPr>
            <w:tcW w:w="100" w:type="dxa"/>
            <w:vAlign w:val="bottom"/>
            <w:tcBorders>
              <w:top w:val="single" w:sz="8" w:color="0000FF"/>
            </w:tcBorders>
          </w:tcPr>
          <w:p>
            <w:pPr>
              <w:spacing w:after="0"/>
              <w:rPr>
                <w:sz w:val="24"/>
                <w:szCs w:val="24"/>
                <w:color w:val="auto"/>
              </w:rPr>
            </w:pPr>
          </w:p>
        </w:tc>
        <w:tc>
          <w:tcPr>
            <w:tcW w:w="4260" w:type="dxa"/>
            <w:vAlign w:val="bottom"/>
            <w:gridSpan w:val="6"/>
          </w:tcPr>
          <w:p>
            <w:pPr>
              <w:spacing w:after="0"/>
              <w:rPr>
                <w:sz w:val="24"/>
                <w:szCs w:val="24"/>
                <w:color w:val="auto"/>
              </w:rPr>
            </w:pPr>
          </w:p>
        </w:tc>
        <w:tc>
          <w:tcPr>
            <w:tcW w:w="900" w:type="dxa"/>
            <w:vAlign w:val="bottom"/>
          </w:tcPr>
          <w:p>
            <w:pPr>
              <w:spacing w:after="0"/>
              <w:rPr>
                <w:sz w:val="24"/>
                <w:szCs w:val="24"/>
                <w:color w:val="auto"/>
              </w:rPr>
            </w:pPr>
          </w:p>
        </w:tc>
      </w:tr>
      <w:tr>
        <w:trPr>
          <w:trHeight w:val="358"/>
        </w:trPr>
        <w:tc>
          <w:tcPr>
            <w:tcW w:w="1100" w:type="dxa"/>
            <w:vAlign w:val="bottom"/>
          </w:tcPr>
          <w:p>
            <w:pPr>
              <w:spacing w:after="0"/>
              <w:rPr>
                <w:sz w:val="20"/>
                <w:szCs w:val="20"/>
                <w:color w:val="auto"/>
              </w:rPr>
            </w:pPr>
            <w:r>
              <w:rPr>
                <w:rFonts w:ascii="Arial" w:cs="Arial" w:eastAsia="Arial" w:hAnsi="Arial"/>
                <w:sz w:val="18"/>
                <w:szCs w:val="18"/>
                <w:color w:val="auto"/>
              </w:rPr>
              <w:t>ITEM 10.</w:t>
            </w:r>
          </w:p>
        </w:tc>
        <w:tc>
          <w:tcPr>
            <w:tcW w:w="9200" w:type="dxa"/>
            <w:vAlign w:val="bottom"/>
            <w:gridSpan w:val="26"/>
          </w:tcPr>
          <w:p>
            <w:pPr>
              <w:spacing w:after="0"/>
              <w:rPr>
                <w:sz w:val="20"/>
                <w:szCs w:val="20"/>
                <w:color w:val="auto"/>
              </w:rPr>
            </w:pPr>
            <w:r>
              <w:rPr>
                <w:rFonts w:ascii="Arial" w:cs="Arial" w:eastAsia="Arial" w:hAnsi="Arial"/>
                <w:sz w:val="18"/>
                <w:szCs w:val="18"/>
                <w:color w:val="0000FF"/>
              </w:rPr>
              <w:t>Directors, Executive Officers and Corporate Governance</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66</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ITEM 11.</w:t>
            </w:r>
          </w:p>
        </w:tc>
        <w:tc>
          <w:tcPr>
            <w:tcW w:w="9200" w:type="dxa"/>
            <w:vAlign w:val="bottom"/>
            <w:gridSpan w:val="26"/>
          </w:tcPr>
          <w:p>
            <w:pPr>
              <w:spacing w:after="0"/>
              <w:rPr>
                <w:sz w:val="20"/>
                <w:szCs w:val="20"/>
                <w:color w:val="auto"/>
              </w:rPr>
            </w:pPr>
            <w:r>
              <w:rPr>
                <w:rFonts w:ascii="Arial" w:cs="Arial" w:eastAsia="Arial" w:hAnsi="Arial"/>
                <w:sz w:val="18"/>
                <w:szCs w:val="18"/>
                <w:color w:val="0000FF"/>
              </w:rPr>
              <w:t>Executive Compensation</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66</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ITEM 12.</w:t>
            </w:r>
          </w:p>
        </w:tc>
        <w:tc>
          <w:tcPr>
            <w:tcW w:w="9200" w:type="dxa"/>
            <w:vAlign w:val="bottom"/>
            <w:gridSpan w:val="26"/>
          </w:tcPr>
          <w:p>
            <w:pPr>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66</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tcBorders>
              <w:left w:val="single" w:sz="8" w:color="0000FF"/>
            </w:tcBorders>
            <w:gridSpan w:val="3"/>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60" w:type="dxa"/>
            <w:vAlign w:val="bottom"/>
            <w:gridSpan w:val="6"/>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ITEM 13.</w:t>
            </w:r>
          </w:p>
        </w:tc>
        <w:tc>
          <w:tcPr>
            <w:tcW w:w="9200" w:type="dxa"/>
            <w:vAlign w:val="bottom"/>
            <w:gridSpan w:val="26"/>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66</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tcBorders>
              <w:left w:val="single" w:sz="8" w:color="0000FF"/>
            </w:tcBorders>
            <w:gridSpan w:val="3"/>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60" w:type="dxa"/>
            <w:vAlign w:val="bottom"/>
            <w:gridSpan w:val="6"/>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76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ITEM 14.</w:t>
            </w:r>
          </w:p>
        </w:tc>
        <w:tc>
          <w:tcPr>
            <w:tcW w:w="9200" w:type="dxa"/>
            <w:vAlign w:val="bottom"/>
            <w:gridSpan w:val="26"/>
          </w:tcPr>
          <w:p>
            <w:pPr>
              <w:spacing w:after="0"/>
              <w:rPr>
                <w:sz w:val="20"/>
                <w:szCs w:val="20"/>
                <w:color w:val="auto"/>
              </w:rPr>
            </w:pPr>
            <w:r>
              <w:rPr>
                <w:rFonts w:ascii="Arial" w:cs="Arial" w:eastAsia="Arial" w:hAnsi="Arial"/>
                <w:sz w:val="18"/>
                <w:szCs w:val="18"/>
                <w:color w:val="0000FF"/>
              </w:rPr>
              <w:t>Principal Accountant Fees and Services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66</w:t>
            </w:r>
          </w:p>
        </w:tc>
      </w:tr>
      <w:tr>
        <w:trPr>
          <w:trHeight w:val="345"/>
        </w:trPr>
        <w:tc>
          <w:tcPr>
            <w:tcW w:w="110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60" w:type="dxa"/>
            <w:vAlign w:val="bottom"/>
            <w:gridSpan w:val="14"/>
          </w:tcPr>
          <w:p>
            <w:pPr>
              <w:jc w:val="center"/>
              <w:ind w:right="4320"/>
              <w:spacing w:after="0"/>
              <w:rPr>
                <w:sz w:val="20"/>
                <w:szCs w:val="20"/>
                <w:color w:val="auto"/>
              </w:rPr>
            </w:pPr>
            <w:r>
              <w:rPr>
                <w:rFonts w:ascii="Arial" w:cs="Arial" w:eastAsia="Arial" w:hAnsi="Arial"/>
                <w:sz w:val="18"/>
                <w:szCs w:val="18"/>
                <w:color w:val="0000FF"/>
                <w:w w:val="94"/>
              </w:rPr>
              <w:t>PART IV</w:t>
            </w:r>
          </w:p>
        </w:tc>
        <w:tc>
          <w:tcPr>
            <w:tcW w:w="900" w:type="dxa"/>
            <w:vAlign w:val="bottom"/>
          </w:tcPr>
          <w:p>
            <w:pPr>
              <w:spacing w:after="0"/>
              <w:rPr>
                <w:sz w:val="24"/>
                <w:szCs w:val="24"/>
                <w:color w:val="auto"/>
              </w:rPr>
            </w:pPr>
          </w:p>
        </w:tc>
      </w:tr>
      <w:tr>
        <w:trPr>
          <w:trHeight w:val="466"/>
        </w:trPr>
        <w:tc>
          <w:tcPr>
            <w:tcW w:w="1100" w:type="dxa"/>
            <w:vAlign w:val="bottom"/>
          </w:tcPr>
          <w:p>
            <w:pPr>
              <w:spacing w:after="0"/>
              <w:rPr>
                <w:sz w:val="20"/>
                <w:szCs w:val="20"/>
                <w:color w:val="auto"/>
              </w:rPr>
            </w:pPr>
            <w:r>
              <w:rPr>
                <w:rFonts w:ascii="Arial" w:cs="Arial" w:eastAsia="Arial" w:hAnsi="Arial"/>
                <w:sz w:val="18"/>
                <w:szCs w:val="18"/>
                <w:color w:val="auto"/>
              </w:rPr>
              <w:t>ITEM 15.</w:t>
            </w:r>
          </w:p>
        </w:tc>
        <w:tc>
          <w:tcPr>
            <w:tcW w:w="4180" w:type="dxa"/>
            <w:vAlign w:val="bottom"/>
            <w:gridSpan w:val="13"/>
          </w:tcPr>
          <w:p>
            <w:pPr>
              <w:spacing w:after="0"/>
              <w:rPr>
                <w:sz w:val="20"/>
                <w:szCs w:val="20"/>
                <w:color w:val="auto"/>
              </w:rPr>
            </w:pPr>
            <w:r>
              <w:rPr>
                <w:rFonts w:ascii="Arial" w:cs="Arial" w:eastAsia="Arial" w:hAnsi="Arial"/>
                <w:sz w:val="18"/>
                <w:szCs w:val="18"/>
                <w:color w:val="0000FF"/>
                <w:w w:val="90"/>
              </w:rPr>
              <w:t>Exhibits and Consolidated Financial Statement Schedules</w:t>
            </w:r>
          </w:p>
        </w:tc>
        <w:tc>
          <w:tcPr>
            <w:tcW w:w="660" w:type="dxa"/>
            <w:vAlign w:val="bottom"/>
            <w:tcBorders>
              <w:top w:val="single" w:sz="8" w:color="0000FF"/>
            </w:tcBorders>
            <w:gridSpan w:val="6"/>
          </w:tcPr>
          <w:p>
            <w:pPr>
              <w:spacing w:after="0"/>
              <w:rPr>
                <w:sz w:val="24"/>
                <w:szCs w:val="24"/>
                <w:color w:val="auto"/>
              </w:rPr>
            </w:pPr>
          </w:p>
        </w:tc>
        <w:tc>
          <w:tcPr>
            <w:tcW w:w="4360" w:type="dxa"/>
            <w:vAlign w:val="bottom"/>
            <w:gridSpan w:val="7"/>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67</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tcBorders>
              <w:left w:val="single" w:sz="8" w:color="0000FF"/>
            </w:tcBorders>
            <w:gridSpan w:val="3"/>
            <w:shd w:val="clear" w:color="auto" w:fill="0000FF"/>
          </w:tcPr>
          <w:p>
            <w:pPr>
              <w:spacing w:after="0" w:line="20" w:lineRule="exact"/>
              <w:rPr>
                <w:sz w:val="1"/>
                <w:szCs w:val="1"/>
                <w:color w:val="auto"/>
              </w:rPr>
            </w:pPr>
          </w:p>
        </w:tc>
        <w:tc>
          <w:tcPr>
            <w:tcW w:w="2600" w:type="dxa"/>
            <w:vAlign w:val="bottom"/>
            <w:gridSpan w:val="7"/>
            <w:shd w:val="clear" w:color="auto" w:fill="0000FF"/>
          </w:tcPr>
          <w:p>
            <w:pPr>
              <w:spacing w:after="0" w:line="20" w:lineRule="exact"/>
              <w:rPr>
                <w:sz w:val="1"/>
                <w:szCs w:val="1"/>
                <w:color w:val="auto"/>
              </w:rPr>
            </w:pPr>
          </w:p>
        </w:tc>
        <w:tc>
          <w:tcPr>
            <w:tcW w:w="5060" w:type="dxa"/>
            <w:vAlign w:val="bottom"/>
            <w:gridSpan w:val="1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ITEM 16.</w:t>
            </w:r>
          </w:p>
        </w:tc>
        <w:tc>
          <w:tcPr>
            <w:tcW w:w="9200" w:type="dxa"/>
            <w:vAlign w:val="bottom"/>
            <w:gridSpan w:val="26"/>
          </w:tcPr>
          <w:p>
            <w:pPr>
              <w:spacing w:after="0"/>
              <w:rPr>
                <w:sz w:val="20"/>
                <w:szCs w:val="20"/>
                <w:color w:val="auto"/>
              </w:rPr>
            </w:pPr>
            <w:r>
              <w:rPr>
                <w:rFonts w:ascii="Arial" w:cs="Arial" w:eastAsia="Arial" w:hAnsi="Arial"/>
                <w:sz w:val="18"/>
                <w:szCs w:val="18"/>
                <w:color w:val="0000FF"/>
              </w:rPr>
              <w:t>Form 10-K Summary</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69</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tcBorders>
              <w:left w:val="single" w:sz="8" w:color="0000FF"/>
            </w:tcBorders>
            <w:gridSpan w:val="3"/>
            <w:shd w:val="clear" w:color="auto" w:fill="0000FF"/>
          </w:tcPr>
          <w:p>
            <w:pPr>
              <w:spacing w:after="0" w:line="20" w:lineRule="exact"/>
              <w:rPr>
                <w:sz w:val="1"/>
                <w:szCs w:val="1"/>
                <w:color w:val="auto"/>
              </w:rPr>
            </w:pPr>
          </w:p>
        </w:tc>
        <w:tc>
          <w:tcPr>
            <w:tcW w:w="7660" w:type="dxa"/>
            <w:vAlign w:val="bottom"/>
            <w:gridSpan w:val="21"/>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6"/>
        </w:trPr>
        <w:tc>
          <w:tcPr>
            <w:tcW w:w="1100" w:type="dxa"/>
            <w:vAlign w:val="bottom"/>
          </w:tcPr>
          <w:p>
            <w:pPr>
              <w:spacing w:after="0"/>
              <w:rPr>
                <w:sz w:val="20"/>
                <w:szCs w:val="20"/>
                <w:color w:val="auto"/>
              </w:rPr>
            </w:pPr>
          </w:p>
        </w:tc>
        <w:tc>
          <w:tcPr>
            <w:tcW w:w="9200" w:type="dxa"/>
            <w:vAlign w:val="bottom"/>
            <w:gridSpan w:val="26"/>
          </w:tcPr>
          <w:p>
            <w:pPr>
              <w:spacing w:after="0"/>
              <w:rPr>
                <w:sz w:val="20"/>
                <w:szCs w:val="20"/>
                <w:color w:val="auto"/>
              </w:rPr>
            </w:pPr>
            <w:r>
              <w:rPr>
                <w:rFonts w:ascii="Arial" w:cs="Arial" w:eastAsia="Arial" w:hAnsi="Arial"/>
                <w:sz w:val="18"/>
                <w:szCs w:val="18"/>
                <w:color w:val="0000FF"/>
              </w:rPr>
              <w:t>Signatures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70</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 of Names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References in this Annual Report on Form 10-K for the fiscal year ended December 31, 2022, (the "Annual Report") to "OraSure" mean OraSure Technologies, Inc. References in this Annual Report to “DNAG” mean DNA Genotek, Inc., references to “Diversigen” mean Diversigen, Inc., and references to “Novosanis” mean Novosanis NV. References in this Annual Report to "we", "us", "our", or the "Company" mean OraSure and its consolidated subsidiaries, DNAG, Diversigen, and Novosanis, unless otherwise indicated.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Disclosure Regarding Forward Looking Statements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This Annual Report contains certain “forward-looking statements,” within the meaning of the Federal securities laws. These may include statements about our expected revenues, earnings/losses per share, net income (loss), expenses, cash flow or other financial performance, or developments, clinical trial or development activities, expected regulatory filings and approvals, planned business transactions, views of future industry, competitive or market conditions, and other factors that could affect our future operations, results of operations or financial position. These statements often include words, such as “believes,” “expects,” “anticipates,” “intends,” “plans,” “estimates,” “may,” “will,” “should,” “could,” or similar expressions.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line="277" w:lineRule="auto"/>
        <w:rPr>
          <w:sz w:val="20"/>
          <w:szCs w:val="20"/>
          <w:color w:val="auto"/>
        </w:rPr>
      </w:pPr>
      <w:r>
        <w:rPr>
          <w:rFonts w:ascii="Arial" w:cs="Arial" w:eastAsia="Arial" w:hAnsi="Arial"/>
          <w:sz w:val="18"/>
          <w:szCs w:val="18"/>
          <w:i w:val="1"/>
          <w:iCs w:val="1"/>
          <w:color w:val="auto"/>
        </w:rPr>
        <w:t>Forward-looking statements are not guarantees of future performance or results. Known and unknown factors that could cause actual performance or results to be materially different from those expressed or implied in these statements include, but are not limited to:</w:t>
      </w:r>
    </w:p>
    <w:p>
      <w:pPr>
        <w:spacing w:after="0" w:line="62" w:lineRule="exact"/>
        <w:rPr>
          <w:sz w:val="20"/>
          <w:szCs w:val="20"/>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market and sell products, whether through our internal, direct sales force or third parties;</w:t>
      </w:r>
    </w:p>
    <w:p>
      <w:pPr>
        <w:spacing w:after="0" w:line="121"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Our ability to fulfill our commitments under our contracts with the U.S. government for </w:t>
      </w:r>
      <w:r>
        <w:rPr>
          <w:rFonts w:ascii="Arial" w:cs="Arial" w:eastAsia="Arial" w:hAnsi="Arial"/>
          <w:sz w:val="18"/>
          <w:szCs w:val="18"/>
          <w:i w:val="1"/>
          <w:iCs w:val="1"/>
          <w:color w:val="0E101A"/>
        </w:rPr>
        <w:t>InteliSwab</w:t>
      </w:r>
      <w:r>
        <w:rPr>
          <w:rFonts w:ascii="Arial" w:cs="Arial" w:eastAsia="Arial" w:hAnsi="Arial"/>
          <w:sz w:val="24"/>
          <w:szCs w:val="24"/>
          <w:i w:val="1"/>
          <w:iCs w:val="1"/>
          <w:color w:val="0E101A"/>
          <w:vertAlign w:val="superscript"/>
        </w:rPr>
        <w:t>®</w:t>
      </w:r>
      <w:r>
        <w:rPr>
          <w:rFonts w:ascii="Arial" w:cs="Arial" w:eastAsia="Arial" w:hAnsi="Arial"/>
          <w:sz w:val="18"/>
          <w:szCs w:val="18"/>
          <w:i w:val="1"/>
          <w:iCs w:val="1"/>
          <w:color w:val="auto"/>
        </w:rPr>
        <w:t xml:space="preserve"> COVID-19 Rapid Tests;</w:t>
      </w:r>
    </w:p>
    <w:p>
      <w:pPr>
        <w:spacing w:after="0" w:line="70"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Failure of distributors or other customers to meet purchase forecasts, historic purchase levels or minimum purchase requirements for our products;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Significant customer concentrations that exist or may develop in the future: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Our ability to manufacture products in accordance with applicable specifications, performance standards and quality requirements;</w:t>
      </w:r>
    </w:p>
    <w:p>
      <w:pPr>
        <w:spacing w:after="0" w:line="128" w:lineRule="exact"/>
        <w:rPr>
          <w:rFonts w:ascii="Arial" w:cs="Arial" w:eastAsia="Arial" w:hAnsi="Arial"/>
          <w:sz w:val="17"/>
          <w:szCs w:val="17"/>
          <w:color w:val="auto"/>
        </w:rPr>
      </w:pPr>
    </w:p>
    <w:p>
      <w:pPr>
        <w:ind w:left="102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obtain, and timing and cost of obtaining, necessary regulatory approvals for new products or new indications or applications for existing products; ability to comply with applicable regulatory requirements;</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effectively resolve warning letters, audit observations and other findings or comments from the U.S. Food and Drug Administration (or the "FDA”), or other regulators;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impact of the COVID-19 pandemic on our business, supply chain and workforce;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impact of the U.S. government ending the COVID-19 related Public Health Emergency;</w:t>
      </w:r>
    </w:p>
    <w:p>
      <w:pPr>
        <w:spacing w:after="0" w:line="117"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Changes in relationships, including disputes or disagreements, with strategic partners or other parties and reliance on strategic partners for the performance of critical activities under collaborative arrangements;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meet increased demand for our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impact of replacing distributors on our business;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Inventory levels at distributors and other customers;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achieve our financial and strategic objectives and continue to increase our revenues, including the ability to expand international sales;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impact of competitors, competing products and technology changes on our business;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Reduction or deferral of public funding available to customers;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Competition from new or better technology or lower cost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develop, commercialize and market new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Market acceptance of oral fluid or urine testing, collection or other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Market acceptance and uptake of microbiome informatics, microbial genetics technology and related analytics services;</w:t>
      </w:r>
    </w:p>
    <w:p>
      <w:pPr>
        <w:spacing w:after="0" w:line="117"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Changes in market acceptance of products based on product performance or other factors, including changes in testing guidelines, algorithms or other recommendations by the Centers for Disease Control and Prevention, (the “CDC”) or other agencies; ability to fund research and development and other products and operations;</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obtain and maintain new or existing product distribution channels;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Reliance on sole supply sources for critical products and components;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Availability of related products produced by third parties or products required for use of our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impact of contracting with the U.S. government on our business;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impact of negative economic conditions on our business;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maintain sustained profitability;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increase our gross margins;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ability to utilize net operating loss carry forwards or other deferred tax assets;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Volatility of our stock price;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Uncertainty relating to patent protection and potential patent infringement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 w:name="page4"/>
    <w:bookmarkEnd w:id="3"/>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Uncertainty and costs of litigation relating to patents and other intellectual property;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Availability of licenses to patents or other technology;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Ability to enter into international manufacturing agreements;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Obstacles to international marketing and manufacturing of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Our ability to sell products internationally, including the impact of changes in international funding sources and testing algorithms;</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Adverse movements in foreign currency exchange rates;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Loss or impairment of sources of capital;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ability to attract and retain qualified personnel;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exposure to product liability and other types of litigation;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Changes in international, federal or state laws and regulations;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Customer consolidations and inventory practices;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Equipment failures and ability to obtain needed raw materials and components;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impact of terrorist attacks and civil unrest;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General political, business and economic conditions, including inflationary pressures.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These and other factors that could affect our results are discussed more fully under Item 1A, entitled “Risk Factors,” and elsewhere in this Annual Report. Although forward-looking statements help to provide information about future prospects, readers should keep in mind that forward-looking statements may not be reliable. Readers are cautioned not to place undue reliance on the forward-looking statements. The forward-looking statements and Risk Factors are made as of the date of this Annual Report and we undertake no duty to update these statements, unless we are required to do so by law. If we do update one or more forward-looking statements, no inference should be drawn that we will make updates with respect to other forward-looking statements or that we will make any further updates to those forward-looking statements at any future time.</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Investors should also be aware that while we do, from time to time, communicate with securities analysts, it is against our policy to disclose any material non-public information or other confidential commercial information. Accordingly, stockholders should not assume that we agree with any statement or report issued by any analyst irrespective of the content of the statement or report. Furthermore, we have a policy against issuing or confirming financial forecasts or projections issued by others. Thus, to the extent that reports issued by securities analysts contain any projections, forecasts or opinions, such reports are not the responsibility of OraSure.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Trademarks, Trade Names and Service Marks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 xml:space="preserve">This Annual Report contains certain trademarks, which are protected under applicable intellectual property laws and are the Company's property. Solely for convenience, the Company's trademarks and trade names referred to in this Annual Report may appear without the </w:t>
      </w:r>
      <w:r>
        <w:rPr>
          <w:rFonts w:ascii="Arial" w:cs="Arial" w:eastAsia="Arial" w:hAnsi="Arial"/>
          <w:sz w:val="16"/>
          <w:szCs w:val="16"/>
          <w:color w:val="0E101A"/>
        </w:rPr>
        <w:t>® or</w:t>
      </w:r>
      <w:r>
        <w:rPr>
          <w:rFonts w:ascii="Arial" w:cs="Arial" w:eastAsia="Arial" w:hAnsi="Arial"/>
          <w:sz w:val="16"/>
          <w:szCs w:val="16"/>
          <w:color w:val="auto"/>
        </w:rPr>
        <w:t xml:space="preserve"> </w:t>
      </w:r>
      <w:r>
        <w:rPr>
          <w:rFonts w:ascii="Arial" w:cs="Arial" w:eastAsia="Arial" w:hAnsi="Arial"/>
          <w:sz w:val="21"/>
          <w:szCs w:val="21"/>
          <w:color w:val="0E101A"/>
          <w:vertAlign w:val="superscript"/>
        </w:rPr>
        <w:t>TM</w:t>
      </w:r>
      <w:r>
        <w:rPr>
          <w:rFonts w:ascii="Arial" w:cs="Arial" w:eastAsia="Arial" w:hAnsi="Arial"/>
          <w:sz w:val="16"/>
          <w:szCs w:val="16"/>
          <w:color w:val="auto"/>
        </w:rPr>
        <w:t xml:space="preserve"> </w:t>
      </w:r>
      <w:r>
        <w:rPr>
          <w:rFonts w:ascii="Arial" w:cs="Arial" w:eastAsia="Arial" w:hAnsi="Arial"/>
          <w:sz w:val="16"/>
          <w:szCs w:val="16"/>
          <w:color w:val="0E101A"/>
        </w:rPr>
        <w:t>symbol, but such references</w:t>
      </w:r>
      <w:r>
        <w:rPr>
          <w:rFonts w:ascii="Arial" w:cs="Arial" w:eastAsia="Arial" w:hAnsi="Arial"/>
          <w:sz w:val="16"/>
          <w:szCs w:val="16"/>
          <w:color w:val="auto"/>
        </w:rPr>
        <w:t xml:space="preserve"> </w:t>
      </w:r>
      <w:r>
        <w:rPr>
          <w:rFonts w:ascii="Arial" w:cs="Arial" w:eastAsia="Arial" w:hAnsi="Arial"/>
          <w:sz w:val="16"/>
          <w:szCs w:val="16"/>
          <w:color w:val="0E101A"/>
        </w:rPr>
        <w:t>are not intended to indicate, in any way, that the Company will not assert, to the fullest extent under applicable law, its rights to these trademarks and trade names. We own rights to trademarks and service marks that we believe are necessary to conduct our business as currently operated. In the United States,</w:t>
      </w:r>
    </w:p>
    <w:p>
      <w:pPr>
        <w:spacing w:after="0" w:line="3" w:lineRule="exact"/>
        <w:rPr>
          <w:sz w:val="20"/>
          <w:szCs w:val="20"/>
          <w:color w:val="auto"/>
        </w:rPr>
      </w:pPr>
    </w:p>
    <w:p>
      <w:pPr>
        <w:jc w:val="both"/>
        <w:spacing w:after="0" w:line="216" w:lineRule="auto"/>
        <w:rPr>
          <w:sz w:val="20"/>
          <w:szCs w:val="20"/>
          <w:color w:val="auto"/>
        </w:rPr>
      </w:pPr>
      <w:r>
        <w:rPr>
          <w:rFonts w:ascii="Arial" w:cs="Arial" w:eastAsia="Arial" w:hAnsi="Arial"/>
          <w:sz w:val="17"/>
          <w:szCs w:val="17"/>
          <w:color w:val="0E101A"/>
        </w:rPr>
        <w:t>we own a number of trademarks, including the OraSure</w:t>
      </w:r>
      <w:r>
        <w:rPr>
          <w:rFonts w:ascii="Arial" w:cs="Arial" w:eastAsia="Arial" w:hAnsi="Arial"/>
          <w:sz w:val="27"/>
          <w:szCs w:val="27"/>
          <w:color w:val="0E101A"/>
          <w:vertAlign w:val="superscript"/>
        </w:rPr>
        <w:t>®</w:t>
      </w:r>
      <w:r>
        <w:rPr>
          <w:rFonts w:ascii="Arial" w:cs="Arial" w:eastAsia="Arial" w:hAnsi="Arial"/>
          <w:sz w:val="20"/>
          <w:szCs w:val="20"/>
          <w:color w:val="0E101A"/>
        </w:rPr>
        <w:t>,</w:t>
      </w:r>
      <w:r>
        <w:rPr>
          <w:rFonts w:ascii="Arial" w:cs="Arial" w:eastAsia="Arial" w:hAnsi="Arial"/>
          <w:sz w:val="17"/>
          <w:szCs w:val="17"/>
          <w:color w:val="0E101A"/>
        </w:rPr>
        <w:t xml:space="preserve"> Intercept</w:t>
      </w:r>
      <w:r>
        <w:rPr>
          <w:rFonts w:ascii="Arial" w:cs="Arial" w:eastAsia="Arial" w:hAnsi="Arial"/>
          <w:sz w:val="23"/>
          <w:szCs w:val="23"/>
          <w:color w:val="0E101A"/>
          <w:vertAlign w:val="superscript"/>
        </w:rPr>
        <w:t>®</w:t>
      </w:r>
      <w:r>
        <w:rPr>
          <w:rFonts w:ascii="Arial" w:cs="Arial" w:eastAsia="Arial" w:hAnsi="Arial"/>
          <w:sz w:val="17"/>
          <w:szCs w:val="17"/>
          <w:color w:val="0E101A"/>
        </w:rPr>
        <w:t>, Intercept i2</w:t>
      </w:r>
      <w:r>
        <w:rPr>
          <w:rFonts w:ascii="Arial" w:cs="Arial" w:eastAsia="Arial" w:hAnsi="Arial"/>
          <w:sz w:val="23"/>
          <w:szCs w:val="23"/>
          <w:color w:val="0E101A"/>
          <w:vertAlign w:val="superscript"/>
        </w:rPr>
        <w:t>®</w:t>
      </w:r>
      <w:r>
        <w:rPr>
          <w:rFonts w:ascii="Arial" w:cs="Arial" w:eastAsia="Arial" w:hAnsi="Arial"/>
          <w:sz w:val="17"/>
          <w:szCs w:val="17"/>
          <w:color w:val="0E101A"/>
        </w:rPr>
        <w:t xml:space="preserve"> </w:t>
      </w:r>
      <w:r>
        <w:rPr>
          <w:rFonts w:ascii="Arial" w:cs="Arial" w:eastAsia="Arial" w:hAnsi="Arial"/>
          <w:sz w:val="17"/>
          <w:szCs w:val="17"/>
          <w:i w:val="1"/>
          <w:iCs w:val="1"/>
          <w:color w:val="0E101A"/>
        </w:rPr>
        <w:t>he</w:t>
      </w:r>
      <w:r>
        <w:rPr>
          <w:rFonts w:ascii="Arial" w:cs="Arial" w:eastAsia="Arial" w:hAnsi="Arial"/>
          <w:sz w:val="17"/>
          <w:szCs w:val="17"/>
          <w:color w:val="0E101A"/>
        </w:rPr>
        <w:t>, OraQuick</w:t>
      </w:r>
      <w:r>
        <w:rPr>
          <w:rFonts w:ascii="Arial" w:cs="Arial" w:eastAsia="Arial" w:hAnsi="Arial"/>
          <w:sz w:val="23"/>
          <w:szCs w:val="23"/>
          <w:color w:val="0E101A"/>
          <w:vertAlign w:val="superscript"/>
        </w:rPr>
        <w:t>®</w:t>
      </w:r>
      <w:r>
        <w:rPr>
          <w:rFonts w:ascii="Arial" w:cs="Arial" w:eastAsia="Arial" w:hAnsi="Arial"/>
          <w:sz w:val="17"/>
          <w:szCs w:val="17"/>
          <w:color w:val="0E101A"/>
        </w:rPr>
        <w:t>, OraQuick ADVANCE</w:t>
      </w:r>
      <w:r>
        <w:rPr>
          <w:rFonts w:ascii="Arial" w:cs="Arial" w:eastAsia="Arial" w:hAnsi="Arial"/>
          <w:sz w:val="23"/>
          <w:szCs w:val="23"/>
          <w:color w:val="0E101A"/>
          <w:vertAlign w:val="superscript"/>
        </w:rPr>
        <w:t>®</w:t>
      </w:r>
      <w:r>
        <w:rPr>
          <w:rFonts w:ascii="Arial" w:cs="Arial" w:eastAsia="Arial" w:hAnsi="Arial"/>
          <w:sz w:val="17"/>
          <w:szCs w:val="17"/>
          <w:color w:val="0E101A"/>
        </w:rPr>
        <w:t>, OraSure Quick Flu</w:t>
      </w:r>
      <w:r>
        <w:rPr>
          <w:rFonts w:ascii="Arial" w:cs="Arial" w:eastAsia="Arial" w:hAnsi="Arial"/>
          <w:sz w:val="23"/>
          <w:szCs w:val="23"/>
          <w:color w:val="0E101A"/>
          <w:vertAlign w:val="superscript"/>
        </w:rPr>
        <w:t>®</w:t>
      </w:r>
      <w:r>
        <w:rPr>
          <w:rFonts w:ascii="Arial" w:cs="Arial" w:eastAsia="Arial" w:hAnsi="Arial"/>
          <w:sz w:val="17"/>
          <w:szCs w:val="17"/>
          <w:color w:val="0E101A"/>
        </w:rPr>
        <w:t>, Q.E.D.</w:t>
      </w:r>
      <w:r>
        <w:rPr>
          <w:rFonts w:ascii="Arial" w:cs="Arial" w:eastAsia="Arial" w:hAnsi="Arial"/>
          <w:sz w:val="23"/>
          <w:szCs w:val="23"/>
          <w:color w:val="0E101A"/>
          <w:vertAlign w:val="superscript"/>
        </w:rPr>
        <w:t>®</w:t>
      </w:r>
      <w:r>
        <w:rPr>
          <w:rFonts w:ascii="Arial" w:cs="Arial" w:eastAsia="Arial" w:hAnsi="Arial"/>
          <w:sz w:val="17"/>
          <w:szCs w:val="17"/>
          <w:color w:val="0E101A"/>
        </w:rPr>
        <w:t>, InteliSwab</w:t>
      </w:r>
      <w:r>
        <w:rPr>
          <w:rFonts w:ascii="Arial" w:cs="Arial" w:eastAsia="Arial" w:hAnsi="Arial"/>
          <w:sz w:val="23"/>
          <w:szCs w:val="23"/>
          <w:color w:val="0E101A"/>
          <w:vertAlign w:val="superscript"/>
        </w:rPr>
        <w:t>®</w:t>
      </w:r>
      <w:r>
        <w:rPr>
          <w:rFonts w:ascii="Arial" w:cs="Arial" w:eastAsia="Arial" w:hAnsi="Arial"/>
          <w:sz w:val="17"/>
          <w:szCs w:val="17"/>
          <w:color w:val="0E101A"/>
        </w:rPr>
        <w:t>, Oragene</w:t>
      </w:r>
      <w:r>
        <w:rPr>
          <w:rFonts w:ascii="Arial" w:cs="Arial" w:eastAsia="Arial" w:hAnsi="Arial"/>
          <w:sz w:val="23"/>
          <w:szCs w:val="23"/>
          <w:color w:val="0E101A"/>
          <w:vertAlign w:val="superscript"/>
        </w:rPr>
        <w:t>®</w:t>
      </w:r>
      <w:r>
        <w:rPr>
          <w:rFonts w:ascii="Arial" w:cs="Arial" w:eastAsia="Arial" w:hAnsi="Arial"/>
          <w:sz w:val="17"/>
          <w:szCs w:val="17"/>
          <w:color w:val="0E101A"/>
        </w:rPr>
        <w:t>, DNA Genotek</w:t>
      </w:r>
      <w:r>
        <w:rPr>
          <w:rFonts w:ascii="Arial" w:cs="Arial" w:eastAsia="Arial" w:hAnsi="Arial"/>
          <w:sz w:val="23"/>
          <w:szCs w:val="23"/>
          <w:color w:val="0E101A"/>
          <w:vertAlign w:val="superscript"/>
        </w:rPr>
        <w:t>®</w:t>
      </w:r>
      <w:r>
        <w:rPr>
          <w:rFonts w:ascii="Arial" w:cs="Arial" w:eastAsia="Arial" w:hAnsi="Arial"/>
          <w:sz w:val="17"/>
          <w:szCs w:val="17"/>
          <w:color w:val="0E101A"/>
        </w:rPr>
        <w:t>, OMNImet</w:t>
      </w:r>
      <w:r>
        <w:rPr>
          <w:rFonts w:ascii="Arial" w:cs="Arial" w:eastAsia="Arial" w:hAnsi="Arial"/>
          <w:sz w:val="23"/>
          <w:szCs w:val="23"/>
          <w:color w:val="0E101A"/>
          <w:vertAlign w:val="superscript"/>
        </w:rPr>
        <w:t>TM</w:t>
      </w:r>
      <w:r>
        <w:rPr>
          <w:rFonts w:ascii="Arial" w:cs="Arial" w:eastAsia="Arial" w:hAnsi="Arial"/>
          <w:sz w:val="17"/>
          <w:szCs w:val="17"/>
          <w:color w:val="0E101A"/>
        </w:rPr>
        <w:t>, ORAcollect</w:t>
      </w:r>
      <w:r>
        <w:rPr>
          <w:rFonts w:ascii="Arial" w:cs="Arial" w:eastAsia="Arial" w:hAnsi="Arial"/>
          <w:sz w:val="23"/>
          <w:szCs w:val="23"/>
          <w:color w:val="0E101A"/>
          <w:vertAlign w:val="superscript"/>
        </w:rPr>
        <w:t>®</w:t>
      </w:r>
      <w:r>
        <w:rPr>
          <w:rFonts w:ascii="Arial" w:cs="Arial" w:eastAsia="Arial" w:hAnsi="Arial"/>
          <w:sz w:val="17"/>
          <w:szCs w:val="17"/>
          <w:color w:val="0E101A"/>
        </w:rPr>
        <w:t>, OMNIgene</w:t>
      </w:r>
      <w:r>
        <w:rPr>
          <w:rFonts w:ascii="Arial" w:cs="Arial" w:eastAsia="Arial" w:hAnsi="Arial"/>
          <w:sz w:val="23"/>
          <w:szCs w:val="23"/>
          <w:color w:val="0E101A"/>
          <w:vertAlign w:val="superscript"/>
        </w:rPr>
        <w:t>®</w:t>
      </w:r>
      <w:r>
        <w:rPr>
          <w:rFonts w:ascii="Arial" w:cs="Arial" w:eastAsia="Arial" w:hAnsi="Arial"/>
          <w:sz w:val="17"/>
          <w:szCs w:val="17"/>
          <w:color w:val="0E101A"/>
        </w:rPr>
        <w:t>, goDNA</w:t>
      </w:r>
      <w:r>
        <w:rPr>
          <w:rFonts w:ascii="Arial" w:cs="Arial" w:eastAsia="Arial" w:hAnsi="Arial"/>
          <w:sz w:val="23"/>
          <w:szCs w:val="23"/>
          <w:color w:val="0E101A"/>
          <w:vertAlign w:val="superscript"/>
        </w:rPr>
        <w:t>TM</w:t>
      </w:r>
      <w:r>
        <w:rPr>
          <w:rFonts w:ascii="Arial" w:cs="Arial" w:eastAsia="Arial" w:hAnsi="Arial"/>
          <w:sz w:val="17"/>
          <w:szCs w:val="17"/>
          <w:color w:val="0E101A"/>
        </w:rPr>
        <w:t>, Diversigen</w:t>
      </w:r>
      <w:r>
        <w:rPr>
          <w:rFonts w:ascii="Arial" w:cs="Arial" w:eastAsia="Arial" w:hAnsi="Arial"/>
          <w:sz w:val="23"/>
          <w:szCs w:val="23"/>
          <w:color w:val="0E101A"/>
          <w:vertAlign w:val="superscript"/>
        </w:rPr>
        <w:t>®</w:t>
      </w:r>
      <w:r>
        <w:rPr>
          <w:rFonts w:ascii="Arial" w:cs="Arial" w:eastAsia="Arial" w:hAnsi="Arial"/>
          <w:sz w:val="17"/>
          <w:szCs w:val="17"/>
          <w:color w:val="0E101A"/>
        </w:rPr>
        <w:t>, CoreBiome</w:t>
      </w:r>
      <w:r>
        <w:rPr>
          <w:rFonts w:ascii="Arial" w:cs="Arial" w:eastAsia="Arial" w:hAnsi="Arial"/>
          <w:sz w:val="23"/>
          <w:szCs w:val="23"/>
          <w:color w:val="0E101A"/>
          <w:vertAlign w:val="superscript"/>
        </w:rPr>
        <w:t>®</w:t>
      </w:r>
      <w:r>
        <w:rPr>
          <w:rFonts w:ascii="Arial" w:cs="Arial" w:eastAsia="Arial" w:hAnsi="Arial"/>
          <w:sz w:val="17"/>
          <w:szCs w:val="17"/>
          <w:color w:val="0E101A"/>
        </w:rPr>
        <w:t>, Boostershot</w:t>
      </w:r>
      <w:r>
        <w:rPr>
          <w:rFonts w:ascii="Arial" w:cs="Arial" w:eastAsia="Arial" w:hAnsi="Arial"/>
          <w:sz w:val="23"/>
          <w:szCs w:val="23"/>
          <w:color w:val="0E101A"/>
          <w:vertAlign w:val="superscript"/>
        </w:rPr>
        <w:t>®</w:t>
      </w:r>
      <w:r>
        <w:rPr>
          <w:rFonts w:ascii="Arial" w:cs="Arial" w:eastAsia="Arial" w:hAnsi="Arial"/>
          <w:sz w:val="17"/>
          <w:szCs w:val="17"/>
          <w:color w:val="0E101A"/>
        </w:rPr>
        <w:t>, MetaGene</w:t>
      </w:r>
      <w:r>
        <w:rPr>
          <w:rFonts w:ascii="Arial" w:cs="Arial" w:eastAsia="Arial" w:hAnsi="Arial"/>
          <w:sz w:val="23"/>
          <w:szCs w:val="23"/>
          <w:color w:val="0E101A"/>
          <w:vertAlign w:val="superscript"/>
        </w:rPr>
        <w:t>TM</w:t>
      </w:r>
      <w:r>
        <w:rPr>
          <w:rFonts w:ascii="Arial" w:cs="Arial" w:eastAsia="Arial" w:hAnsi="Arial"/>
          <w:sz w:val="17"/>
          <w:szCs w:val="17"/>
          <w:color w:val="0E101A"/>
        </w:rPr>
        <w:t>, Benchmark</w:t>
      </w:r>
      <w:r>
        <w:rPr>
          <w:rFonts w:ascii="Arial" w:cs="Arial" w:eastAsia="Arial" w:hAnsi="Arial"/>
          <w:sz w:val="23"/>
          <w:szCs w:val="23"/>
          <w:color w:val="0E101A"/>
          <w:vertAlign w:val="superscript"/>
        </w:rPr>
        <w:t>TM</w:t>
      </w:r>
      <w:r>
        <w:rPr>
          <w:rFonts w:ascii="Arial" w:cs="Arial" w:eastAsia="Arial" w:hAnsi="Arial"/>
          <w:sz w:val="17"/>
          <w:szCs w:val="17"/>
          <w:color w:val="0E101A"/>
        </w:rPr>
        <w:t>, Novosanis</w:t>
      </w:r>
      <w:r>
        <w:rPr>
          <w:rFonts w:ascii="Arial" w:cs="Arial" w:eastAsia="Arial" w:hAnsi="Arial"/>
          <w:sz w:val="23"/>
          <w:szCs w:val="23"/>
          <w:color w:val="0E101A"/>
          <w:vertAlign w:val="superscript"/>
        </w:rPr>
        <w:t>®</w:t>
      </w:r>
      <w:r>
        <w:rPr>
          <w:rFonts w:ascii="Arial" w:cs="Arial" w:eastAsia="Arial" w:hAnsi="Arial"/>
          <w:sz w:val="17"/>
          <w:szCs w:val="17"/>
          <w:color w:val="0E101A"/>
        </w:rPr>
        <w:t>, Colli-Pee</w:t>
      </w:r>
      <w:r>
        <w:rPr>
          <w:rFonts w:ascii="Arial" w:cs="Arial" w:eastAsia="Arial" w:hAnsi="Arial"/>
          <w:sz w:val="23"/>
          <w:szCs w:val="23"/>
          <w:color w:val="0E101A"/>
          <w:vertAlign w:val="superscript"/>
        </w:rPr>
        <w:t>®</w:t>
      </w:r>
      <w:r>
        <w:rPr>
          <w:rFonts w:ascii="Arial" w:cs="Arial" w:eastAsia="Arial" w:hAnsi="Arial"/>
          <w:sz w:val="17"/>
          <w:szCs w:val="17"/>
          <w:color w:val="0E101A"/>
        </w:rPr>
        <w:t>, UCM</w:t>
      </w:r>
      <w:r>
        <w:rPr>
          <w:rFonts w:ascii="Arial" w:cs="Arial" w:eastAsia="Arial" w:hAnsi="Arial"/>
          <w:sz w:val="23"/>
          <w:szCs w:val="23"/>
          <w:color w:val="0E101A"/>
          <w:vertAlign w:val="superscript"/>
        </w:rPr>
        <w:t>®</w:t>
      </w:r>
      <w:r>
        <w:rPr>
          <w:rFonts w:ascii="Arial" w:cs="Arial" w:eastAsia="Arial" w:hAnsi="Arial"/>
          <w:sz w:val="17"/>
          <w:szCs w:val="17"/>
          <w:color w:val="0E101A"/>
        </w:rPr>
        <w:t>, UAS</w:t>
      </w:r>
      <w:r>
        <w:rPr>
          <w:rFonts w:ascii="Arial" w:cs="Arial" w:eastAsia="Arial" w:hAnsi="Arial"/>
          <w:sz w:val="23"/>
          <w:szCs w:val="23"/>
          <w:color w:val="0E101A"/>
          <w:vertAlign w:val="superscript"/>
        </w:rPr>
        <w:t>TM</w:t>
      </w:r>
      <w:r>
        <w:rPr>
          <w:rFonts w:ascii="Arial" w:cs="Arial" w:eastAsia="Arial" w:hAnsi="Arial"/>
          <w:sz w:val="17"/>
          <w:szCs w:val="17"/>
          <w:color w:val="0E101A"/>
        </w:rPr>
        <w:t>, AUTO-LYTE</w:t>
      </w:r>
      <w:r>
        <w:rPr>
          <w:rFonts w:ascii="Arial" w:cs="Arial" w:eastAsia="Arial" w:hAnsi="Arial"/>
          <w:sz w:val="23"/>
          <w:szCs w:val="23"/>
          <w:color w:val="0E101A"/>
          <w:vertAlign w:val="superscript"/>
        </w:rPr>
        <w:t>®</w:t>
      </w:r>
      <w:r>
        <w:rPr>
          <w:rFonts w:ascii="Arial" w:cs="Arial" w:eastAsia="Arial" w:hAnsi="Arial"/>
          <w:sz w:val="17"/>
          <w:szCs w:val="17"/>
          <w:color w:val="0E101A"/>
        </w:rPr>
        <w:t>, prepIT</w:t>
      </w:r>
      <w:r>
        <w:rPr>
          <w:rFonts w:ascii="Arial" w:cs="Arial" w:eastAsia="Arial" w:hAnsi="Arial"/>
          <w:sz w:val="23"/>
          <w:szCs w:val="23"/>
          <w:color w:val="0E101A"/>
          <w:vertAlign w:val="superscript"/>
        </w:rPr>
        <w:t>®</w:t>
      </w:r>
      <w:r>
        <w:rPr>
          <w:rFonts w:ascii="Arial" w:cs="Arial" w:eastAsia="Arial" w:hAnsi="Arial"/>
          <w:sz w:val="17"/>
          <w:szCs w:val="17"/>
          <w:color w:val="0E101A"/>
        </w:rPr>
        <w:t>, and Hemagene</w:t>
      </w:r>
      <w:r>
        <w:rPr>
          <w:rFonts w:ascii="Arial" w:cs="Arial" w:eastAsia="Arial" w:hAnsi="Arial"/>
          <w:sz w:val="23"/>
          <w:szCs w:val="23"/>
          <w:color w:val="0E101A"/>
          <w:vertAlign w:val="superscript"/>
        </w:rPr>
        <w:t>®</w:t>
      </w:r>
      <w:r>
        <w:rPr>
          <w:rFonts w:ascii="Arial" w:cs="Arial" w:eastAsia="Arial" w:hAnsi="Arial"/>
          <w:sz w:val="17"/>
          <w:szCs w:val="17"/>
          <w:color w:val="0E101A"/>
        </w:rPr>
        <w:t xml:space="preserve"> trademarks. We also own many of these marks and others in several foreign countries and we are pursuing registration of several other trademarks.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primary goal is to empower the global community to improve health and wellness by providing access to accurate essential information through effortless tests, collection kits and services. Our business previously consisted of two segments: our “Diagnostics” segment, and our “Molecular Solutions” segment.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February 2023, we announced a corporate restructuring to combine the commercial and innovation teams across the two segments into one business unit with sales, marketing, product development and research teams covering multiple product lines. This change is intended to accelerate innovation, enhance customer experience and result in operational synergies.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Diagnostics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Diagnostics business primarily consists of the development, manufacture, marketing and sale of simple, easy to use diagnostic products and specimen collection devices using our proprietary technologies, as well as other diagnostic products including immunoassays and other in vitro diagnostic tests that are used on other specimen types. The Diagnostics business includes tests for diseases including COVID-19, HIV and Hepatitis C that are performed on a rapid basis at the point of care, and tests for drugs of abuse that are processed in a laboratory. These products are sold in the United States and internationally to various clinical laboratories, hospitals, clinics, community-based organizations, and other public health organizations, distributors, government agencies, physicians’ offices, and commercial and industrial entities. Our COVID-19 and HIV products are also sold in a consumer-friendly format in the over-the-counter (“OTC”) market in the U.S. and, in the case of the HIV product, as a self-test to individuals in a number of other countries. In 2022, after obtaining a CE mark, we launched our OraQuick® HIV Self-Test, an oral swab in-home test for HIV-1 and HIV-2, in Europe, making it available in several European countries. Through our Diagnostics business we are also developing and commercializing products that measure adherence to HIV medications including pre-exposure prophylaxis ("PrEP").</w:t>
      </w:r>
    </w:p>
    <w:p>
      <w:pPr>
        <w:spacing w:after="0" w:line="18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September 2022, we entered into an agreement with the Biomedical Advanced Research Development Authority (“BARDA”), pursuant to which BARDA will provide $8.6 million in funding to us to develop a 2nd generation Ebola test on the OraQuick® testing platform, with the objective of developing increased sensitivity and shelf life, with new chemistry and higher degrees of automation in the test’s manufacturing process.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Molecular Solutions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0E101A"/>
        </w:rPr>
        <w:t>Our Molecular Solutions business is operated by our wholly-owned subsidiaries, DNA Genotek, Diversigen, and Novosanis. Our Molecular Solutions business sells its products and services directly to its customers, primarily through its internal sales force in the U.S. domestic market, and in many international markets, and also through distributors. Our products primarily consist of collection kits and services used by clinical laboratories, direct-to-consumer laboratories, researchers, pharmaceutical companies, and animal health service and product providers. Most of our Molecular Solutions revenues are derived from product sales to commercial customers and sales into the academic and research markets. A significant portion of our total sales is from repeat customers in both markets. Molecular Solutions customers span the disease risk management, diagnostics, pharmaceutical, biotech, nutrition, companion animal and environmental markets.</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0E101A"/>
        </w:rPr>
        <w:t>In 2020, we expanded the market focus of our Molecular Solutions business by selling existing collection products for use with COVID-19 tests. In 2022, demand for COVID-19 PCR testing declined, which was primarily driven by the availability of antigen tests, the reduction in the numer of COVID-19 cases, and the wider availability of vaccines that negatively impacted the sales of the collection products. We have also developed additional collection devices for the emerging microbiome market, which focuses on studying microbiomes and their effect on human and animal health. In 2022, we launched the OMNIgene</w:t>
      </w:r>
      <w:r>
        <w:rPr>
          <w:rFonts w:ascii="Arial" w:cs="Arial" w:eastAsia="Arial" w:hAnsi="Arial"/>
          <w:sz w:val="23"/>
          <w:szCs w:val="23"/>
          <w:color w:val="000000"/>
          <w:vertAlign w:val="superscript"/>
        </w:rPr>
        <w:t>®</w:t>
      </w:r>
      <w:r>
        <w:rPr>
          <w:rFonts w:ascii="Arial" w:cs="Arial" w:eastAsia="Arial" w:hAnsi="Arial"/>
          <w:sz w:val="17"/>
          <w:szCs w:val="17"/>
          <w:color w:val="0E101A"/>
        </w:rPr>
        <w:t xml:space="preserve"> • GUT Dx collection device (OMD-200), which was granted De Novo authorization from the FDA for collection of human fecal samples and the stabilization of DNA from the bacterial community for subsequent assessment of the microbiome profile by an assay validated for use with OMNIgene</w:t>
      </w:r>
      <w:r>
        <w:rPr>
          <w:rFonts w:ascii="Arial" w:cs="Arial" w:eastAsia="Arial" w:hAnsi="Arial"/>
          <w:sz w:val="23"/>
          <w:szCs w:val="23"/>
          <w:color w:val="000000"/>
          <w:vertAlign w:val="superscript"/>
        </w:rPr>
        <w:t>®</w:t>
      </w:r>
      <w:r>
        <w:rPr>
          <w:rFonts w:ascii="Arial" w:cs="Arial" w:eastAsia="Arial" w:hAnsi="Arial"/>
          <w:sz w:val="17"/>
          <w:szCs w:val="17"/>
          <w:color w:val="0E101A"/>
        </w:rPr>
        <w:t>·GUT Dx device. Additionally, our OMNIgene</w:t>
      </w:r>
      <w:r>
        <w:rPr>
          <w:rFonts w:ascii="Arial" w:cs="Arial" w:eastAsia="Arial" w:hAnsi="Arial"/>
          <w:sz w:val="23"/>
          <w:szCs w:val="23"/>
          <w:color w:val="000000"/>
          <w:vertAlign w:val="superscript"/>
        </w:rPr>
        <w:t>®</w:t>
      </w:r>
      <w:r>
        <w:rPr>
          <w:rFonts w:ascii="Arial" w:cs="Arial" w:eastAsia="Arial" w:hAnsi="Arial"/>
          <w:sz w:val="17"/>
          <w:szCs w:val="17"/>
          <w:color w:val="0E101A"/>
        </w:rPr>
        <w:t xml:space="preserve"> • GUT DNA and RNA collection device (OMR-205), became available to gut microbiome researchers, allowing for self-collection, stabilization, storage and transportation of microbial DNA and RNA at ambient temperature for gut microbiome profiling. We leverage our existing sales force and global research connections to engage microbiome customers worldwide to establish ourselves among the leaders in ease-of-collection, stabilization, and transport of this challenging sample type. Through our partnership with Grifols, we received FDA clearance for our ORAcollect®•Dx saliva collection device for OTC use, which allows our commercial partners to use and market the device with their therapeutics or devices.</w:t>
      </w:r>
    </w:p>
    <w:p>
      <w:pPr>
        <w:spacing w:after="0" w:line="20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0E101A"/>
        </w:rPr>
        <w:t>Our Molecular Solutions products include the Colli-Pee</w:t>
      </w:r>
      <w:r>
        <w:rPr>
          <w:rFonts w:ascii="Arial" w:cs="Arial" w:eastAsia="Arial" w:hAnsi="Arial"/>
          <w:sz w:val="24"/>
          <w:szCs w:val="24"/>
          <w:color w:val="0E101A"/>
          <w:vertAlign w:val="superscript"/>
        </w:rPr>
        <w:t>®</w:t>
      </w:r>
      <w:r>
        <w:rPr>
          <w:rFonts w:ascii="Arial" w:cs="Arial" w:eastAsia="Arial" w:hAnsi="Arial"/>
          <w:sz w:val="18"/>
          <w:szCs w:val="18"/>
          <w:color w:val="0E101A"/>
        </w:rPr>
        <w:t xml:space="preserve"> device, developed and sold by our Novosanis subsidiary, for the volumetric collection of first void urine. This product is in its early stages, and initial sales are occurring primarily through distributors and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jc w:val="both"/>
        <w:spacing w:after="0" w:line="223" w:lineRule="auto"/>
        <w:rPr>
          <w:sz w:val="20"/>
          <w:szCs w:val="20"/>
          <w:color w:val="auto"/>
        </w:rPr>
      </w:pPr>
      <w:r>
        <w:rPr>
          <w:rFonts w:ascii="Arial" w:cs="Arial" w:eastAsia="Arial" w:hAnsi="Arial"/>
          <w:sz w:val="18"/>
          <w:szCs w:val="18"/>
          <w:color w:val="0E101A"/>
        </w:rPr>
        <w:t xml:space="preserve">collaborations in the liquid biopsy and sexually transmitted disease markets. </w:t>
      </w:r>
      <w:r>
        <w:rPr>
          <w:rFonts w:ascii="Arial" w:cs="Arial" w:eastAsia="Arial" w:hAnsi="Arial"/>
          <w:sz w:val="18"/>
          <w:szCs w:val="18"/>
          <w:color w:val="000000"/>
        </w:rPr>
        <w:t>In 2022, Novosanis obtained a CE mark for its Colli-Pee</w:t>
      </w:r>
      <w:r>
        <w:rPr>
          <w:rFonts w:ascii="Arial" w:cs="Arial" w:eastAsia="Arial" w:hAnsi="Arial"/>
          <w:sz w:val="24"/>
          <w:szCs w:val="24"/>
          <w:color w:val="0E101A"/>
          <w:vertAlign w:val="superscript"/>
        </w:rPr>
        <w:t>®</w:t>
      </w:r>
      <w:r>
        <w:rPr>
          <w:rFonts w:ascii="Arial" w:cs="Arial" w:eastAsia="Arial" w:hAnsi="Arial"/>
          <w:sz w:val="18"/>
          <w:szCs w:val="18"/>
          <w:color w:val="0E101A"/>
        </w:rPr>
        <w:t xml:space="preserve"> </w:t>
      </w:r>
      <w:r>
        <w:rPr>
          <w:rFonts w:ascii="Arial" w:cs="Arial" w:eastAsia="Arial" w:hAnsi="Arial"/>
          <w:sz w:val="18"/>
          <w:szCs w:val="18"/>
          <w:color w:val="000000"/>
        </w:rPr>
        <w:t>device containing a</w:t>
      </w:r>
      <w:r>
        <w:rPr>
          <w:rFonts w:ascii="Arial" w:cs="Arial" w:eastAsia="Arial" w:hAnsi="Arial"/>
          <w:sz w:val="18"/>
          <w:szCs w:val="18"/>
          <w:color w:val="0E101A"/>
        </w:rPr>
        <w:t xml:space="preserve"> </w:t>
      </w:r>
      <w:r>
        <w:rPr>
          <w:rFonts w:ascii="Arial" w:cs="Arial" w:eastAsia="Arial" w:hAnsi="Arial"/>
          <w:sz w:val="18"/>
          <w:szCs w:val="18"/>
          <w:color w:val="000000"/>
        </w:rPr>
        <w:t>prefilled tube with UAS</w:t>
      </w:r>
      <w:r>
        <w:rPr>
          <w:rFonts w:ascii="Arial" w:cs="Arial" w:eastAsia="Arial" w:hAnsi="Arial"/>
          <w:sz w:val="24"/>
          <w:szCs w:val="24"/>
          <w:color w:val="0E101A"/>
          <w:vertAlign w:val="superscript"/>
        </w:rPr>
        <w:t>®</w:t>
      </w:r>
      <w:r>
        <w:rPr>
          <w:rFonts w:ascii="Arial" w:cs="Arial" w:eastAsia="Arial" w:hAnsi="Arial"/>
          <w:sz w:val="18"/>
          <w:szCs w:val="18"/>
          <w:color w:val="000000"/>
        </w:rPr>
        <w:t xml:space="preserve"> chemistry, which is designed to stabilize urinary analytes. </w:t>
      </w:r>
      <w:r>
        <w:rPr>
          <w:rFonts w:ascii="Arial" w:cs="Arial" w:eastAsia="Arial" w:hAnsi="Arial"/>
          <w:sz w:val="18"/>
          <w:szCs w:val="18"/>
          <w:color w:val="0E101A"/>
        </w:rPr>
        <w:t>Our Diversigen subsidiary also offers laboratory and analytical services</w:t>
      </w:r>
      <w:r>
        <w:rPr>
          <w:rFonts w:ascii="Arial" w:cs="Arial" w:eastAsia="Arial" w:hAnsi="Arial"/>
          <w:sz w:val="18"/>
          <w:szCs w:val="18"/>
          <w:color w:val="000000"/>
        </w:rPr>
        <w:t xml:space="preserve"> </w:t>
      </w:r>
      <w:r>
        <w:rPr>
          <w:rFonts w:ascii="Arial" w:cs="Arial" w:eastAsia="Arial" w:hAnsi="Arial"/>
          <w:sz w:val="18"/>
          <w:szCs w:val="18"/>
          <w:color w:val="0E101A"/>
        </w:rPr>
        <w:t>for both genomics and microbiome customers to more fully meet their needs. These services are primarily provided to pharmaceutical, biotech companies, and research institutions.</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0E101A"/>
        </w:rPr>
        <w:t>In 2022, Diversigen launched its metatranscriptomics sequencing and analysis services for gut microbiome samples, which generate a microbial community’s gene expression profile to provide information about the interactions between an individual and their microbiome, creating a holistic picture of a sample’s microbial functions and expression levels.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Update Related to InteliSwab® Covid-19 Rapid Tests</w:t>
      </w:r>
    </w:p>
    <w:p>
      <w:pPr>
        <w:spacing w:after="0" w:line="234"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In June 2021, we received three Emergency Use Authorizations ("EUA") from the FDA for our InteliSwab</w:t>
      </w:r>
      <w:r>
        <w:rPr>
          <w:rFonts w:ascii="Arial" w:cs="Arial" w:eastAsia="Arial" w:hAnsi="Arial"/>
          <w:sz w:val="23"/>
          <w:szCs w:val="23"/>
          <w:color w:val="auto"/>
          <w:vertAlign w:val="superscript"/>
        </w:rPr>
        <w:t>®</w:t>
      </w:r>
      <w:r>
        <w:rPr>
          <w:rFonts w:ascii="Arial" w:cs="Arial" w:eastAsia="Arial" w:hAnsi="Arial"/>
          <w:sz w:val="17"/>
          <w:szCs w:val="17"/>
          <w:color w:val="auto"/>
        </w:rPr>
        <w:t xml:space="preserve"> COVID-19 Rapid Tests (“InteliSwab</w:t>
      </w:r>
      <w:r>
        <w:rPr>
          <w:rFonts w:ascii="Arial" w:cs="Arial" w:eastAsia="Arial" w:hAnsi="Arial"/>
          <w:sz w:val="23"/>
          <w:szCs w:val="23"/>
          <w:color w:val="auto"/>
          <w:vertAlign w:val="superscript"/>
        </w:rPr>
        <w:t>®</w:t>
      </w:r>
      <w:r>
        <w:rPr>
          <w:rFonts w:ascii="Arial" w:cs="Arial" w:eastAsia="Arial" w:hAnsi="Arial"/>
          <w:sz w:val="17"/>
          <w:szCs w:val="17"/>
          <w:color w:val="auto"/>
        </w:rPr>
        <w:t>”) for non-prescription OTC, professional point-of-care use and prescription home use. We began recording revenues on the sales of our InteliSwab</w:t>
      </w:r>
      <w:r>
        <w:rPr>
          <w:rFonts w:ascii="Arial" w:cs="Arial" w:eastAsia="Arial" w:hAnsi="Arial"/>
          <w:sz w:val="23"/>
          <w:szCs w:val="23"/>
          <w:color w:val="auto"/>
          <w:vertAlign w:val="superscript"/>
        </w:rPr>
        <w:t>®</w:t>
      </w:r>
      <w:r>
        <w:rPr>
          <w:rFonts w:ascii="Arial" w:cs="Arial" w:eastAsia="Arial" w:hAnsi="Arial"/>
          <w:sz w:val="17"/>
          <w:szCs w:val="17"/>
          <w:color w:val="auto"/>
        </w:rPr>
        <w:t xml:space="preserve"> tests during the third quarter of 2021. In January 2022, InteliSwab</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received FDA authorization for pediatric use in children ages 2 to 14. In September 2021, the Defense Logistics Agency (“DLA”) awarded the Company a procurement contract for the InteliSwab® tests for OTC use, which the DLA estimated to have a value of $205 million and which will provide InteliSwab</w:t>
      </w:r>
      <w:r>
        <w:rPr>
          <w:rFonts w:ascii="Arial" w:cs="Arial" w:eastAsia="Arial" w:hAnsi="Arial"/>
          <w:sz w:val="23"/>
          <w:szCs w:val="23"/>
          <w:color w:val="auto"/>
          <w:vertAlign w:val="superscript"/>
        </w:rPr>
        <w:t>®</w:t>
      </w:r>
      <w:r>
        <w:rPr>
          <w:rFonts w:ascii="Arial" w:cs="Arial" w:eastAsia="Arial" w:hAnsi="Arial"/>
          <w:sz w:val="17"/>
          <w:szCs w:val="17"/>
          <w:color w:val="auto"/>
        </w:rPr>
        <w:t xml:space="preserve"> tests to up to 20,000 sites throughout the United States. In 2022, the Company began to deliver tests to sites throughout the United States under this contract, and DLA has provided delivery orders against which it can continue to issue shipping instructions into 2023. On November 22, 2022, the DLA awarded us a second procurement contract for the InteliSwab</w:t>
      </w:r>
      <w:r>
        <w:rPr>
          <w:rFonts w:ascii="Arial" w:cs="Arial" w:eastAsia="Arial" w:hAnsi="Arial"/>
          <w:sz w:val="23"/>
          <w:szCs w:val="23"/>
          <w:color w:val="auto"/>
          <w:vertAlign w:val="superscript"/>
        </w:rPr>
        <w:t>®</w:t>
      </w:r>
      <w:r>
        <w:rPr>
          <w:rFonts w:ascii="Arial" w:cs="Arial" w:eastAsia="Arial" w:hAnsi="Arial"/>
          <w:sz w:val="17"/>
          <w:szCs w:val="17"/>
          <w:color w:val="auto"/>
        </w:rPr>
        <w:t xml:space="preserve"> tests for OTC use. Under the terms of the award, the contract estimate is 18 million tests, with a maximum award of 36 million tests and a guaranteed minimum award of 3.6 million tests. The contract will run from November 2022 through November 2023. In December 2022, the U.S. Department of Health and Human Services ("HHS") awarded the Company a fully funded firm fixed price contract for a total of 3.2 million InteliSwab</w:t>
      </w:r>
      <w:r>
        <w:rPr>
          <w:rFonts w:ascii="Arial" w:cs="Arial" w:eastAsia="Arial" w:hAnsi="Arial"/>
          <w:sz w:val="23"/>
          <w:szCs w:val="23"/>
          <w:color w:val="auto"/>
          <w:vertAlign w:val="superscript"/>
        </w:rPr>
        <w:t>®</w:t>
      </w:r>
      <w:r>
        <w:rPr>
          <w:rFonts w:ascii="Arial" w:cs="Arial" w:eastAsia="Arial" w:hAnsi="Arial"/>
          <w:sz w:val="17"/>
          <w:szCs w:val="17"/>
          <w:color w:val="auto"/>
        </w:rPr>
        <w:t xml:space="preserve"> tests which were delivered in February 2023. In September 2021, we entered into an agreement with BARDA, which is part of the office of the Assistant Secretary for Preparedness and Response at HHS, pursuant to which BARDA would provide the Company with up to $13.6 million in funding to obtain clearance of a premarket notification ("510(k)") and Clinical Laboratory Improvement Amendments of 1988 (“CLIA”) waiver of the InteliSwab</w:t>
      </w:r>
      <w:r>
        <w:rPr>
          <w:rFonts w:ascii="Arial" w:cs="Arial" w:eastAsia="Arial" w:hAnsi="Arial"/>
          <w:sz w:val="23"/>
          <w:szCs w:val="23"/>
          <w:color w:val="auto"/>
          <w:vertAlign w:val="superscript"/>
        </w:rPr>
        <w:t>®</w:t>
      </w:r>
      <w:r>
        <w:rPr>
          <w:rFonts w:ascii="Arial" w:cs="Arial" w:eastAsia="Arial" w:hAnsi="Arial"/>
          <w:sz w:val="17"/>
          <w:szCs w:val="17"/>
          <w:color w:val="auto"/>
        </w:rPr>
        <w:t xml:space="preserve"> tests. In May, 2022, InteliSwab</w:t>
      </w:r>
      <w:r>
        <w:rPr>
          <w:rFonts w:ascii="Arial" w:cs="Arial" w:eastAsia="Arial" w:hAnsi="Arial"/>
          <w:sz w:val="23"/>
          <w:szCs w:val="23"/>
          <w:color w:val="auto"/>
          <w:vertAlign w:val="superscript"/>
        </w:rPr>
        <w:t>®</w:t>
      </w:r>
      <w:r>
        <w:rPr>
          <w:rFonts w:ascii="Arial" w:cs="Arial" w:eastAsia="Arial" w:hAnsi="Arial"/>
          <w:sz w:val="17"/>
          <w:szCs w:val="17"/>
          <w:color w:val="auto"/>
        </w:rPr>
        <w:t xml:space="preserve"> was selected by HHS to be distributed across the United States for nationwide school testing.</w:t>
      </w:r>
    </w:p>
    <w:p>
      <w:pPr>
        <w:spacing w:after="0" w:line="210"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Through 2022, we have scaled up our operations to meet the increased demand for the InteliSwab</w:t>
      </w:r>
      <w:r>
        <w:rPr>
          <w:rFonts w:ascii="Arial" w:cs="Arial" w:eastAsia="Arial" w:hAnsi="Arial"/>
          <w:sz w:val="24"/>
          <w:szCs w:val="24"/>
          <w:color w:val="auto"/>
          <w:vertAlign w:val="superscript"/>
        </w:rPr>
        <w:t>®</w:t>
      </w:r>
      <w:r>
        <w:rPr>
          <w:rFonts w:ascii="Arial" w:cs="Arial" w:eastAsia="Arial" w:hAnsi="Arial"/>
          <w:sz w:val="18"/>
          <w:szCs w:val="18"/>
          <w:color w:val="auto"/>
        </w:rPr>
        <w:t xml:space="preserve"> tests. We significantly expanded our United States production capacity for InteliSwab</w:t>
      </w:r>
      <w:r>
        <w:rPr>
          <w:rFonts w:ascii="Arial" w:cs="Arial" w:eastAsia="Arial" w:hAnsi="Arial"/>
          <w:sz w:val="24"/>
          <w:szCs w:val="24"/>
          <w:color w:val="auto"/>
          <w:vertAlign w:val="superscript"/>
        </w:rPr>
        <w:t>®</w:t>
      </w:r>
      <w:r>
        <w:rPr>
          <w:rFonts w:ascii="Arial" w:cs="Arial" w:eastAsia="Arial" w:hAnsi="Arial"/>
          <w:sz w:val="18"/>
          <w:szCs w:val="18"/>
          <w:color w:val="auto"/>
        </w:rPr>
        <w:t xml:space="preserve"> tests to achieve capacity targets, set out in our 2021 contract with the U.S. Department of Defense ("DOD") (in coordination with the HHS), of more than 100 million tests annually.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0E101A"/>
        </w:rPr>
        <w:t>Conclusion of Exploration of Strategic Alternatives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2021, our Board of Directors announced that it would explore and evaluate a broad range of strategic alternatives with the goal of maximizing value for stockholders. In May, 2022, our Board of Directors concluded its review of strategic alternatives without a transaction.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Diagnostics 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principal Diagnostics products for the infectious disease and risk management markets: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InteliSwab</w:t>
      </w:r>
      <w:r>
        <w:rPr>
          <w:rFonts w:ascii="Arial" w:cs="Arial" w:eastAsia="Arial" w:hAnsi="Arial"/>
          <w:sz w:val="24"/>
          <w:szCs w:val="24"/>
          <w:b w:val="1"/>
          <w:bCs w:val="1"/>
          <w:i w:val="1"/>
          <w:iCs w:val="1"/>
          <w:color w:val="auto"/>
          <w:vertAlign w:val="superscript"/>
        </w:rPr>
        <w:t>®</w:t>
      </w:r>
      <w:r>
        <w:rPr>
          <w:rFonts w:ascii="Arial" w:cs="Arial" w:eastAsia="Arial" w:hAnsi="Arial"/>
          <w:sz w:val="18"/>
          <w:szCs w:val="18"/>
          <w:b w:val="1"/>
          <w:bCs w:val="1"/>
          <w:i w:val="1"/>
          <w:iCs w:val="1"/>
          <w:color w:val="auto"/>
        </w:rPr>
        <w:t xml:space="preserve"> COVID-19 Rapid Test</w:t>
      </w:r>
    </w:p>
    <w:p>
      <w:pPr>
        <w:spacing w:after="0" w:line="166"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InteliSwab</w:t>
      </w:r>
      <w:r>
        <w:rPr>
          <w:rFonts w:ascii="Arial" w:cs="Arial" w:eastAsia="Arial" w:hAnsi="Arial"/>
          <w:sz w:val="24"/>
          <w:szCs w:val="24"/>
          <w:b w:val="1"/>
          <w:bCs w:val="1"/>
          <w:color w:val="auto"/>
          <w:vertAlign w:val="superscript"/>
        </w:rPr>
        <w:t>®</w:t>
      </w:r>
      <w:r>
        <w:rPr>
          <w:rFonts w:ascii="Arial" w:cs="Arial" w:eastAsia="Arial" w:hAnsi="Arial"/>
          <w:sz w:val="18"/>
          <w:szCs w:val="18"/>
          <w:color w:val="auto"/>
        </w:rPr>
        <w:t xml:space="preserve"> is our rapid immunoassay product designed to test nasal samples for the presence of antigen from SARS-CoV-2. The device uses an integrated swab to collect a specimen from the lower nostril. After collection, the integrated swab is inserted into a vial containing a pre-measured amount of developer solution to facilitate flow of the sample into the device. The specimen and developer solution flow through the test device and test results are observable in 30 minutes. The InteliSwab</w:t>
      </w:r>
      <w:r>
        <w:rPr>
          <w:rFonts w:ascii="Arial" w:cs="Arial" w:eastAsia="Arial" w:hAnsi="Arial"/>
          <w:sz w:val="24"/>
          <w:szCs w:val="24"/>
          <w:b w:val="1"/>
          <w:bCs w:val="1"/>
          <w:color w:val="auto"/>
          <w:vertAlign w:val="superscript"/>
        </w:rPr>
        <w:t>®</w:t>
      </w:r>
      <w:r>
        <w:rPr>
          <w:rFonts w:ascii="Arial" w:cs="Arial" w:eastAsia="Arial" w:hAnsi="Arial"/>
          <w:sz w:val="18"/>
          <w:szCs w:val="18"/>
          <w:color w:val="auto"/>
        </w:rPr>
        <w:t xml:space="preserve"> test has received EUA from the FDA for non-prescription, OTC home use in individuals aged two years or older, with symptoms within the first seven (7) days of onset when tested at least twice over a three-day period with at least 48 hours between tests and without symptoms or epidemiological reasons to suspect COVID-19 when tested at least three times over a five-day period with at least 48 hours between tests.</w:t>
      </w:r>
    </w:p>
    <w:p>
      <w:pPr>
        <w:spacing w:after="0" w:line="208"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In 2022, the InteliSwab</w:t>
      </w:r>
      <w:r>
        <w:rPr>
          <w:rFonts w:ascii="Arial" w:cs="Arial" w:eastAsia="Arial" w:hAnsi="Arial"/>
          <w:sz w:val="24"/>
          <w:szCs w:val="24"/>
          <w:b w:val="1"/>
          <w:bCs w:val="1"/>
          <w:color w:val="auto"/>
          <w:vertAlign w:val="superscript"/>
        </w:rPr>
        <w:t>®</w:t>
      </w:r>
      <w:r>
        <w:rPr>
          <w:rFonts w:ascii="Arial" w:cs="Arial" w:eastAsia="Arial" w:hAnsi="Arial"/>
          <w:sz w:val="18"/>
          <w:szCs w:val="18"/>
          <w:color w:val="auto"/>
        </w:rPr>
        <w:t xml:space="preserve"> test became available for purchase on Amazon’s online store to customers in the United States. The tests are sold and orders fulfilled by Amazon.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InteliSwab</w:t>
      </w:r>
      <w:r>
        <w:rPr>
          <w:rFonts w:ascii="Arial" w:cs="Arial" w:eastAsia="Arial" w:hAnsi="Arial"/>
          <w:sz w:val="24"/>
          <w:szCs w:val="24"/>
          <w:b w:val="1"/>
          <w:bCs w:val="1"/>
          <w:i w:val="1"/>
          <w:iCs w:val="1"/>
          <w:color w:val="auto"/>
          <w:vertAlign w:val="superscript"/>
        </w:rPr>
        <w:t>®</w:t>
      </w:r>
      <w:r>
        <w:rPr>
          <w:rFonts w:ascii="Arial" w:cs="Arial" w:eastAsia="Arial" w:hAnsi="Arial"/>
          <w:sz w:val="18"/>
          <w:szCs w:val="18"/>
          <w:b w:val="1"/>
          <w:bCs w:val="1"/>
          <w:i w:val="1"/>
          <w:iCs w:val="1"/>
          <w:color w:val="auto"/>
        </w:rPr>
        <w:t xml:space="preserve"> COVID-19 Rapid Test Pro</w:t>
      </w:r>
    </w:p>
    <w:p>
      <w:pPr>
        <w:spacing w:after="0" w:line="166"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The InteliSwab</w:t>
      </w:r>
      <w:r>
        <w:rPr>
          <w:rFonts w:ascii="Arial" w:cs="Arial" w:eastAsia="Arial" w:hAnsi="Arial"/>
          <w:sz w:val="24"/>
          <w:szCs w:val="24"/>
          <w:b w:val="1"/>
          <w:bCs w:val="1"/>
          <w:color w:val="auto"/>
          <w:vertAlign w:val="superscript"/>
        </w:rPr>
        <w:t>®</w:t>
      </w:r>
      <w:r>
        <w:rPr>
          <w:rFonts w:ascii="Arial" w:cs="Arial" w:eastAsia="Arial" w:hAnsi="Arial"/>
          <w:sz w:val="18"/>
          <w:szCs w:val="18"/>
          <w:color w:val="auto"/>
        </w:rPr>
        <w:t xml:space="preserve"> COVID-19 Rapid Test Pro is a version of InteliSwab</w:t>
      </w:r>
      <w:r>
        <w:rPr>
          <w:rFonts w:ascii="Arial" w:cs="Arial" w:eastAsia="Arial" w:hAnsi="Arial"/>
          <w:sz w:val="24"/>
          <w:szCs w:val="24"/>
          <w:b w:val="1"/>
          <w:bCs w:val="1"/>
          <w:color w:val="auto"/>
          <w:vertAlign w:val="superscript"/>
        </w:rPr>
        <w:t>®</w:t>
      </w:r>
      <w:r>
        <w:rPr>
          <w:rFonts w:ascii="Arial" w:cs="Arial" w:eastAsia="Arial" w:hAnsi="Arial"/>
          <w:sz w:val="18"/>
          <w:szCs w:val="18"/>
          <w:color w:val="auto"/>
        </w:rPr>
        <w:t xml:space="preserve"> intended for use by healthcare providers at the point of care. The test is performed in the same manner as the OTC version, except that the test is run and interpreted by a healthcare provider. This test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6" w:name="page7"/>
    <w:bookmarkEnd w:id="6"/>
    <w:p>
      <w:pPr>
        <w:jc w:val="both"/>
        <w:spacing w:after="0" w:line="259" w:lineRule="auto"/>
        <w:rPr>
          <w:sz w:val="20"/>
          <w:szCs w:val="20"/>
          <w:color w:val="auto"/>
        </w:rPr>
      </w:pPr>
      <w:r>
        <w:rPr>
          <w:rFonts w:ascii="Arial" w:cs="Arial" w:eastAsia="Arial" w:hAnsi="Arial"/>
          <w:sz w:val="18"/>
          <w:szCs w:val="18"/>
          <w:color w:val="auto"/>
        </w:rPr>
        <w:t>has received EUA from the FDA for use by laboratories located in the United States certified under CLIA. We have also received a CLIA waiver for use of the test, which enables the test to be used by numerous additional sites in the United States, which are not certified under CLIA, to perform high and moderately complex tests. These additional sites include outreach clinics, community-based organizations and physicians’ offices. This test is also indicated for individuals aged 2 years and older, with and without symptoms of COVID-19.</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InteliSwab</w:t>
      </w:r>
      <w:r>
        <w:rPr>
          <w:rFonts w:ascii="Arial" w:cs="Arial" w:eastAsia="Arial" w:hAnsi="Arial"/>
          <w:sz w:val="24"/>
          <w:szCs w:val="24"/>
          <w:b w:val="1"/>
          <w:bCs w:val="1"/>
          <w:i w:val="1"/>
          <w:iCs w:val="1"/>
          <w:color w:val="auto"/>
          <w:vertAlign w:val="superscript"/>
        </w:rPr>
        <w:t>®</w:t>
      </w:r>
      <w:r>
        <w:rPr>
          <w:rFonts w:ascii="Arial" w:cs="Arial" w:eastAsia="Arial" w:hAnsi="Arial"/>
          <w:sz w:val="18"/>
          <w:szCs w:val="18"/>
          <w:b w:val="1"/>
          <w:bCs w:val="1"/>
          <w:i w:val="1"/>
          <w:iCs w:val="1"/>
          <w:color w:val="auto"/>
        </w:rPr>
        <w:t xml:space="preserve"> COVID-19 Rapid Test Rx</w:t>
      </w:r>
    </w:p>
    <w:p>
      <w:pPr>
        <w:spacing w:after="0" w:line="166"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The InteliSwab</w:t>
      </w:r>
      <w:r>
        <w:rPr>
          <w:rFonts w:ascii="Arial" w:cs="Arial" w:eastAsia="Arial" w:hAnsi="Arial"/>
          <w:sz w:val="23"/>
          <w:szCs w:val="23"/>
          <w:b w:val="1"/>
          <w:bCs w:val="1"/>
          <w:color w:val="auto"/>
          <w:vertAlign w:val="superscript"/>
        </w:rPr>
        <w:t>®</w:t>
      </w:r>
      <w:r>
        <w:rPr>
          <w:rFonts w:ascii="Arial" w:cs="Arial" w:eastAsia="Arial" w:hAnsi="Arial"/>
          <w:sz w:val="17"/>
          <w:szCs w:val="17"/>
          <w:color w:val="auto"/>
        </w:rPr>
        <w:t xml:space="preserve"> COVID-19 Rapid Test Rx is the version of InteliSwab</w:t>
      </w:r>
      <w:r>
        <w:rPr>
          <w:rFonts w:ascii="Arial" w:cs="Arial" w:eastAsia="Arial" w:hAnsi="Arial"/>
          <w:sz w:val="23"/>
          <w:szCs w:val="23"/>
          <w:b w:val="1"/>
          <w:bCs w:val="1"/>
          <w:color w:val="auto"/>
          <w:vertAlign w:val="superscript"/>
        </w:rPr>
        <w:t>®</w:t>
      </w:r>
      <w:r>
        <w:rPr>
          <w:rFonts w:ascii="Arial" w:cs="Arial" w:eastAsia="Arial" w:hAnsi="Arial"/>
          <w:sz w:val="17"/>
          <w:szCs w:val="17"/>
          <w:color w:val="auto"/>
        </w:rPr>
        <w:t xml:space="preserve"> that has received EUA from the FDA for prescription home use with individuals aged 2 years or older who are suspected of COVID-19 infection by their healthcare provider within the first seven days of symptom onset.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OraQuick</w:t>
      </w:r>
      <w:r>
        <w:rPr>
          <w:rFonts w:ascii="Arial" w:cs="Arial" w:eastAsia="Arial" w:hAnsi="Arial"/>
          <w:sz w:val="24"/>
          <w:szCs w:val="24"/>
          <w:b w:val="1"/>
          <w:bCs w:val="1"/>
          <w:i w:val="1"/>
          <w:iCs w:val="1"/>
          <w:color w:val="auto"/>
          <w:vertAlign w:val="superscript"/>
        </w:rPr>
        <w:t>®</w:t>
      </w:r>
      <w:r>
        <w:rPr>
          <w:rFonts w:ascii="Arial" w:cs="Arial" w:eastAsia="Arial" w:hAnsi="Arial"/>
          <w:sz w:val="18"/>
          <w:szCs w:val="18"/>
          <w:b w:val="1"/>
          <w:bCs w:val="1"/>
          <w:i w:val="1"/>
          <w:iCs w:val="1"/>
          <w:color w:val="auto"/>
        </w:rPr>
        <w:t xml:space="preserve"> Rapid HIV Test</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OraQuick</w:t>
      </w:r>
      <w:r>
        <w:rPr>
          <w:rFonts w:ascii="Arial" w:cs="Arial" w:eastAsia="Arial" w:hAnsi="Arial"/>
          <w:sz w:val="21"/>
          <w:szCs w:val="21"/>
          <w:color w:val="auto"/>
          <w:vertAlign w:val="superscript"/>
        </w:rPr>
        <w:t>®</w:t>
      </w:r>
      <w:r>
        <w:rPr>
          <w:rFonts w:ascii="Arial" w:cs="Arial" w:eastAsia="Arial" w:hAnsi="Arial"/>
          <w:sz w:val="16"/>
          <w:szCs w:val="16"/>
          <w:color w:val="auto"/>
        </w:rPr>
        <w:t xml:space="preserve"> Rapid HIV Test is our rapid point-of-care test product designed to test oral fluid, whole blood (i.e., both finger-stick and venous), plasma and serum samples for the presence of various antibodies. The device uses a porous flat pad to collect an oral fluid specimen. After collection, the pad is inserted into a vial containing a pre-measured amount of developer solution and allowed to develop. When blood, plasma or serum is to be tested, a loop collection device is used to collect a drop of the specimen and mix it in the developer solution, after which the collection pad is inserted into the solution and allowed to develop. In all cases, the specimen and developer solution then flow through the testing device where test results are observable in approximately 20 minutes. The OraQuick</w:t>
      </w:r>
      <w:r>
        <w:rPr>
          <w:rFonts w:ascii="Arial" w:cs="Arial" w:eastAsia="Arial" w:hAnsi="Arial"/>
          <w:sz w:val="21"/>
          <w:szCs w:val="21"/>
          <w:color w:val="auto"/>
          <w:vertAlign w:val="superscript"/>
        </w:rPr>
        <w:t>®</w:t>
      </w:r>
      <w:r>
        <w:rPr>
          <w:rFonts w:ascii="Arial" w:cs="Arial" w:eastAsia="Arial" w:hAnsi="Arial"/>
          <w:sz w:val="16"/>
          <w:szCs w:val="16"/>
          <w:color w:val="auto"/>
        </w:rPr>
        <w:t xml:space="preserve"> device is a screening test and requires a confirmation test where an initial positive result is obtained. This product is sold under the OraQuick </w:t>
      </w:r>
      <w:r>
        <w:rPr>
          <w:rFonts w:ascii="Arial" w:cs="Arial" w:eastAsia="Arial" w:hAnsi="Arial"/>
          <w:sz w:val="16"/>
          <w:szCs w:val="16"/>
          <w:i w:val="1"/>
          <w:iCs w:val="1"/>
          <w:color w:val="auto"/>
        </w:rPr>
        <w:t>ADVANCE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name in North America, Europe and certain other countries and under the OraQuick</w:t>
      </w:r>
      <w:r>
        <w:rPr>
          <w:rFonts w:ascii="Arial" w:cs="Arial" w:eastAsia="Arial" w:hAnsi="Arial"/>
          <w:sz w:val="21"/>
          <w:szCs w:val="21"/>
          <w:color w:val="auto"/>
          <w:vertAlign w:val="superscript"/>
        </w:rPr>
        <w:t>®</w:t>
      </w:r>
      <w:r>
        <w:rPr>
          <w:rFonts w:ascii="Arial" w:cs="Arial" w:eastAsia="Arial" w:hAnsi="Arial"/>
          <w:sz w:val="16"/>
          <w:szCs w:val="16"/>
          <w:color w:val="auto"/>
        </w:rPr>
        <w:t xml:space="preserve"> name in other developing countries. The test has received approval of a premarket approval (“PMA”) application from the FDA for the detection of antibodies to both HIV-1 and HIV-2 in oral fluid, finger-stick whole blood, venous whole blood and plasma. This test is available for use by laboratories located in the United States certified under CLIA, to perform moderately complex tests. We have also received a CLIA waiver for use of the test with oral fluid and finger-stick and venous whole blood. As a result, the test can be used by numerous additional sites in the United States not certified under CLIA to perform moderately complex tests, such as outreach clinics, community-based organizations and physicians’ offices.</w:t>
      </w:r>
    </w:p>
    <w:p>
      <w:pPr>
        <w:spacing w:after="0" w:line="19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On the international front, we have obtained a CE mark for our OraQuick </w:t>
      </w:r>
      <w:r>
        <w:rPr>
          <w:rFonts w:ascii="Arial" w:cs="Arial" w:eastAsia="Arial" w:hAnsi="Arial"/>
          <w:sz w:val="18"/>
          <w:szCs w:val="18"/>
          <w:i w:val="1"/>
          <w:iCs w:val="1"/>
          <w:color w:val="auto"/>
        </w:rPr>
        <w:t>ADVANCE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test so that we can sell this product in Europe and other countries accepting the CE mark for commercialization and this product is registered for sale in other countries. We have distributors in place for several countries and are seeking to increase awareness and expand our distribution network for this product throughout the world. We have also received World Health Organization (“WHO”) pre-qualification for our export-only version of this product.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OraQuick</w:t>
      </w:r>
      <w:r>
        <w:rPr>
          <w:rFonts w:ascii="Arial" w:cs="Arial" w:eastAsia="Arial" w:hAnsi="Arial"/>
          <w:sz w:val="24"/>
          <w:szCs w:val="24"/>
          <w:b w:val="1"/>
          <w:bCs w:val="1"/>
          <w:i w:val="1"/>
          <w:iCs w:val="1"/>
          <w:color w:val="auto"/>
          <w:vertAlign w:val="superscript"/>
        </w:rPr>
        <w:t>®</w:t>
      </w:r>
      <w:r>
        <w:rPr>
          <w:rFonts w:ascii="Arial" w:cs="Arial" w:eastAsia="Arial" w:hAnsi="Arial"/>
          <w:sz w:val="18"/>
          <w:szCs w:val="18"/>
          <w:b w:val="1"/>
          <w:bCs w:val="1"/>
          <w:i w:val="1"/>
          <w:iCs w:val="1"/>
          <w:color w:val="auto"/>
        </w:rPr>
        <w:t xml:space="preserve"> In-Home HIV Test</w:t>
      </w:r>
    </w:p>
    <w:p>
      <w:pPr>
        <w:spacing w:after="0" w:line="170"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The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In-Home HIV test is an OTC oral-fluid only version of our OraQuick </w:t>
      </w:r>
      <w:r>
        <w:rPr>
          <w:rFonts w:ascii="Arial" w:cs="Arial" w:eastAsia="Arial" w:hAnsi="Arial"/>
          <w:sz w:val="18"/>
          <w:szCs w:val="18"/>
          <w:i w:val="1"/>
          <w:iCs w:val="1"/>
          <w:color w:val="auto"/>
        </w:rPr>
        <w:t>ADVANCE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HIV 1/2 Antibody Test. We received PMA approval to sell this test in the U.S. OTC market. The In-Home test is performed in the same manner as the OraQuick </w:t>
      </w:r>
      <w:r>
        <w:rPr>
          <w:rFonts w:ascii="Arial" w:cs="Arial" w:eastAsia="Arial" w:hAnsi="Arial"/>
          <w:sz w:val="18"/>
          <w:szCs w:val="18"/>
          <w:i w:val="1"/>
          <w:iCs w:val="1"/>
          <w:color w:val="auto"/>
        </w:rPr>
        <w:t>ADVANCE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test, except that it has product labeling and instructions designed for consumers. In addition, we have established toll-free, 24/7, 365-day per year customer telephone support to provide additional information and referral services for consumers that use this product.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OraQuick</w:t>
      </w:r>
      <w:r>
        <w:rPr>
          <w:rFonts w:ascii="Arial" w:cs="Arial" w:eastAsia="Arial" w:hAnsi="Arial"/>
          <w:sz w:val="24"/>
          <w:szCs w:val="24"/>
          <w:b w:val="1"/>
          <w:bCs w:val="1"/>
          <w:i w:val="1"/>
          <w:iCs w:val="1"/>
          <w:color w:val="auto"/>
          <w:vertAlign w:val="superscript"/>
        </w:rPr>
        <w:t>®</w:t>
      </w:r>
      <w:r>
        <w:rPr>
          <w:rFonts w:ascii="Arial" w:cs="Arial" w:eastAsia="Arial" w:hAnsi="Arial"/>
          <w:sz w:val="18"/>
          <w:szCs w:val="18"/>
          <w:b w:val="1"/>
          <w:bCs w:val="1"/>
          <w:i w:val="1"/>
          <w:iCs w:val="1"/>
          <w:color w:val="auto"/>
        </w:rPr>
        <w:t xml:space="preserve"> HIV Self-Test</w:t>
      </w:r>
    </w:p>
    <w:p>
      <w:pPr>
        <w:spacing w:after="0" w:line="170" w:lineRule="exact"/>
        <w:rPr>
          <w:sz w:val="20"/>
          <w:szCs w:val="20"/>
          <w:color w:val="auto"/>
        </w:rPr>
      </w:pPr>
    </w:p>
    <w:p>
      <w:pPr>
        <w:jc w:val="both"/>
        <w:ind w:right="20"/>
        <w:spacing w:after="0" w:line="233" w:lineRule="auto"/>
        <w:rPr>
          <w:sz w:val="20"/>
          <w:szCs w:val="20"/>
          <w:color w:val="auto"/>
        </w:rPr>
      </w:pPr>
      <w:r>
        <w:rPr>
          <w:rFonts w:ascii="Arial" w:cs="Arial" w:eastAsia="Arial" w:hAnsi="Arial"/>
          <w:sz w:val="18"/>
          <w:szCs w:val="18"/>
          <w:color w:val="auto"/>
        </w:rPr>
        <w:t>The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HIV Self-Test is sold for use by individuals in certain foreign countries, including under the CE mark in certain European countries, to meet the needs of those markets. This product has received WHO pre-qualification and is eligible for procurement by purchasing entities entitled to access funding and other resources from the Global Fund, UNITAID and other agencies.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OraQuick</w:t>
      </w:r>
      <w:r>
        <w:rPr>
          <w:rFonts w:ascii="Arial" w:cs="Arial" w:eastAsia="Arial" w:hAnsi="Arial"/>
          <w:sz w:val="24"/>
          <w:szCs w:val="24"/>
          <w:b w:val="1"/>
          <w:bCs w:val="1"/>
          <w:i w:val="1"/>
          <w:iCs w:val="1"/>
          <w:color w:val="auto"/>
          <w:vertAlign w:val="superscript"/>
        </w:rPr>
        <w:t>®</w:t>
      </w:r>
      <w:r>
        <w:rPr>
          <w:rFonts w:ascii="Arial" w:cs="Arial" w:eastAsia="Arial" w:hAnsi="Arial"/>
          <w:sz w:val="18"/>
          <w:szCs w:val="18"/>
          <w:b w:val="1"/>
          <w:bCs w:val="1"/>
          <w:i w:val="1"/>
          <w:iCs w:val="1"/>
          <w:color w:val="auto"/>
        </w:rPr>
        <w:t xml:space="preserve"> HCV Rapid Antibody Test</w:t>
      </w:r>
    </w:p>
    <w:p>
      <w:pPr>
        <w:spacing w:after="0" w:line="170"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Another test available on the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platform is the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HCV rapid antibody test. This product is a qualitative test that can detect antibodies to the hepatitis C virus (“HCV”), in a variety of sample types. The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HCV test operates in substantially the same manner as the OraQuick ADVANCE</w:t>
      </w:r>
      <w:r>
        <w:rPr>
          <w:rFonts w:ascii="Arial" w:cs="Arial" w:eastAsia="Arial" w:hAnsi="Arial"/>
          <w:sz w:val="24"/>
          <w:szCs w:val="24"/>
          <w:color w:val="auto"/>
          <w:vertAlign w:val="superscript"/>
        </w:rPr>
        <w:t>®</w:t>
      </w:r>
      <w:r>
        <w:rPr>
          <w:rFonts w:ascii="Arial" w:cs="Arial" w:eastAsia="Arial" w:hAnsi="Arial"/>
          <w:sz w:val="18"/>
          <w:szCs w:val="18"/>
          <w:color w:val="auto"/>
        </w:rPr>
        <w:t>HIV test.</w:t>
      </w:r>
    </w:p>
    <w:p>
      <w:pPr>
        <w:spacing w:after="0" w:line="1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received FDA PMA approval and CLIA waiver for use of the test in detecting HCV antibodies in venous whole blood and finger-stick whole blood specimens, making it the first and only rapid HCV test approved by the FDA for use in the United States. The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HCV test has received a CE mark for use with oral fluid, venous whole blood, finger-stick whole blood, plasma and serum and is sold in Europe. This CE-marked product is also registered and sold in other foreign countries and has received WHO pre-qualification.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OraQuick</w:t>
      </w:r>
      <w:r>
        <w:rPr>
          <w:rFonts w:ascii="Arial" w:cs="Arial" w:eastAsia="Arial" w:hAnsi="Arial"/>
          <w:sz w:val="24"/>
          <w:szCs w:val="24"/>
          <w:b w:val="1"/>
          <w:bCs w:val="1"/>
          <w:i w:val="1"/>
          <w:iCs w:val="1"/>
          <w:color w:val="auto"/>
          <w:vertAlign w:val="superscript"/>
        </w:rPr>
        <w:t>®</w:t>
      </w:r>
      <w:r>
        <w:rPr>
          <w:rFonts w:ascii="Arial" w:cs="Arial" w:eastAsia="Arial" w:hAnsi="Arial"/>
          <w:sz w:val="18"/>
          <w:szCs w:val="18"/>
          <w:b w:val="1"/>
          <w:bCs w:val="1"/>
          <w:i w:val="1"/>
          <w:iCs w:val="1"/>
          <w:color w:val="auto"/>
        </w:rPr>
        <w:t xml:space="preserve"> Ebola Rapid Antigen Test</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have received 510(k) clearance from the FDA for our rapid Ebola test, making it the first and only rapid Ebola test cleared for sale in the U.S. This product utilizes the OraQuick</w:t>
      </w:r>
      <w:r>
        <w:rPr>
          <w:rFonts w:ascii="Arial" w:cs="Arial" w:eastAsia="Arial" w:hAnsi="Arial"/>
          <w:sz w:val="23"/>
          <w:szCs w:val="23"/>
          <w:color w:val="auto"/>
          <w:vertAlign w:val="superscript"/>
        </w:rPr>
        <w:t>®</w:t>
      </w:r>
      <w:r>
        <w:rPr>
          <w:rFonts w:ascii="Arial" w:cs="Arial" w:eastAsia="Arial" w:hAnsi="Arial"/>
          <w:sz w:val="17"/>
          <w:szCs w:val="17"/>
          <w:color w:val="auto"/>
        </w:rPr>
        <w:t xml:space="preserve"> technology platform for the detection of Ebola antigen and can be used with finger-stick and whole blood samples from live patients and oral fluid samples from recently deceased individuals. The uses for this test are limited to individuals that meet certain criteria indicating they may be infected with the Ebola virus, so the test is not available for general screening of individuals that do not meet this criteria.</w:t>
      </w:r>
    </w:p>
    <w:p>
      <w:pPr>
        <w:spacing w:after="0" w:line="193"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In September 2022, we entered into an agreement with BARDA, pursuant to which BARDA will provide up to $8.6 million in funding to us to develop a 2nd generation Ebola test on the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testing platform.</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OraSure</w:t>
      </w:r>
      <w:r>
        <w:rPr>
          <w:rFonts w:ascii="Arial" w:cs="Arial" w:eastAsia="Arial" w:hAnsi="Arial"/>
          <w:sz w:val="24"/>
          <w:szCs w:val="24"/>
          <w:b w:val="1"/>
          <w:bCs w:val="1"/>
          <w:i w:val="1"/>
          <w:iCs w:val="1"/>
          <w:color w:val="auto"/>
          <w:vertAlign w:val="superscript"/>
        </w:rPr>
        <w:t>®</w:t>
      </w:r>
      <w:r>
        <w:rPr>
          <w:rFonts w:ascii="Arial" w:cs="Arial" w:eastAsia="Arial" w:hAnsi="Arial"/>
          <w:sz w:val="18"/>
          <w:szCs w:val="18"/>
          <w:b w:val="1"/>
          <w:bCs w:val="1"/>
          <w:i w:val="1"/>
          <w:iCs w:val="1"/>
          <w:color w:val="auto"/>
        </w:rPr>
        <w:t xml:space="preserve"> Collection Device</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Our OraSure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oral fluid collection device is used in conjunction with screening and confirmatory tests for HIV-1 antibodies. The generic version of this product can be used for other analytes. This device consists of a small, treated cotton-fiber pad on a handle that is placed in a person’s mouth for two to five minutes. The device collects oral mucosal transudate, a serum-derived fluid that contains higher concentrations of certain antibodies and analytes than saliva. As a result, oral mucosal transudate testing is a highly accurate method for detecting HIV-1 infection and other analytes.</w:t>
      </w:r>
    </w:p>
    <w:p>
      <w:pPr>
        <w:spacing w:after="0" w:line="197"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The OraSure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collection device is FDA approved for use in the detection of HIV-1 antibodies. The generic version is a Class I medical device for the detection of cocaine and cotinine in oral fluid specimens for risk assessment testing. HIV-1 antibody detection using the OraSure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collection device involves three steps:</w:t>
      </w:r>
    </w:p>
    <w:p>
      <w:pPr>
        <w:spacing w:after="0" w:line="100" w:lineRule="exact"/>
        <w:rPr>
          <w:sz w:val="20"/>
          <w:szCs w:val="20"/>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Collection of an oral fluid specimen using the OraSure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device;</w:t>
      </w:r>
    </w:p>
    <w:p>
      <w:pPr>
        <w:spacing w:after="0" w:line="70" w:lineRule="exact"/>
        <w:rPr>
          <w:rFonts w:ascii="Arial" w:cs="Arial" w:eastAsia="Arial" w:hAnsi="Arial"/>
          <w:sz w:val="18"/>
          <w:szCs w:val="18"/>
          <w:color w:val="auto"/>
        </w:rPr>
      </w:pPr>
    </w:p>
    <w:p>
      <w:pPr>
        <w:ind w:left="1020" w:hanging="503"/>
        <w:spacing w:after="0" w:line="281"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Screening of the specimen for HIV-1 antibodies at a laboratory with an enzyme immunoassay (“EIA”) screening test approved by the FDA for use with the OraSure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device; and</w:t>
      </w:r>
    </w:p>
    <w:p>
      <w:pPr>
        <w:spacing w:after="0" w:line="1"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Laboratory confirmation of any positive screening test results with a blood-based nucleic acid test.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trained health care professional then conveys test results and provides appropriate counseling to the individual who was tested.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Intercept</w:t>
      </w:r>
      <w:r>
        <w:rPr>
          <w:rFonts w:ascii="Arial" w:cs="Arial" w:eastAsia="Arial" w:hAnsi="Arial"/>
          <w:sz w:val="24"/>
          <w:szCs w:val="24"/>
          <w:b w:val="1"/>
          <w:bCs w:val="1"/>
          <w:i w:val="1"/>
          <w:iCs w:val="1"/>
          <w:color w:val="auto"/>
          <w:vertAlign w:val="superscript"/>
        </w:rPr>
        <w:t>®</w:t>
      </w:r>
      <w:r>
        <w:rPr>
          <w:rFonts w:ascii="Arial" w:cs="Arial" w:eastAsia="Arial" w:hAnsi="Arial"/>
          <w:sz w:val="18"/>
          <w:szCs w:val="18"/>
          <w:b w:val="1"/>
          <w:bCs w:val="1"/>
          <w:i w:val="1"/>
          <w:iCs w:val="1"/>
          <w:color w:val="auto"/>
        </w:rPr>
        <w:t xml:space="preserve"> Drug Testing System</w:t>
      </w:r>
    </w:p>
    <w:p>
      <w:pPr>
        <w:spacing w:after="0" w:line="170"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A collection device that is substantially similar to the OraSure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collection device is sold under the name Intercept</w:t>
      </w:r>
      <w:r>
        <w:rPr>
          <w:rFonts w:ascii="Arial" w:cs="Arial" w:eastAsia="Arial" w:hAnsi="Arial"/>
          <w:sz w:val="24"/>
          <w:szCs w:val="24"/>
          <w:color w:val="auto"/>
          <w:vertAlign w:val="superscript"/>
        </w:rPr>
        <w:t>®</w:t>
      </w:r>
      <w:r>
        <w:rPr>
          <w:rFonts w:ascii="Arial" w:cs="Arial" w:eastAsia="Arial" w:hAnsi="Arial"/>
          <w:sz w:val="18"/>
          <w:szCs w:val="18"/>
          <w:color w:val="auto"/>
        </w:rPr>
        <w:t>, and is used to collect oral mucosal transudate for oral fluid drug testing. We have received FDA 510(k) clearance to use the Intercept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collection device with laboratory-based EIAs to test for drugs-of-abuse commonly identified by the National Institute for Drug Abuse (“NIDA”) as the NIDA-5 (i.e., tetrahydrocannabinol (“THC” or marijuana), cocaine, opiates, amphetamines/methamphetamines and phencyclidine (“PCP”)), and for barbiturates, methadone and benzodiazepines. Each of these EIAs is also FDA 510(k) cleared for use with the Intercept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device. Our Intercept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device and oral fluid assays are sold in the U.S. primarily through laboratory distributors.</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We believe that the Intercept</w:t>
      </w:r>
      <w:r>
        <w:rPr>
          <w:rFonts w:ascii="Arial" w:cs="Arial" w:eastAsia="Arial" w:hAnsi="Arial"/>
          <w:sz w:val="21"/>
          <w:szCs w:val="21"/>
          <w:color w:val="auto"/>
          <w:vertAlign w:val="superscript"/>
        </w:rPr>
        <w:t>®</w:t>
      </w:r>
      <w:r>
        <w:rPr>
          <w:rFonts w:ascii="Arial" w:cs="Arial" w:eastAsia="Arial" w:hAnsi="Arial"/>
          <w:sz w:val="16"/>
          <w:szCs w:val="16"/>
          <w:color w:val="auto"/>
        </w:rPr>
        <w:t xml:space="preserve"> device has several advantages over competing urine and other drugs-of-abuse testing products, including its lower total testing cost, its non-invasive nature, mobility and accuracy, the ease of maintaining a chain-of-custody, the treatment of test subjects with greater dignity, no requirement for specially-prepared collection facilities and difficulty of sample adulteration. The availability of an oral fluid test is intended to allow our customers to test for drug impairment and eliminate scheduling costs and inconvenience, thereby streamlining the testing process.</w:t>
      </w:r>
    </w:p>
    <w:p>
      <w:pPr>
        <w:spacing w:after="0" w:line="181"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We have also developed a next-generation collection device, which we are marketing under the trade name “Intercept i2</w:t>
      </w:r>
      <w:r>
        <w:rPr>
          <w:rFonts w:ascii="Arial" w:cs="Arial" w:eastAsia="Arial" w:hAnsi="Arial"/>
          <w:sz w:val="24"/>
          <w:szCs w:val="24"/>
          <w:color w:val="auto"/>
          <w:vertAlign w:val="superscript"/>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he</w:t>
      </w:r>
      <w:r>
        <w:rPr>
          <w:rFonts w:ascii="Arial" w:cs="Arial" w:eastAsia="Arial" w:hAnsi="Arial"/>
          <w:sz w:val="18"/>
          <w:szCs w:val="18"/>
          <w:color w:val="auto"/>
        </w:rPr>
        <w:t>”. This device offers several important advantages over our original Intercept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device, including a sample adequacy indicator that provides a visual prompt when the appropriate volume of oral fluid has been collected, the ability to collect a larger sample required by current laboratory testing protocols and a more optimized chemistry that results in improved recovery of the targeted drug analytes. The Intercept i2</w:t>
      </w:r>
      <w:r>
        <w:rPr>
          <w:rFonts w:ascii="Arial" w:cs="Arial" w:eastAsia="Arial" w:hAnsi="Arial"/>
          <w:sz w:val="24"/>
          <w:szCs w:val="24"/>
          <w:color w:val="auto"/>
          <w:vertAlign w:val="superscript"/>
        </w:rPr>
        <w:t>®</w:t>
      </w:r>
      <w:r>
        <w:rPr>
          <w:rFonts w:ascii="Arial" w:cs="Arial" w:eastAsia="Arial" w:hAnsi="Arial"/>
          <w:sz w:val="18"/>
          <w:szCs w:val="18"/>
          <w:i w:val="1"/>
          <w:iCs w:val="1"/>
          <w:color w:val="auto"/>
        </w:rPr>
        <w:t>he</w:t>
      </w:r>
      <w:r>
        <w:rPr>
          <w:rFonts w:ascii="Arial" w:cs="Arial" w:eastAsia="Arial" w:hAnsi="Arial"/>
          <w:sz w:val="18"/>
          <w:szCs w:val="18"/>
          <w:color w:val="auto"/>
        </w:rPr>
        <w:t xml:space="preserve"> device is currently being sold as a forensic use only device within the criminal justice and drug treatment markets along with a NIDA-5 panel of fully-automated high-throughput oral fluid drug assays that we distribute under an agreement with Thermo Fisher Scientific.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Immunoassay Tests and Reagents</w:t>
      </w:r>
    </w:p>
    <w:p>
      <w:pPr>
        <w:spacing w:after="0" w:line="230"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We develop and sell immunoassay tests in formats, known as MICRO-PLATE and AUTO-LYTE</w:t>
      </w:r>
      <w:r>
        <w:rPr>
          <w:rFonts w:ascii="Arial" w:cs="Arial" w:eastAsia="Arial" w:hAnsi="Arial"/>
          <w:sz w:val="24"/>
          <w:szCs w:val="24"/>
          <w:color w:val="auto"/>
          <w:vertAlign w:val="superscript"/>
        </w:rPr>
        <w:t>®</w:t>
      </w:r>
      <w:r>
        <w:rPr>
          <w:rFonts w:ascii="Arial" w:cs="Arial" w:eastAsia="Arial" w:hAnsi="Arial"/>
          <w:sz w:val="18"/>
          <w:szCs w:val="18"/>
          <w:color w:val="auto"/>
        </w:rPr>
        <w:t>, to meet the specific needs of our customers. We also sell fully-automated high-throughput oral fluid drug assays developed under our agreement with Thermo Fisher.</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8" w:name="page9"/>
    <w:bookmarkEnd w:id="8"/>
    <w:p>
      <w:pPr>
        <w:jc w:val="both"/>
        <w:spacing w:after="0" w:line="241" w:lineRule="auto"/>
        <w:rPr>
          <w:sz w:val="20"/>
          <w:szCs w:val="20"/>
          <w:color w:val="auto"/>
        </w:rPr>
      </w:pPr>
      <w:r>
        <w:rPr>
          <w:rFonts w:ascii="Arial" w:cs="Arial" w:eastAsia="Arial" w:hAnsi="Arial"/>
          <w:sz w:val="17"/>
          <w:szCs w:val="17"/>
          <w:color w:val="auto"/>
        </w:rPr>
        <w:t>Our MICRO-PLATE tests can be performed on commonly used instruments and can detect drugs in urine, serum and sweat specimens. MICRO-PLATE tests are also used as part of the Intercept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product line to detect drugs-of-abuse in oral fluid specimens and we are selling a NIDA-5 panel of microplate assays supplied by Thermo Fisher to the U.S. forensic market under the agreement described above. AUTO-LYTE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tests are sold in the form of bottles of liquid reagents, are run on commercially available laboratory-based automated analytical instruments, and are typically used in high volume, automated, commercial reference insurance laboratories to detect certain drugs or chemicals in urine.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Q.E.D.</w:t>
      </w:r>
      <w:r>
        <w:rPr>
          <w:rFonts w:ascii="Arial" w:cs="Arial" w:eastAsia="Arial" w:hAnsi="Arial"/>
          <w:sz w:val="24"/>
          <w:szCs w:val="24"/>
          <w:b w:val="1"/>
          <w:bCs w:val="1"/>
          <w:i w:val="1"/>
          <w:iCs w:val="1"/>
          <w:color w:val="auto"/>
          <w:vertAlign w:val="superscript"/>
        </w:rPr>
        <w:t>®</w:t>
      </w:r>
      <w:r>
        <w:rPr>
          <w:rFonts w:ascii="Arial" w:cs="Arial" w:eastAsia="Arial" w:hAnsi="Arial"/>
          <w:sz w:val="18"/>
          <w:szCs w:val="18"/>
          <w:b w:val="1"/>
          <w:bCs w:val="1"/>
          <w:i w:val="1"/>
          <w:iCs w:val="1"/>
          <w:color w:val="auto"/>
        </w:rPr>
        <w:t xml:space="preserve"> Saliva Alcohol Test</w:t>
      </w:r>
    </w:p>
    <w:p>
      <w:pPr>
        <w:spacing w:after="0" w:line="170"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Our Q.E.D.</w:t>
      </w:r>
      <w:r>
        <w:rPr>
          <w:rFonts w:ascii="Arial" w:cs="Arial" w:eastAsia="Arial" w:hAnsi="Arial"/>
          <w:sz w:val="24"/>
          <w:szCs w:val="24"/>
          <w:color w:val="auto"/>
          <w:vertAlign w:val="superscript"/>
        </w:rPr>
        <w:t>®</w:t>
      </w:r>
      <w:r>
        <w:rPr>
          <w:rFonts w:ascii="Arial" w:cs="Arial" w:eastAsia="Arial" w:hAnsi="Arial"/>
          <w:sz w:val="18"/>
          <w:szCs w:val="18"/>
          <w:color w:val="auto"/>
        </w:rPr>
        <w:t xml:space="preserve"> saliva alcohol test is a point-of-care test device that is a cost-effective alternative to breath or blood alcohol testing. The test is a quantitative, saliva-based method for the detection of ethanol, has been cleared for sale by the FDA and has received a CLIA waiver. The U.S. Department of Transportation (“DOT”) has also approved the test.</w:t>
      </w:r>
    </w:p>
    <w:p>
      <w:pPr>
        <w:spacing w:after="0" w:line="204"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Each Q.E.D.</w:t>
      </w:r>
      <w:r>
        <w:rPr>
          <w:rFonts w:ascii="Arial" w:cs="Arial" w:eastAsia="Arial" w:hAnsi="Arial"/>
          <w:sz w:val="24"/>
          <w:szCs w:val="24"/>
          <w:b w:val="1"/>
          <w:bCs w:val="1"/>
          <w:color w:val="auto"/>
          <w:vertAlign w:val="superscript"/>
        </w:rPr>
        <w:t>®</w:t>
      </w:r>
      <w:r>
        <w:rPr>
          <w:rFonts w:ascii="Arial" w:cs="Arial" w:eastAsia="Arial" w:hAnsi="Arial"/>
          <w:sz w:val="18"/>
          <w:szCs w:val="18"/>
          <w:color w:val="auto"/>
        </w:rPr>
        <w:t xml:space="preserve"> test kit contains a collection stick that is used to collect a sample of saliva and a disposable detection device that displays results in a format similar to a thermometer. The Q.E.D.</w:t>
      </w:r>
      <w:r>
        <w:rPr>
          <w:rFonts w:ascii="Arial" w:cs="Arial" w:eastAsia="Arial" w:hAnsi="Arial"/>
          <w:sz w:val="24"/>
          <w:szCs w:val="24"/>
          <w:b w:val="1"/>
          <w:bCs w:val="1"/>
          <w:color w:val="auto"/>
          <w:vertAlign w:val="superscript"/>
        </w:rPr>
        <w:t>®</w:t>
      </w:r>
      <w:r>
        <w:rPr>
          <w:rFonts w:ascii="Arial" w:cs="Arial" w:eastAsia="Arial" w:hAnsi="Arial"/>
          <w:sz w:val="18"/>
          <w:szCs w:val="18"/>
          <w:color w:val="auto"/>
        </w:rPr>
        <w:t xml:space="preserve"> device is easy to operate and instrumentation is not required to read the result. The product has a testing range of 0 to 0.145% blood alcohol and produces results in approximately two minutes.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Molecular Solutions 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Genomic Products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sell many genomic products that provide all-in-one systems for the collection, stabilization, transportation, and storage of DNA, RNA, as well as both DNA and RNA together from human and animal biological samples. Our lead products are sold under the Oragene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and ORAcollect</w:t>
      </w:r>
      <w:r>
        <w:rPr>
          <w:rFonts w:ascii="Arial" w:cs="Arial" w:eastAsia="Arial" w:hAnsi="Arial"/>
          <w:sz w:val="21"/>
          <w:szCs w:val="21"/>
          <w:color w:val="auto"/>
          <w:vertAlign w:val="superscript"/>
        </w:rPr>
        <w:t>®</w:t>
      </w:r>
      <w:r>
        <w:rPr>
          <w:rFonts w:ascii="Arial" w:cs="Arial" w:eastAsia="Arial" w:hAnsi="Arial"/>
          <w:sz w:val="16"/>
          <w:szCs w:val="16"/>
          <w:color w:val="auto"/>
        </w:rPr>
        <w:t xml:space="preserve"> brands and are used to collect genetic material from human saliva. These products are currently sold to thousands of academic research and commercial customers in many countries worldwide. In 2022, </w:t>
      </w:r>
      <w:r>
        <w:rPr>
          <w:rFonts w:ascii="Arial" w:cs="Arial" w:eastAsia="Arial" w:hAnsi="Arial"/>
          <w:sz w:val="16"/>
          <w:szCs w:val="16"/>
          <w:color w:val="0E101A"/>
        </w:rPr>
        <w:t>we received FDA clearance for our ORAcollect</w:t>
      </w:r>
      <w:r>
        <w:rPr>
          <w:rFonts w:ascii="Arial" w:cs="Arial" w:eastAsia="Arial" w:hAnsi="Arial"/>
          <w:sz w:val="21"/>
          <w:szCs w:val="21"/>
          <w:color w:val="0E101A"/>
          <w:vertAlign w:val="superscript"/>
        </w:rPr>
        <w:t>®</w:t>
      </w:r>
      <w:r>
        <w:rPr>
          <w:rFonts w:ascii="Arial" w:cs="Arial" w:eastAsia="Arial" w:hAnsi="Arial"/>
          <w:sz w:val="16"/>
          <w:szCs w:val="16"/>
          <w:color w:val="0E101A"/>
        </w:rPr>
        <w:t>•Dx saliva collection device for OTC use through our partnership with</w:t>
      </w:r>
      <w:r>
        <w:rPr>
          <w:rFonts w:ascii="Arial" w:cs="Arial" w:eastAsia="Arial" w:hAnsi="Arial"/>
          <w:sz w:val="16"/>
          <w:szCs w:val="16"/>
          <w:color w:val="auto"/>
        </w:rPr>
        <w:t xml:space="preserve"> </w:t>
      </w:r>
      <w:r>
        <w:rPr>
          <w:rFonts w:ascii="Arial" w:cs="Arial" w:eastAsia="Arial" w:hAnsi="Arial"/>
          <w:sz w:val="16"/>
          <w:szCs w:val="16"/>
          <w:color w:val="0E101A"/>
        </w:rPr>
        <w:t>Grifols, which allows our commercial partners to use and legally market the device with their assays when used in conjunction with their intended uses.</w:t>
      </w:r>
    </w:p>
    <w:p>
      <w:pPr>
        <w:spacing w:after="0" w:line="17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Our genomic products are available in several configurations and contain proprietary chemical solutions optimized for the specific application for which each product is designed. Product physical design is focused on ease-of-use and reliability for self or assisted collection of samples. For example, several of the Oragene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products require users to hold the product close to their mouth and spit into the collection device. When the container is closed, the reagents stored in the container’s lid are mixed with the captured saliva and stabilize and preserve the nucleic acids in the sample. This non-invasive collection method yields nucleic acid that remains stable at ambient temperature for extended periods. The stabilizing technology ensures the preservation of high quality and high quantity nucleic acids required for many genetic testing and analysis methods.</w:t>
      </w:r>
    </w:p>
    <w:p>
      <w:pPr>
        <w:spacing w:after="0" w:line="19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believe these products provide significant advantages over competing DNA and RNA collection methods such as blood collection or buccal swabs, particularly in human genetic applications.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Benefits include:</w:t>
      </w:r>
    </w:p>
    <w:p>
      <w:pPr>
        <w:spacing w:after="0" w:line="117" w:lineRule="exact"/>
        <w:rPr>
          <w:sz w:val="20"/>
          <w:szCs w:val="20"/>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Reliable high-quality and stable genetic samples.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Simple, non-invasive collection methods.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store and transport collected samples for extended periods at ambient temperatures.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Compatibility with fully automated laboratory testing systems.</w:t>
      </w:r>
    </w:p>
    <w:p>
      <w:pPr>
        <w:spacing w:after="0" w:line="230"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We also sell the Colli-Pee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collection device for the volumetric collection of first void urine samples. This product is used in liquid biopsy applications for the prostate and bladder cancer markets and in the sexually transmitted infection screening market.</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 Collection Products</w:t>
      </w:r>
    </w:p>
    <w:p>
      <w:pPr>
        <w:spacing w:after="0" w:line="22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Since 2020, we have actively engaged with several laboratories and researchers to demonstrate the effectiveness of our existing collection products for use with COVID-19 molecular testing. We believe that oral samples collected using devices from our product lines for liquid saliva or oral swab samples are a suitable alternative to more commonly used samples collected with a nasopharyngeal or oropharyngeal swab. As a result, since 2020, we have sold our ORAcollect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 RNA and OMNIgene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 ORAL collection devices for use in connection with COVID-19 molecular testing. Due in part to the reduction in the number of COVID-19 cases and the shift toward</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color w:val="auto"/>
        </w:rPr>
        <w:t xml:space="preserve">the use of antigen testing, the </w:t>
      </w:r>
      <w:r>
        <w:rPr>
          <w:rFonts w:ascii="Arial" w:cs="Arial" w:eastAsia="Arial" w:hAnsi="Arial"/>
          <w:sz w:val="17"/>
          <w:szCs w:val="17"/>
          <w:color w:val="0E101A"/>
        </w:rPr>
        <w:t>demand for COVID-19 PCR testing declined in 2022, which negatively impacted the sales of our collection products</w:t>
      </w:r>
      <w:r>
        <w:rPr>
          <w:rFonts w:ascii="Arial" w:cs="Arial" w:eastAsia="Arial" w:hAnsi="Arial"/>
          <w:sz w:val="17"/>
          <w:szCs w:val="17"/>
          <w:color w:val="auto"/>
        </w:rPr>
        <w: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Microbiome Products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market several microbiome collection products designed to collect, stabilize, and transport the microbial profile from multiple sample types. When unstabilized, a microbiome sample can change when exposed to environmental fluctuations, such as temperature changes. Our microbiome collection products support collecting and stabilizing metabolites found in fecal samples by capturing and preserving the microbiome after collection until the desired analysis can be performed.</w:t>
      </w:r>
    </w:p>
    <w:p>
      <w:pPr>
        <w:spacing w:after="0" w:line="19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Our OMNIgene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 GUT product is an all-in-one system designed to enable an individual to easily self-collect high-quality microbial DNA from feces or stool samples for gut microbiome profiling for use in the clinical laboratory and research settings. In 2022, </w:t>
      </w:r>
      <w:r>
        <w:rPr>
          <w:rFonts w:ascii="Arial" w:cs="Arial" w:eastAsia="Arial" w:hAnsi="Arial"/>
          <w:sz w:val="17"/>
          <w:szCs w:val="17"/>
          <w:color w:val="0E101A"/>
        </w:rPr>
        <w:t>our OMNIgene® • GUT DNA and RNA</w:t>
      </w:r>
      <w:r>
        <w:rPr>
          <w:rFonts w:ascii="Arial" w:cs="Arial" w:eastAsia="Arial" w:hAnsi="Arial"/>
          <w:sz w:val="17"/>
          <w:szCs w:val="17"/>
          <w:color w:val="auto"/>
        </w:rPr>
        <w:t xml:space="preserve"> </w:t>
      </w:r>
      <w:r>
        <w:rPr>
          <w:rFonts w:ascii="Arial" w:cs="Arial" w:eastAsia="Arial" w:hAnsi="Arial"/>
          <w:sz w:val="17"/>
          <w:szCs w:val="17"/>
          <w:color w:val="0E101A"/>
        </w:rPr>
        <w:t xml:space="preserve">collection device (OMR-205), became available to gut microbiome researchers, allowing for self-collection, stabilization, storage and transportation of microbial DNA and RNA at ambient temperature for gut microbiome profiling. </w:t>
      </w:r>
      <w:r>
        <w:rPr>
          <w:rFonts w:ascii="Arial" w:cs="Arial" w:eastAsia="Arial" w:hAnsi="Arial"/>
          <w:sz w:val="17"/>
          <w:szCs w:val="17"/>
          <w:color w:val="000000"/>
        </w:rPr>
        <w:t>Most current methodologies for gut microbiome profiling have distinct</w:t>
      </w:r>
      <w:r>
        <w:rPr>
          <w:rFonts w:ascii="Arial" w:cs="Arial" w:eastAsia="Arial" w:hAnsi="Arial"/>
          <w:sz w:val="17"/>
          <w:szCs w:val="17"/>
          <w:color w:val="0E101A"/>
        </w:rPr>
        <w:t xml:space="preserve"> </w:t>
      </w:r>
      <w:r>
        <w:rPr>
          <w:rFonts w:ascii="Arial" w:cs="Arial" w:eastAsia="Arial" w:hAnsi="Arial"/>
          <w:sz w:val="17"/>
          <w:szCs w:val="17"/>
          <w:color w:val="000000"/>
        </w:rPr>
        <w:t>shortcomings due to the introduction of bias, leading to a lack of reproducibility in the field. We believe our product ensures that the microbial DNA and RNA in the fecal sample are fully stabilized immediately upon collection and maintains an accurate and reliable bacterial profile for weeks at room temperature. Recently, we have applied these principles of sample stabilization to other sample types, including oral, skin, and vaginal samples.</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We also launched </w:t>
      </w:r>
      <w:r>
        <w:rPr>
          <w:rFonts w:ascii="Arial" w:cs="Arial" w:eastAsia="Arial" w:hAnsi="Arial"/>
          <w:sz w:val="18"/>
          <w:szCs w:val="18"/>
          <w:color w:val="0E101A"/>
        </w:rPr>
        <w:t>the OMNIgene</w:t>
      </w:r>
      <w:r>
        <w:rPr>
          <w:rFonts w:ascii="Arial" w:cs="Arial" w:eastAsia="Arial" w:hAnsi="Arial"/>
          <w:sz w:val="24"/>
          <w:szCs w:val="24"/>
          <w:color w:val="0E101A"/>
          <w:vertAlign w:val="superscript"/>
        </w:rPr>
        <w:t>®</w:t>
      </w:r>
      <w:r>
        <w:rPr>
          <w:rFonts w:ascii="Arial" w:cs="Arial" w:eastAsia="Arial" w:hAnsi="Arial"/>
          <w:sz w:val="18"/>
          <w:szCs w:val="18"/>
          <w:color w:val="0E101A"/>
        </w:rPr>
        <w:t>•GUT Dx collection device (OMD-200), which was granted De Novo authorization from the FDA for collection of</w:t>
      </w:r>
      <w:r>
        <w:rPr>
          <w:rFonts w:ascii="Arial" w:cs="Arial" w:eastAsia="Arial" w:hAnsi="Arial"/>
          <w:sz w:val="18"/>
          <w:szCs w:val="18"/>
          <w:color w:val="auto"/>
        </w:rPr>
        <w:t xml:space="preserve"> </w:t>
      </w:r>
      <w:r>
        <w:rPr>
          <w:rFonts w:ascii="Arial" w:cs="Arial" w:eastAsia="Arial" w:hAnsi="Arial"/>
          <w:sz w:val="18"/>
          <w:szCs w:val="18"/>
          <w:color w:val="0E101A"/>
        </w:rPr>
        <w:t>human fecal samples and the stabilization of DNA from the bacterial community for subsequent assessment of the microbiome profile by an assay validated for use with OMNIgene</w:t>
      </w:r>
      <w:r>
        <w:rPr>
          <w:rFonts w:ascii="Arial" w:cs="Arial" w:eastAsia="Arial" w:hAnsi="Arial"/>
          <w:sz w:val="24"/>
          <w:szCs w:val="24"/>
          <w:color w:val="000000"/>
          <w:vertAlign w:val="superscript"/>
        </w:rPr>
        <w:t>®</w:t>
      </w:r>
      <w:r>
        <w:rPr>
          <w:rFonts w:ascii="Arial" w:cs="Arial" w:eastAsia="Arial" w:hAnsi="Arial"/>
          <w:sz w:val="18"/>
          <w:szCs w:val="18"/>
          <w:color w:val="0E101A"/>
        </w:rPr>
        <w:t>·GUT Dx device</w:t>
      </w:r>
      <w:r>
        <w:rPr>
          <w:rFonts w:ascii="Arial" w:cs="Arial" w:eastAsia="Arial" w:hAnsi="Arial"/>
          <w:sz w:val="18"/>
          <w:szCs w:val="18"/>
          <w:color w:val="000000"/>
        </w:rPr>
        <w: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Laboratory and Data Analytical Services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Our Molecular Solutions business also offers our customers microbiome laboratory testing and analytical services. Our services focus on accelerating microbiome discovery for customers in the pharmaceutical, agriculture, and research communities. Our goal is to help customers unleash the translational potential of the microbiome by providing fast and information-rich characterizations of microbial diversity and function paired with expert analytics. We also offer comprehensive microbiome and metagenomics services to improve human, animal, and environmental health and, </w:t>
      </w:r>
      <w:r>
        <w:rPr>
          <w:rFonts w:ascii="Arial" w:cs="Arial" w:eastAsia="Arial" w:hAnsi="Arial"/>
          <w:sz w:val="18"/>
          <w:szCs w:val="18"/>
          <w:color w:val="0E101A"/>
        </w:rPr>
        <w:t>in 2022, we launched our</w:t>
      </w:r>
      <w:r>
        <w:rPr>
          <w:rFonts w:ascii="Arial" w:cs="Arial" w:eastAsia="Arial" w:hAnsi="Arial"/>
          <w:sz w:val="18"/>
          <w:szCs w:val="18"/>
          <w:color w:val="auto"/>
        </w:rPr>
        <w:t xml:space="preserve"> </w:t>
      </w:r>
      <w:r>
        <w:rPr>
          <w:rFonts w:ascii="Arial" w:cs="Arial" w:eastAsia="Arial" w:hAnsi="Arial"/>
          <w:sz w:val="18"/>
          <w:szCs w:val="18"/>
          <w:color w:val="0E101A"/>
        </w:rPr>
        <w:t xml:space="preserve">metatranscriptomics sequencing and analysis services for gut microbiome samples. These services generate a microbial community’s gene expression profile to provide information about the interactions between an individual and their microbiome, creating a holistic picture of a sample’s microbial functions and expression levels. </w:t>
      </w:r>
      <w:r>
        <w:rPr>
          <w:rFonts w:ascii="Arial" w:cs="Arial" w:eastAsia="Arial" w:hAnsi="Arial"/>
          <w:sz w:val="18"/>
          <w:szCs w:val="18"/>
          <w:color w:val="000000"/>
        </w:rPr>
        <w:t>Diversigen has extensive experience with highly diverse microbiome sample types and provides complete project life cycle</w:t>
      </w:r>
      <w:r>
        <w:rPr>
          <w:rFonts w:ascii="Arial" w:cs="Arial" w:eastAsia="Arial" w:hAnsi="Arial"/>
          <w:sz w:val="18"/>
          <w:szCs w:val="18"/>
          <w:color w:val="0E101A"/>
        </w:rPr>
        <w:t xml:space="preserve"> </w:t>
      </w:r>
      <w:r>
        <w:rPr>
          <w:rFonts w:ascii="Arial" w:cs="Arial" w:eastAsia="Arial" w:hAnsi="Arial"/>
          <w:sz w:val="18"/>
          <w:szCs w:val="18"/>
          <w:color w:val="000000"/>
        </w:rPr>
        <w:t>consulting services, including pre-project consulting, study design, extraction, and sequencing to complete bioinformatics analysis. Diversigen is at the forefront of setting quality standards for this industry and has obtained the College of American Pathologists (“CAP”) accreditation at its laboratory facilities.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Under Development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Diagnostic Products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research and development efforts include programs targeted at expanding and enhancing our diagnostics business. These programs typically focus on products related to drug adherence and rapid tests for various diseases.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We are working to develop a 2</w:t>
      </w:r>
      <w:r>
        <w:rPr>
          <w:rFonts w:ascii="Arial" w:cs="Arial" w:eastAsia="Arial" w:hAnsi="Arial"/>
          <w:sz w:val="23"/>
          <w:szCs w:val="23"/>
          <w:color w:val="auto"/>
          <w:vertAlign w:val="superscript"/>
        </w:rPr>
        <w:t>nd</w:t>
      </w:r>
      <w:r>
        <w:rPr>
          <w:rFonts w:ascii="Arial" w:cs="Arial" w:eastAsia="Arial" w:hAnsi="Arial"/>
          <w:sz w:val="17"/>
          <w:szCs w:val="17"/>
          <w:color w:val="auto"/>
        </w:rPr>
        <w:t xml:space="preserve"> generation Ebola test on the OraQuick® testing platform with funds obtained under our contract with BARDA.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Molecular Solutions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order to intersect evolving customer needs within the academic and commercial markets, our molecular business product development pipeline is focused on extending offerings across different sample types and analytes within both the genomics and microbiome areas. Genomic customers are demonstrating an increasing demand for collection and stabilization of cell-free nucleic acids, exosomes, DNA and RNA. On the microbiome front, we continue to focus research and development work on collecting and stabilizing microbial DNA, RNA and metabolites from multiple sample types including gut, skin, vagina and saliva.</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field of microbiome services is fast paced with evolving biological understanding and development of new methodologies. Our development efforts are focused on remaining at the forefront of laboratory and informatics technologies, as well as providing new and relevant services to our customers. These include a focus on laboratory and informatics methods to integrate DNA, RNA and metabolites from microbial communities across different sample types.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market our products in the United States and internationally. We attempt to reach our major target markets through a combination of direct sales, strategic arrangements and independent distributors. Our marketing strategy is to create or raise awareness through a full array of marketing activities, which include trade shows, print advertising, special programs, distributor promotions, telemarketing and the use of digital and social media in order to stimulate sales in each target market. Our revenues by geographic area are described in Note 2 of the Notes to the consolidated financial statements included in Item 15 of this Annual Report.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Diagnostics - Professional</w:t>
      </w:r>
    </w:p>
    <w:p>
      <w:pPr>
        <w:spacing w:after="0" w:line="234"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Our InteliSwab</w:t>
      </w:r>
      <w:r>
        <w:rPr>
          <w:rFonts w:ascii="Arial" w:cs="Arial" w:eastAsia="Arial" w:hAnsi="Arial"/>
          <w:sz w:val="24"/>
          <w:szCs w:val="24"/>
          <w:color w:val="auto"/>
          <w:vertAlign w:val="superscript"/>
        </w:rPr>
        <w:t>®</w:t>
      </w:r>
      <w:r>
        <w:rPr>
          <w:rFonts w:ascii="Arial" w:cs="Arial" w:eastAsia="Arial" w:hAnsi="Arial"/>
          <w:sz w:val="18"/>
          <w:szCs w:val="18"/>
          <w:color w:val="auto"/>
        </w:rPr>
        <w:t xml:space="preserve"> COVID-19 Rapid Test Pro and Rx products are primarily sold through distributors to U.S. hospitals, physician offices and clinics. These products are also marketed directly to customers in the public health market including clinics and laboratories of state, county and other governmental agencies.</w:t>
      </w:r>
    </w:p>
    <w:p>
      <w:pPr>
        <w:spacing w:after="0" w:line="208"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 xml:space="preserve">We market the OraQuick </w:t>
      </w:r>
      <w:r>
        <w:rPr>
          <w:rFonts w:ascii="Arial" w:cs="Arial" w:eastAsia="Arial" w:hAnsi="Arial"/>
          <w:sz w:val="18"/>
          <w:szCs w:val="18"/>
          <w:i w:val="1"/>
          <w:iCs w:val="1"/>
          <w:color w:val="auto"/>
        </w:rPr>
        <w:t>ADVANCE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HIV-1/2 antibody test directly to customers in the public health market for HIV testing. This market consists of a broad range of clinics and laboratories and includes states, counties, and other governmental agencies, family planning clinics, colleges and universities, correctional facilities and the military. There are also a number of organizations in the public health market, such as AIDS service organizations and various community-based organizations, that are set up primarily for the purpose of encouraging and enabling HIV testing. We sell our OraQuick </w:t>
      </w:r>
      <w:r>
        <w:rPr>
          <w:rFonts w:ascii="Arial" w:cs="Arial" w:eastAsia="Arial" w:hAnsi="Arial"/>
          <w:sz w:val="18"/>
          <w:szCs w:val="18"/>
          <w:i w:val="1"/>
          <w:iCs w:val="1"/>
          <w:color w:val="auto"/>
        </w:rPr>
        <w:t>ADVANCE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test to hospitals and physician offices in the U.S. primarily through distributors. In addition, we distribute our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HIV test in certain foreign countries through distributors.</w:t>
      </w:r>
    </w:p>
    <w:p>
      <w:pPr>
        <w:spacing w:after="0" w:line="212"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Our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HCV test is sold primarily to the same markets where our OraQuick </w:t>
      </w:r>
      <w:r>
        <w:rPr>
          <w:rFonts w:ascii="Arial" w:cs="Arial" w:eastAsia="Arial" w:hAnsi="Arial"/>
          <w:sz w:val="18"/>
          <w:szCs w:val="18"/>
          <w:i w:val="1"/>
          <w:iCs w:val="1"/>
          <w:color w:val="auto"/>
        </w:rPr>
        <w:t>ADVANCE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HIV test is sold, including public health organizations, hospitals, physicians and retail clinics. We also sell this test in other countries through distributors.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Diagnostics - OTC and Self-Test</w:t>
      </w:r>
    </w:p>
    <w:p>
      <w:pPr>
        <w:spacing w:after="0" w:line="234"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We sell our InteliSwab</w:t>
      </w:r>
      <w:r>
        <w:rPr>
          <w:rFonts w:ascii="Arial" w:cs="Arial" w:eastAsia="Arial" w:hAnsi="Arial"/>
          <w:sz w:val="23"/>
          <w:szCs w:val="23"/>
          <w:color w:val="auto"/>
          <w:vertAlign w:val="superscript"/>
        </w:rPr>
        <w:t>®</w:t>
      </w:r>
      <w:r>
        <w:rPr>
          <w:rFonts w:ascii="Arial" w:cs="Arial" w:eastAsia="Arial" w:hAnsi="Arial"/>
          <w:sz w:val="17"/>
          <w:szCs w:val="17"/>
          <w:color w:val="auto"/>
        </w:rPr>
        <w:t xml:space="preserve"> COVID-19 Rapid Test product in the U.S. retail and consumer markets, including for purchase by US customers on Walmart and Amazon’s online stores. The OTC InteliSwab</w:t>
      </w:r>
      <w:r>
        <w:rPr>
          <w:rFonts w:ascii="Arial" w:cs="Arial" w:eastAsia="Arial" w:hAnsi="Arial"/>
          <w:sz w:val="23"/>
          <w:szCs w:val="23"/>
          <w:color w:val="auto"/>
          <w:vertAlign w:val="superscript"/>
        </w:rPr>
        <w:t>®</w:t>
      </w:r>
      <w:r>
        <w:rPr>
          <w:rFonts w:ascii="Arial" w:cs="Arial" w:eastAsia="Arial" w:hAnsi="Arial"/>
          <w:sz w:val="17"/>
          <w:szCs w:val="17"/>
          <w:color w:val="auto"/>
        </w:rPr>
        <w:t xml:space="preserve"> test is also sold directly and through distributors into a broad range of business-to-business (B2B) markets including employer testing, colleges and universities, local, state and federal governmental agencies and the US military.</w:t>
      </w:r>
    </w:p>
    <w:p>
      <w:pPr>
        <w:spacing w:after="0" w:line="209"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We sell our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In-Home HIV test in the U.S. retail or consumer market. The product is also available for purchase on-line through certain retailers and from our website, www.oraquick.com. The primary target population for our HIV-OTC test comprises young, sexually active adults, with greater purchase intent found in high-risk sub-groups, such as men who have sex with men, African Americans and Latino Americans. We also sell our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HIV Self-Test in certain international markets.</w:t>
      </w:r>
    </w:p>
    <w:p>
      <w:pPr>
        <w:spacing w:after="0" w:line="209" w:lineRule="exact"/>
        <w:rPr>
          <w:sz w:val="20"/>
          <w:szCs w:val="20"/>
          <w:color w:val="auto"/>
        </w:rPr>
      </w:pPr>
    </w:p>
    <w:p>
      <w:pPr>
        <w:jc w:val="both"/>
        <w:ind w:right="20"/>
        <w:spacing w:after="0" w:line="274" w:lineRule="auto"/>
        <w:rPr>
          <w:sz w:val="20"/>
          <w:szCs w:val="20"/>
          <w:color w:val="auto"/>
        </w:rPr>
      </w:pPr>
      <w:r>
        <w:rPr>
          <w:rFonts w:ascii="Arial" w:cs="Arial" w:eastAsia="Arial" w:hAnsi="Arial"/>
          <w:sz w:val="16"/>
          <w:szCs w:val="16"/>
          <w:color w:val="auto"/>
        </w:rPr>
        <w:t>Our OraQuick</w:t>
      </w:r>
      <w:r>
        <w:rPr>
          <w:rFonts w:ascii="Arial" w:cs="Arial" w:eastAsia="Arial" w:hAnsi="Arial"/>
          <w:sz w:val="21"/>
          <w:szCs w:val="21"/>
          <w:color w:val="auto"/>
          <w:vertAlign w:val="superscript"/>
        </w:rPr>
        <w:t>®</w:t>
      </w:r>
      <w:r>
        <w:rPr>
          <w:rFonts w:ascii="Arial" w:cs="Arial" w:eastAsia="Arial" w:hAnsi="Arial"/>
          <w:sz w:val="16"/>
          <w:szCs w:val="16"/>
          <w:color w:val="auto"/>
        </w:rPr>
        <w:t xml:space="preserve"> HIV Self-Test is the only oral fluid HIV test prequalified by the WHO. WHO prequalification helps ensure that diagnostic tests for high burden diseases meet global standards of quality, safety, and efficacy in order to optimize use of health resources and improve health outcomes. WHO prequalification enables governmental organizations implementing HIV Self-Test pilots and programs to access international funding to purchase our test.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Substance Abuse Testing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substance abuse testing products are marketed to laboratories serving the workplace testing, forensic toxicology, criminal justice and drug rehabilitation markets in the U.S. and certain international markets.</w:t>
      </w:r>
    </w:p>
    <w:p>
      <w:pPr>
        <w:spacing w:after="0" w:line="175"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We have entered into agreements for the distribution of our Intercept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collection device and associated MICRO-PLATE assays for drugs-of-abuse testing in the workplace testing market in the United States and Canada through several laboratory distributors and internationally for workplace, criminal justice and forensic toxicology testing through other distributors. We also market the Intercept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collection device on its own and as a kit in combination with laboratory testing services. To better serve our workplace customers, we have contracted with commercial laboratories to provide prepackaged Intercept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test kits, with prepaid laboratory testing and specimen shipping costs included.</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criminal justice market in the United States for our substance abuse testing products consists of a wide variety of entities in the criminal justice system that require drug screening, such as pre-trial services, parole and probation offices, police forces, drug courts, prisons, drug treatment programs and community/family service programs. The forensic toxicology market consists of several hundred laboratories including federal, state and county crime laboratories, medical examiner laboratories and reference laboratories.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 w:name="page12"/>
    <w:bookmarkEnd w:id="11"/>
    <w:p>
      <w:pPr>
        <w:jc w:val="both"/>
        <w:spacing w:after="0" w:line="233" w:lineRule="auto"/>
        <w:rPr>
          <w:sz w:val="20"/>
          <w:szCs w:val="20"/>
          <w:color w:val="auto"/>
        </w:rPr>
      </w:pPr>
      <w:r>
        <w:rPr>
          <w:rFonts w:ascii="Arial" w:cs="Arial" w:eastAsia="Arial" w:hAnsi="Arial"/>
          <w:sz w:val="18"/>
          <w:szCs w:val="18"/>
          <w:color w:val="auto"/>
        </w:rPr>
        <w:t>We also sell our next generation Intercept i2</w:t>
      </w:r>
      <w:r>
        <w:rPr>
          <w:rFonts w:ascii="Arial" w:cs="Arial" w:eastAsia="Arial" w:hAnsi="Arial"/>
          <w:sz w:val="24"/>
          <w:szCs w:val="24"/>
          <w:color w:val="auto"/>
          <w:vertAlign w:val="superscript"/>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he</w:t>
      </w:r>
      <w:r>
        <w:rPr>
          <w:rFonts w:ascii="Arial" w:cs="Arial" w:eastAsia="Arial" w:hAnsi="Arial"/>
          <w:sz w:val="18"/>
          <w:szCs w:val="18"/>
          <w:color w:val="auto"/>
        </w:rPr>
        <w:t xml:space="preserve"> collection device with a NIDA-5 panel of fully-automated high-throughput oral fluid assays developed with Thermo Fisher for the detection of PCP, THC, opiates, cocaine, methamphetamines and amphetamines. These products are currently sold into the criminal justice and drug treatment markets.</w:t>
      </w:r>
    </w:p>
    <w:p>
      <w:pPr>
        <w:spacing w:after="0" w:line="20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distribute our Q.E.D.</w:t>
      </w:r>
      <w:r>
        <w:rPr>
          <w:rFonts w:ascii="Arial" w:cs="Arial" w:eastAsia="Arial" w:hAnsi="Arial"/>
          <w:sz w:val="24"/>
          <w:szCs w:val="24"/>
          <w:color w:val="auto"/>
          <w:vertAlign w:val="superscript"/>
        </w:rPr>
        <w:t>®</w:t>
      </w:r>
      <w:r>
        <w:rPr>
          <w:rFonts w:ascii="Arial" w:cs="Arial" w:eastAsia="Arial" w:hAnsi="Arial"/>
          <w:sz w:val="18"/>
          <w:szCs w:val="18"/>
          <w:color w:val="auto"/>
        </w:rPr>
        <w:t xml:space="preserve"> saliva alcohol test primarily through various distributors in the United States and internationally. The markets for alcohol testing are relatively small and fragmented with a broad range of legal and procedural barriers to entry. Markets range from law enforcement testing to workplace testing of employees in safety sensitive occupations. Typical usage situations include pre-employment, random, post-accident, reasonable-cause and return-to-duty testing.</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Molecular Solutions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Our Molecular Solutions business sells its products directly to its customers, primarily through its own internal sales force in U.S. domestic markets.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However, in many international markets, distributors are used.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Most of our Molecular Solutions revenues are derived from product sales to commercial customers and sales into the academic and research markets. Our commercial customers provide consumer genetics and clinical diagnostic services and account for a majority of these revenues. A significant portion of total sales are derived from repeat customers in both markets. Molecular Solutions also has customers in the livestock, companion animal and pharmaceutical markets.</w:t>
      </w:r>
    </w:p>
    <w:p>
      <w:pPr>
        <w:spacing w:after="0" w:line="18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have expanded the market focus of our Molecular Solutions business by selling certain existing collection products for use in infectious disease testing, including COVID-19 tests, and by developing new collection devices for the emerging microbiome market, which is focused on the study of microbial communities and their effect on human health. Our primary product offering in the microbiome market, OMNIgene</w:t>
      </w:r>
      <w:r>
        <w:rPr>
          <w:rFonts w:ascii="Arial" w:cs="Arial" w:eastAsia="Arial" w:hAnsi="Arial"/>
          <w:sz w:val="23"/>
          <w:szCs w:val="23"/>
          <w:color w:val="auto"/>
          <w:vertAlign w:val="superscript"/>
        </w:rPr>
        <w:t>®</w:t>
      </w:r>
      <w:r>
        <w:rPr>
          <w:rFonts w:ascii="Arial" w:cs="Arial" w:eastAsia="Arial" w:hAnsi="Arial"/>
          <w:sz w:val="17"/>
          <w:szCs w:val="17"/>
          <w:color w:val="auto"/>
        </w:rPr>
        <w:t>•GUT, is focused on the human gut microbiome (microbes living in human stool). We are leveraging our existing sales force and global research connections to engage microbiome customers around the world and establish ourselves as among the leaders in ease-of-collection, stabilization and transport of microbiome communities in a variety of challenging sample types such as stool, skin, vaginal and oral.</w:t>
      </w:r>
    </w:p>
    <w:p>
      <w:pPr>
        <w:spacing w:after="0" w:line="195"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Our Molecular Solutions products include the Colli-Pee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device, a product developed and sold by our Novosanis subsidiary, for the volumetric collection of first void urine. This product is in its early stages and initial sales are occurring primarily through distributors and collaborations for use in the liquid biopsy and sexually transmitted disease markets.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offer laboratory and analytical services for both genomics and microbiome customers in order to more fully meet the needs of its customers. These services are primarily provided to pharmaceutical and biotech companies and research institutions. During 2019, we substantially expanded our ability to offer microbiome laboratory and bioinformatics services with the acquisition of CoreBiome and Diversigen. The laboratory operations of CoreBiome and Diversigen were combined during 2020 under the Diversigen brand.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Products and Customers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Several different product lines have contributed significantly to our financial performance, accounting for 10% or more of our total revenues during the past three years. The table below shows a breakdown of those product lines (dollars in thousands).</w:t>
      </w:r>
    </w:p>
    <w:p>
      <w:pPr>
        <w:spacing w:after="0" w:line="67"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560" w:type="dxa"/>
            <w:vAlign w:val="bottom"/>
          </w:tcPr>
          <w:p>
            <w:pPr>
              <w:spacing w:after="0"/>
              <w:rPr>
                <w:sz w:val="16"/>
                <w:szCs w:val="16"/>
                <w:color w:val="auto"/>
              </w:rPr>
            </w:pPr>
          </w:p>
        </w:tc>
        <w:tc>
          <w:tcPr>
            <w:tcW w:w="3220" w:type="dxa"/>
            <w:vAlign w:val="bottom"/>
            <w:tcBorders>
              <w:bottom w:val="single" w:sz="8" w:color="auto"/>
            </w:tcBorders>
            <w:gridSpan w:val="7"/>
          </w:tcPr>
          <w:p>
            <w:pPr>
              <w:jc w:val="right"/>
              <w:ind w:right="474"/>
              <w:spacing w:after="0"/>
              <w:rPr>
                <w:sz w:val="20"/>
                <w:szCs w:val="20"/>
                <w:color w:val="auto"/>
              </w:rPr>
            </w:pPr>
            <w:r>
              <w:rPr>
                <w:rFonts w:ascii="Arial" w:cs="Arial" w:eastAsia="Arial" w:hAnsi="Arial"/>
                <w:sz w:val="14"/>
                <w:szCs w:val="14"/>
                <w:b w:val="1"/>
                <w:bCs w:val="1"/>
                <w:color w:val="auto"/>
              </w:rPr>
              <w:t>For the years ended December 31,</w:t>
            </w:r>
          </w:p>
        </w:tc>
        <w:tc>
          <w:tcPr>
            <w:tcW w:w="80" w:type="dxa"/>
            <w:vAlign w:val="bottom"/>
          </w:tcPr>
          <w:p>
            <w:pPr>
              <w:spacing w:after="0"/>
              <w:rPr>
                <w:sz w:val="16"/>
                <w:szCs w:val="16"/>
                <w:color w:val="auto"/>
              </w:rPr>
            </w:pPr>
          </w:p>
        </w:tc>
      </w:tr>
      <w:tr>
        <w:trPr>
          <w:trHeight w:val="169"/>
        </w:trPr>
        <w:tc>
          <w:tcPr>
            <w:tcW w:w="4560" w:type="dxa"/>
            <w:vAlign w:val="bottom"/>
          </w:tcPr>
          <w:p>
            <w:pPr>
              <w:spacing w:after="0"/>
              <w:rPr>
                <w:sz w:val="14"/>
                <w:szCs w:val="14"/>
                <w:color w:val="auto"/>
              </w:rPr>
            </w:pPr>
          </w:p>
        </w:tc>
        <w:tc>
          <w:tcPr>
            <w:tcW w:w="9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237"/>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InteliSwab®</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233,666</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22,405</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r>
      <w:tr>
        <w:trPr>
          <w:trHeight w:val="237"/>
        </w:trPr>
        <w:tc>
          <w:tcPr>
            <w:tcW w:w="4560" w:type="dxa"/>
            <w:vAlign w:val="bottom"/>
          </w:tcPr>
          <w:p>
            <w:pPr>
              <w:spacing w:after="0"/>
              <w:rPr>
                <w:sz w:val="20"/>
                <w:szCs w:val="20"/>
                <w:color w:val="auto"/>
              </w:rPr>
            </w:pPr>
            <w:r>
              <w:rPr>
                <w:rFonts w:ascii="Arial" w:cs="Arial" w:eastAsia="Arial" w:hAnsi="Arial"/>
                <w:sz w:val="18"/>
                <w:szCs w:val="18"/>
                <w:color w:val="auto"/>
              </w:rPr>
              <w:t>Genomics</w:t>
            </w:r>
          </w:p>
        </w:tc>
        <w:tc>
          <w:tcPr>
            <w:tcW w:w="960" w:type="dxa"/>
            <w:vAlign w:val="bottom"/>
          </w:tcPr>
          <w:p>
            <w:pPr>
              <w:jc w:val="right"/>
              <w:spacing w:after="0"/>
              <w:rPr>
                <w:sz w:val="20"/>
                <w:szCs w:val="20"/>
                <w:color w:val="auto"/>
              </w:rPr>
            </w:pPr>
            <w:r>
              <w:rPr>
                <w:rFonts w:ascii="Arial" w:cs="Arial" w:eastAsia="Arial" w:hAnsi="Arial"/>
                <w:sz w:val="18"/>
                <w:szCs w:val="18"/>
                <w:color w:val="auto"/>
              </w:rPr>
              <w:t>54,335</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63,350</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36,878</w:t>
            </w:r>
          </w:p>
        </w:tc>
        <w:tc>
          <w:tcPr>
            <w:tcW w:w="80" w:type="dxa"/>
            <w:vAlign w:val="bottom"/>
          </w:tcPr>
          <w:p>
            <w:pPr>
              <w:spacing w:after="0"/>
              <w:rPr>
                <w:sz w:val="20"/>
                <w:szCs w:val="20"/>
                <w:color w:val="auto"/>
              </w:rPr>
            </w:pPr>
          </w:p>
        </w:tc>
      </w:tr>
      <w:tr>
        <w:trPr>
          <w:trHeight w:val="249"/>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OraQuick® HIV</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38,812</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42,144</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44,224</w:t>
            </w:r>
          </w:p>
        </w:tc>
        <w:tc>
          <w:tcPr>
            <w:tcW w:w="80" w:type="dxa"/>
            <w:vAlign w:val="bottom"/>
            <w:shd w:val="clear" w:color="auto" w:fill="CFF0FC"/>
          </w:tcPr>
          <w:p>
            <w:pPr>
              <w:spacing w:after="0"/>
              <w:rPr>
                <w:sz w:val="21"/>
                <w:szCs w:val="2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COVID-19 collection kits</w:t>
            </w:r>
          </w:p>
        </w:tc>
        <w:tc>
          <w:tcPr>
            <w:tcW w:w="960" w:type="dxa"/>
            <w:vAlign w:val="bottom"/>
          </w:tcPr>
          <w:p>
            <w:pPr>
              <w:jc w:val="right"/>
              <w:spacing w:after="0"/>
              <w:rPr>
                <w:sz w:val="20"/>
                <w:szCs w:val="20"/>
                <w:color w:val="auto"/>
              </w:rPr>
            </w:pPr>
            <w:r>
              <w:rPr>
                <w:rFonts w:ascii="Arial" w:cs="Arial" w:eastAsia="Arial" w:hAnsi="Arial"/>
                <w:sz w:val="18"/>
                <w:szCs w:val="18"/>
                <w:color w:val="auto"/>
              </w:rPr>
              <w:t>9,659</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54,167</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50,927</w:t>
            </w:r>
          </w:p>
        </w:tc>
        <w:tc>
          <w:tcPr>
            <w:tcW w:w="80" w:type="dxa"/>
            <w:vAlign w:val="bottom"/>
          </w:tcPr>
          <w:p>
            <w:pPr>
              <w:spacing w:after="0"/>
              <w:rPr>
                <w:sz w:val="20"/>
                <w:szCs w:val="20"/>
                <w:color w:val="auto"/>
              </w:rPr>
            </w:pPr>
          </w:p>
        </w:tc>
      </w:tr>
    </w:tbl>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One of our customers accounted for approximately 58% of our net consolidated revenues in 2022. We had no customers that accounted for more than 10% of our net consolidated revenues for the years ended December 31, 2021 and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and Manufacturing</w:t>
      </w:r>
    </w:p>
    <w:p>
      <w:pPr>
        <w:spacing w:after="0" w:line="234"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 xml:space="preserve">We manufacture all of our OraQuick </w:t>
      </w:r>
      <w:r>
        <w:rPr>
          <w:rFonts w:ascii="Arial" w:cs="Arial" w:eastAsia="Arial" w:hAnsi="Arial"/>
          <w:sz w:val="18"/>
          <w:szCs w:val="18"/>
          <w:i w:val="1"/>
          <w:iCs w:val="1"/>
          <w:color w:val="auto"/>
        </w:rPr>
        <w:t>ADVANCE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Rapid HIV test,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In-Home HIV test,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HCV test,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Ebola test, OraSure</w:t>
      </w:r>
      <w:r>
        <w:rPr>
          <w:rFonts w:ascii="Arial" w:cs="Arial" w:eastAsia="Arial" w:hAnsi="Arial"/>
          <w:sz w:val="24"/>
          <w:szCs w:val="24"/>
          <w:color w:val="auto"/>
          <w:vertAlign w:val="superscript"/>
        </w:rPr>
        <w:t>®</w:t>
      </w:r>
      <w:r>
        <w:rPr>
          <w:rFonts w:ascii="Arial" w:cs="Arial" w:eastAsia="Arial" w:hAnsi="Arial"/>
          <w:sz w:val="18"/>
          <w:szCs w:val="18"/>
          <w:color w:val="auto"/>
        </w:rPr>
        <w:t>, Intercept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and Intercept i2</w:t>
      </w:r>
      <w:r>
        <w:rPr>
          <w:rFonts w:ascii="Arial" w:cs="Arial" w:eastAsia="Arial" w:hAnsi="Arial"/>
          <w:sz w:val="24"/>
          <w:szCs w:val="24"/>
          <w:color w:val="auto"/>
          <w:vertAlign w:val="superscript"/>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he</w:t>
      </w:r>
      <w:r>
        <w:rPr>
          <w:rFonts w:ascii="Arial" w:cs="Arial" w:eastAsia="Arial" w:hAnsi="Arial"/>
          <w:sz w:val="18"/>
          <w:szCs w:val="18"/>
          <w:color w:val="auto"/>
        </w:rPr>
        <w:t xml:space="preserve"> collection devices, AUTO-LYTE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and MICRO-PLATE assays and Q.E.D.</w:t>
      </w:r>
      <w:r>
        <w:rPr>
          <w:rFonts w:ascii="Arial" w:cs="Arial" w:eastAsia="Arial" w:hAnsi="Arial"/>
          <w:sz w:val="24"/>
          <w:szCs w:val="24"/>
          <w:color w:val="auto"/>
          <w:vertAlign w:val="superscript"/>
        </w:rPr>
        <w:t>®</w:t>
      </w:r>
      <w:r>
        <w:rPr>
          <w:rFonts w:ascii="Arial" w:cs="Arial" w:eastAsia="Arial" w:hAnsi="Arial"/>
          <w:sz w:val="18"/>
          <w:szCs w:val="18"/>
          <w:color w:val="auto"/>
        </w:rPr>
        <w:t xml:space="preserve"> saliva alcohol test in our Bethlehem, Pennsylvania facilities. We expect to continue to manufacture these products at this location for the foreseeable future.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2" w:name="page13"/>
    <w:bookmarkEnd w:id="12"/>
    <w:p>
      <w:pPr>
        <w:jc w:val="both"/>
        <w:spacing w:after="0" w:line="234" w:lineRule="auto"/>
        <w:rPr>
          <w:sz w:val="20"/>
          <w:szCs w:val="20"/>
          <w:color w:val="auto"/>
        </w:rPr>
      </w:pPr>
      <w:r>
        <w:rPr>
          <w:rFonts w:ascii="Arial" w:cs="Arial" w:eastAsia="Arial" w:hAnsi="Arial"/>
          <w:sz w:val="17"/>
          <w:szCs w:val="17"/>
          <w:color w:val="auto"/>
        </w:rPr>
        <w:t>We have contracted with a third party in Thailand for the assembly of the OraQuick</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Rapid HIV test and the OraQuick</w:t>
      </w:r>
      <w:r>
        <w:rPr>
          <w:rFonts w:ascii="Arial" w:cs="Arial" w:eastAsia="Arial" w:hAnsi="Arial"/>
          <w:sz w:val="23"/>
          <w:szCs w:val="23"/>
          <w:color w:val="auto"/>
          <w:vertAlign w:val="superscript"/>
        </w:rPr>
        <w:t>®</w:t>
      </w:r>
      <w:r>
        <w:rPr>
          <w:rFonts w:ascii="Arial" w:cs="Arial" w:eastAsia="Arial" w:hAnsi="Arial"/>
          <w:sz w:val="17"/>
          <w:szCs w:val="17"/>
          <w:color w:val="auto"/>
        </w:rPr>
        <w:t xml:space="preserve"> HIV In-Home Test in order to supply certain international markets. We believe that other firms would be able to assemble these OraQuick</w:t>
      </w:r>
      <w:r>
        <w:rPr>
          <w:rFonts w:ascii="Arial" w:cs="Arial" w:eastAsia="Arial" w:hAnsi="Arial"/>
          <w:sz w:val="23"/>
          <w:szCs w:val="23"/>
          <w:color w:val="auto"/>
          <w:vertAlign w:val="superscript"/>
        </w:rPr>
        <w:t>®</w:t>
      </w:r>
      <w:r>
        <w:rPr>
          <w:rFonts w:ascii="Arial" w:cs="Arial" w:eastAsia="Arial" w:hAnsi="Arial"/>
          <w:sz w:val="17"/>
          <w:szCs w:val="17"/>
          <w:color w:val="auto"/>
        </w:rPr>
        <w:t xml:space="preserve"> tests on terms no less favorable than those set forth in the agreement if the Thailand contractor would be unable or unwilling to continue assembling this product. We have long-term agreements in place for the contract manufacturing in Thailand and one of our suppliers has been manufacturing for us for the past 20 years.</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can purchase the HIV antigens, the nitrocellulose and certain other critical components, and the HCV and Ebola antigens used in our OraQuick</w:t>
      </w:r>
      <w:r>
        <w:rPr>
          <w:rFonts w:ascii="Arial" w:cs="Arial" w:eastAsia="Arial" w:hAnsi="Arial"/>
          <w:sz w:val="23"/>
          <w:szCs w:val="23"/>
          <w:color w:val="auto"/>
          <w:vertAlign w:val="superscript"/>
        </w:rPr>
        <w:t>®</w:t>
      </w:r>
      <w:r>
        <w:rPr>
          <w:rFonts w:ascii="Arial" w:cs="Arial" w:eastAsia="Arial" w:hAnsi="Arial"/>
          <w:sz w:val="17"/>
          <w:szCs w:val="17"/>
          <w:color w:val="auto"/>
        </w:rPr>
        <w:t xml:space="preserve"> product lines only from a limited number of sources. If for any reason these suppliers are unwilling or no longer able to supply our antigen or nitrocellulose needs, we believe that alternative supplies could be obtained at a competitive cost. However, a change in any of the antigens, the nitrocellulose or other critical components used in our products would require FDA approval and some additional development work. This in turn could require significant time to complete, increase our costs and disrupt our ability to manufacture and sell the affected products.</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7"/>
          <w:szCs w:val="17"/>
          <w:color w:val="auto"/>
        </w:rPr>
        <w:t>We manufacture all of the proprietary chemistry and assay cards for our InteliSwab</w:t>
      </w:r>
      <w:r>
        <w:rPr>
          <w:rFonts w:ascii="Arial" w:cs="Arial" w:eastAsia="Arial" w:hAnsi="Arial"/>
          <w:sz w:val="23"/>
          <w:szCs w:val="23"/>
          <w:color w:val="auto"/>
          <w:vertAlign w:val="superscript"/>
        </w:rPr>
        <w:t>®</w:t>
      </w:r>
      <w:r>
        <w:rPr>
          <w:rFonts w:ascii="Arial" w:cs="Arial" w:eastAsia="Arial" w:hAnsi="Arial"/>
          <w:sz w:val="17"/>
          <w:szCs w:val="17"/>
          <w:color w:val="auto"/>
        </w:rPr>
        <w:t xml:space="preserve"> COVID-19 Rapid Tests in our Bethlehem, Pennsylvania facilities. We significantly scaled up manufacturing capacity in the United States for our InteliSwab</w:t>
      </w:r>
      <w:r>
        <w:rPr>
          <w:rFonts w:ascii="Arial" w:cs="Arial" w:eastAsia="Arial" w:hAnsi="Arial"/>
          <w:sz w:val="23"/>
          <w:szCs w:val="23"/>
          <w:color w:val="auto"/>
          <w:vertAlign w:val="superscript"/>
        </w:rPr>
        <w:t>®</w:t>
      </w:r>
      <w:r>
        <w:rPr>
          <w:rFonts w:ascii="Arial" w:cs="Arial" w:eastAsia="Arial" w:hAnsi="Arial"/>
          <w:sz w:val="17"/>
          <w:szCs w:val="17"/>
          <w:color w:val="auto"/>
        </w:rPr>
        <w:t xml:space="preserve"> COVID-19 Rapid Tests and have achieved manufacturing capacity targets under our 2021 contract with the US DOD, in coordination with HHS. Funding under the contract has been, and will be, paid to us based on achievement of milestones through March 2024 for the design, acquisition, installation, qualification and acceptance of the manufacturing equipment. An existing Company location in Bethlehem, PA has been retrofitted to accommodate increased manufacturing capacity.</w:t>
      </w:r>
    </w:p>
    <w:p>
      <w:pPr>
        <w:spacing w:after="0" w:line="208"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Our MICRO-PLATE and AUTO-LYTE</w:t>
      </w:r>
      <w:r>
        <w:rPr>
          <w:rFonts w:ascii="Arial" w:cs="Arial" w:eastAsia="Arial" w:hAnsi="Arial"/>
          <w:sz w:val="24"/>
          <w:szCs w:val="24"/>
          <w:color w:val="0E101A"/>
          <w:vertAlign w:val="superscript"/>
        </w:rPr>
        <w:t>®</w:t>
      </w:r>
      <w:r>
        <w:rPr>
          <w:rFonts w:ascii="Arial" w:cs="Arial" w:eastAsia="Arial" w:hAnsi="Arial"/>
          <w:sz w:val="18"/>
          <w:szCs w:val="18"/>
          <w:color w:val="auto"/>
        </w:rPr>
        <w:t xml:space="preserve"> assays require the production of highly specific and sensitive antibodies corresponding to the antigen of interest. Substantially all our antibody requirements are provided by contract suppliers. We believe that we have adequate reserves of antibody supplies and that we have access to sufficient raw materials for these products.</w:t>
      </w:r>
    </w:p>
    <w:p>
      <w:pPr>
        <w:spacing w:after="0" w:line="20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The fully-automated high-throughput oral fluid drug assays sold with our new Intercept i2</w:t>
      </w:r>
      <w:r>
        <w:rPr>
          <w:rFonts w:ascii="Arial" w:cs="Arial" w:eastAsia="Arial" w:hAnsi="Arial"/>
          <w:sz w:val="24"/>
          <w:szCs w:val="24"/>
          <w:color w:val="auto"/>
          <w:vertAlign w:val="superscript"/>
        </w:rPr>
        <w:t>®</w:t>
      </w:r>
      <w:r>
        <w:rPr>
          <w:rFonts w:ascii="Arial" w:cs="Arial" w:eastAsia="Arial" w:hAnsi="Arial"/>
          <w:sz w:val="18"/>
          <w:szCs w:val="18"/>
          <w:i w:val="1"/>
          <w:iCs w:val="1"/>
          <w:color w:val="auto"/>
        </w:rPr>
        <w:t>he</w:t>
      </w:r>
      <w:r>
        <w:rPr>
          <w:rFonts w:ascii="Arial" w:cs="Arial" w:eastAsia="Arial" w:hAnsi="Arial"/>
          <w:sz w:val="18"/>
          <w:szCs w:val="18"/>
          <w:color w:val="auto"/>
        </w:rPr>
        <w:t xml:space="preserve"> collection device are manufactured and supplied under a long-term agreement with Thermo Fisher. There is no other supply source for these products.</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DNAG has three long-term contract manufacturing relationships to supply virtually all of its products, including the Oragene</w:t>
      </w:r>
      <w:r>
        <w:rPr>
          <w:rFonts w:ascii="Arial" w:cs="Arial" w:eastAsia="Arial" w:hAnsi="Arial"/>
          <w:sz w:val="24"/>
          <w:szCs w:val="24"/>
          <w:b w:val="1"/>
          <w:bCs w:val="1"/>
          <w:color w:val="auto"/>
          <w:vertAlign w:val="superscript"/>
        </w:rPr>
        <w:t>®</w:t>
      </w:r>
      <w:r>
        <w:rPr>
          <w:rFonts w:ascii="Arial" w:cs="Arial" w:eastAsia="Arial" w:hAnsi="Arial"/>
          <w:sz w:val="18"/>
          <w:szCs w:val="18"/>
          <w:color w:val="auto"/>
        </w:rPr>
        <w:t xml:space="preserve"> product line. Many of the raw materials and components used in these products are also purchased from third parties, some of which are purchased from a single source supplier. We are actively seeking to qualify other suppliers that can manufacture and supply the raw materials and components for the DNAG products. All DNAG products in our Molecular Solutions business are produced in Canada.</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Our Colli-Pee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device is currently manufactured at our Belgian assembly facility with components supplied by third party vendors.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Our genomic, microbiome and metatranscriptomics laboratory testing and analytical services are provided by our subsidiary, Diversigen.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Human Capital Resources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order to achieve the goals and expectations of our Company, it is crucial that we continue to attract and retain top talent. To facilitate talent attraction and retention, we strive to make OraSure a safe and rewarding workplace with opportunities for our employees to grow and develop in their careers.</w:t>
      </w:r>
    </w:p>
    <w:p>
      <w:pPr>
        <w:spacing w:after="0" w:line="124"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color w:val="auto"/>
        </w:rPr>
        <w:t>As of December 31, 2022, we had 840 full-time employees, which compares to 785 employees as of December 31, 2021. The increase in employees during 2022 was primarily the result of the need to add manufacturing capacity for our InteliSwab</w:t>
      </w:r>
      <w:r>
        <w:rPr>
          <w:rFonts w:ascii="Arial" w:cs="Arial" w:eastAsia="Arial" w:hAnsi="Arial"/>
          <w:sz w:val="21"/>
          <w:szCs w:val="21"/>
          <w:color w:val="auto"/>
          <w:vertAlign w:val="superscript"/>
        </w:rPr>
        <w:t>®</w:t>
      </w:r>
      <w:r>
        <w:rPr>
          <w:rFonts w:ascii="Arial" w:cs="Arial" w:eastAsia="Arial" w:hAnsi="Arial"/>
          <w:sz w:val="16"/>
          <w:szCs w:val="16"/>
          <w:color w:val="auto"/>
        </w:rPr>
        <w:t xml:space="preserve"> COVID-19 Rapid Test. In February 2023, we announced an 11% reduction in our non-production workforce. Our employees are not currently represented by a U.S. collective bargaining agreement.</w:t>
      </w:r>
    </w:p>
    <w:p>
      <w:pPr>
        <w:spacing w:after="0" w:line="1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our employees are among our most important resources and are critical to our continued success. We focus significant attention to attracting and retaining talented and experienced individuals to manage and support our operations, and our management team routinely reviews employee turnover rates at various levels of the organization. Management also reviews employee engagement and satisfaction surveys to monitor employee morale and receive feedback on a variety of issues.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health and safety of our workforce is fundamental to the success of our business. We safeguard our people, projects and reputation by striving for zero employee injuries and illnesses, while operating and delivering our work responsibly and sustainably. We provide our employees upfront and ongoing safety training to ensure that safety policies and procedures are effectively communicated and implemented. Personal protective equipment is provided to those employees where needed for the employee to safely perform their job function.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3" w:name="page14"/>
    <w:bookmarkEnd w:id="13"/>
    <w:p>
      <w:pPr>
        <w:jc w:val="both"/>
        <w:spacing w:after="0" w:line="259" w:lineRule="auto"/>
        <w:rPr>
          <w:sz w:val="20"/>
          <w:szCs w:val="20"/>
          <w:color w:val="auto"/>
        </w:rPr>
      </w:pPr>
      <w:r>
        <w:rPr>
          <w:rFonts w:ascii="Arial" w:cs="Arial" w:eastAsia="Arial" w:hAnsi="Arial"/>
          <w:sz w:val="18"/>
          <w:szCs w:val="18"/>
          <w:color w:val="auto"/>
        </w:rPr>
        <w:t>As part of our compensation philosophy, we believe that we must offer and maintain market competitive compensation and benefits programs for our employees in order to attract and retain superior talent. In addition to healthy base wages, additional programs include annual bonus opportunities, a Company matched 401(k) Plan or other savings plan, healthcare and insurance benefits, health savings and flexible spending accounts, paid time off, family leave, flexible work schedules, and employee assistance programs.</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OraSure family of companies is committed to creating and fostering a diverse, equitable, and inclusive workplace that reflects and contributes to the global communities in which we do business and the customers and partners we serve. This includes all communities impacted by our corporate presence. Our management teams and all of our employees are expected to exhibit and promote honest, ethical and respectful conduct in the workplace. All of our employees must adhere to a Code of Conduct that sets standards for appropriate behavior and includes required annual training on preventing, identifying, reporting and stopping any type of unlawful discrimination. We strive to recruit the best people for the job regardless of gender, ethnicity or other protected trait and it is our policy to fully comply with all laws (domestic and foreign) applicable to discrimination in the workplace. We have an active Diversity, Equity and Inclusion Council that strives to drive diversity, equity and inclusion within the workplace. At OraSure, we believe a variety of perspectives are critical to achieving success, and that diversity, equity and inclusion are key drivers to growth-based innovation and profitability. We aim to create a culture where all people feel valued, supported, and inspired to be themselves fearlessly, without judgment. We believe that when all voices are heard, we honor and exemplify our core values and best serve our communities.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2022 Developments</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 March 31, 2022, the termination of Dr. Tang as President and Chief Executive Officer (the "CEO") of the Company became effective. Dr. Nancy Gagliano served as interim CEO for a period commencing on April 1, 2022 and ending on June 4, 2022, at which time Carrie Eglinton Manner was appointed as President and CEO.</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9, 2022, we announced the termination of Agnieszka Gallagher's employment with the Company as Executive Vice President, General Counsel and Chief Compliance Officer.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8, 2022 our Board of Directors appointed Ken McGrath as the Company’s Chief Financial Officer. Mr. McGrath replaced Interim Chief Financial Officer, Scott Gleason.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On November 7, 2022 our Board of Directors promoted Kathleen Weber from President, Molecular Solutions to Chief Product Officer.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Diagnostics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diagnostic industry is a multi-billion dollar international industry and is intensely competitive. Many of our competitors are substantially larger than we are, and have greater financial, research, manufacturing and marketing resources than we do. We have many rapid tests with proprietary features enabling them to compete effectively in select market segments. Broadly, we differentiate based on our tests’ ease of use, which has enabled us to expand our self-testing offering.</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primary competitive factors for our products include price, quality, performance, ease of use, customer service and reputation. Industry competition is based on these and the following additional factors:</w:t>
      </w:r>
    </w:p>
    <w:p>
      <w:pPr>
        <w:spacing w:after="0" w:line="62" w:lineRule="exact"/>
        <w:rPr>
          <w:sz w:val="20"/>
          <w:szCs w:val="20"/>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Scientific and technological capability;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Proprietary know-how;</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to develop and market products and processes;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to obtain FDA or other regulatory approvals;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to manufacture products that meet applicable FDA or other applicable regulatory requirements;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Commercial execution and strength of distribution;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Access to adequate capital;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to attract and retain qualified personnel;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availability of patent protection.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4" w:name="page15"/>
    <w:bookmarkEnd w:id="14"/>
    <w:p>
      <w:pPr>
        <w:jc w:val="both"/>
        <w:spacing w:after="0" w:line="311" w:lineRule="auto"/>
        <w:rPr>
          <w:sz w:val="20"/>
          <w:szCs w:val="20"/>
          <w:color w:val="auto"/>
        </w:rPr>
      </w:pPr>
      <w:r>
        <w:rPr>
          <w:rFonts w:ascii="Arial" w:cs="Arial" w:eastAsia="Arial" w:hAnsi="Arial"/>
          <w:sz w:val="16"/>
          <w:szCs w:val="16"/>
          <w:color w:val="auto"/>
        </w:rPr>
        <w:t>A few large corporations produce a wide variety of diagnostic tests and other medical devices and equipment. A larger number of mid-size companies generally compete only in the diagnostic industry and a significant number of small companies produce only a few diagnostic products. As a result, the diagnostic test industry is highly fragmented and segmented. This enables us to serve specific segments where the products provide a unique benefit.</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future market for diagnostic products is expected to be characterized by greater cost consciousness, the development of new technologies, tighter reimbursement policies and consolidation. The purchasers of diagnostic products are expected to place increased emphasis on lowering costs, reducing inventory levels, obtaining better performing products, automation, service and volume discounts.</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expect competition to intensify as technological advances are made and become more widely known, and as new products reach the market. Furthermore, new testing methodologies could be developed in the future that render our products impractical, uneconomical or obsolete. There can be no assurance that our competitors will not succeed in developing or marketing technologies and products that are more effective than those we develop or that would render our technologies and products obsolete or otherwise commercially unattractive. In addition, there can be no assurance that our competitors will not succeed in obtaining regulatory approval for these products, or introduce or commercialize them, before we can do so. These developments could have a material adverse effect on our business, financial condition and results of operations.</w:t>
      </w:r>
    </w:p>
    <w:p>
      <w:pPr>
        <w:spacing w:after="0" w:line="178"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 xml:space="preserve">Competition in the U.S. market for infectious disease testing in medical settings is intense and is expected to increase. Our principal competition for HIV testing in the professional market comes from existing and new professional point-of-care rapid blood tests and automated laboratory-based blood tests. Our OraQuick </w:t>
      </w:r>
      <w:r>
        <w:rPr>
          <w:rFonts w:ascii="Arial" w:cs="Arial" w:eastAsia="Arial" w:hAnsi="Arial"/>
          <w:sz w:val="18"/>
          <w:szCs w:val="18"/>
          <w:i w:val="1"/>
          <w:iCs w:val="1"/>
          <w:color w:val="auto"/>
        </w:rPr>
        <w:t>ADVANCE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rapid HIV test is the only OTC oral fluid test for HIV in the United States, and as such, enables outreach testing outside of clinics. Our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rapid HCV test competes against laboratory-based blood tests in the U.S., as there currently are no other rapid HCV testing products approved by the FDA.</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Our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In-Home HIV oral fluid test is the only rapid HIV test approved by the FDA for sale in the US OTC market.</w:t>
      </w:r>
    </w:p>
    <w:p>
      <w:pPr>
        <w:spacing w:after="0" w:line="165"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Outside the U.S., our rapid HIV and HCV tests compete against other rapid and laboratory-based tests, which require blood as a sample. The majority of these blood-based tests are priced at or below our HIV and HCV rapid oral fluid tests. There are no other oral fluid tests for HCV outside the US with WHO Prequalification status and the CE mark. The majority of our sales outside the US are in Africa due to the greater incidence of HIV in that region. Our OraQuick</w:t>
      </w:r>
      <w:r>
        <w:rPr>
          <w:rFonts w:ascii="Arial" w:cs="Arial" w:eastAsia="Arial" w:hAnsi="Arial"/>
          <w:sz w:val="23"/>
          <w:szCs w:val="23"/>
          <w:color w:val="auto"/>
          <w:vertAlign w:val="superscript"/>
        </w:rPr>
        <w:t>®</w:t>
      </w:r>
      <w:r>
        <w:rPr>
          <w:rFonts w:ascii="Arial" w:cs="Arial" w:eastAsia="Arial" w:hAnsi="Arial"/>
          <w:sz w:val="17"/>
          <w:szCs w:val="17"/>
          <w:color w:val="auto"/>
        </w:rPr>
        <w:t xml:space="preserve"> HIV Self-Test is CE marked, which enables us to participate in the European OTC market for HIV.</w:t>
      </w:r>
    </w:p>
    <w:p>
      <w:pPr>
        <w:spacing w:after="0" w:line="94"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United States COVID-19 rapid testing market consists of tests used by medical professionals at the point-of-care as well as OTC tests purchased and used by consumers. There are numerous professional point-of-care tests, OTC Antigen rapid tests and OTC rapid molecular tests authorized under EUA by the FDA. Our InteliSwab</w:t>
      </w:r>
      <w:r>
        <w:rPr>
          <w:rFonts w:ascii="Arial" w:cs="Arial" w:eastAsia="Arial" w:hAnsi="Arial"/>
          <w:sz w:val="23"/>
          <w:szCs w:val="23"/>
          <w:color w:val="auto"/>
          <w:vertAlign w:val="superscript"/>
        </w:rPr>
        <w:t>®</w:t>
      </w:r>
      <w:r>
        <w:rPr>
          <w:rFonts w:ascii="Arial" w:cs="Arial" w:eastAsia="Arial" w:hAnsi="Arial"/>
          <w:sz w:val="17"/>
          <w:szCs w:val="17"/>
          <w:color w:val="auto"/>
        </w:rPr>
        <w:t xml:space="preserve"> test competes in both the professional point-of-care and OTC segments with these products.</w:t>
      </w:r>
    </w:p>
    <w:p>
      <w:pPr>
        <w:spacing w:after="0" w:line="90"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In the substance abuse testing market, our Intercept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drug testing system competes with laboratory-based drug testing products using sample matrices such as urine, hair, sweat and oral fluid. We expect competition for our products to intensify, particularly from other domestic and international companies that have developed, or may develop, competing oral fluid drug testing products.</w:t>
      </w:r>
    </w:p>
    <w:p>
      <w:pPr>
        <w:spacing w:after="0" w:line="208"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Our MICRO-PLATE oral fluid drug assays, which are sold for use with the original Intercept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collector and our OraSure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collection device, also continue to come under increasing competitive pressure from “home-brew” assays developed internally by our laboratory customers. Our oral fluid MICRO-PLATE assays also compete with urine-based homogeneous assays that are run on fully-automated, random access analyzers.</w:t>
      </w:r>
    </w:p>
    <w:p>
      <w:pPr>
        <w:spacing w:after="0" w:line="19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Our MICRO-PLATE drugs-of-abuse reagents sold in the forensic toxicology market are targeted to forensic testing laboratories where sensitivity, automation and “system solutions” are important. We compete with both homogeneous and heterogeneous tests manufactured by many companies.</w:t>
      </w:r>
    </w:p>
    <w:p>
      <w:pPr>
        <w:spacing w:after="0" w:line="151" w:lineRule="exact"/>
        <w:rPr>
          <w:sz w:val="20"/>
          <w:szCs w:val="20"/>
          <w:color w:val="auto"/>
        </w:rPr>
      </w:pPr>
    </w:p>
    <w:p>
      <w:pPr>
        <w:jc w:val="both"/>
        <w:spacing w:after="0"/>
        <w:rPr>
          <w:sz w:val="20"/>
          <w:szCs w:val="20"/>
          <w:color w:val="auto"/>
        </w:rPr>
      </w:pPr>
      <w:r>
        <w:rPr>
          <w:rFonts w:ascii="Arial" w:cs="Arial" w:eastAsia="Arial" w:hAnsi="Arial"/>
          <w:sz w:val="18"/>
          <w:szCs w:val="18"/>
          <w:color w:val="auto"/>
        </w:rPr>
        <w:t>Q.E.D.</w:t>
      </w:r>
      <w:r>
        <w:rPr>
          <w:rFonts w:ascii="Arial" w:cs="Arial" w:eastAsia="Arial" w:hAnsi="Arial"/>
          <w:sz w:val="24"/>
          <w:szCs w:val="24"/>
          <w:color w:val="auto"/>
          <w:vertAlign w:val="superscript"/>
        </w:rPr>
        <w:t>®</w:t>
      </w:r>
      <w:r>
        <w:rPr>
          <w:rFonts w:ascii="Arial" w:cs="Arial" w:eastAsia="Arial" w:hAnsi="Arial"/>
          <w:sz w:val="18"/>
          <w:szCs w:val="18"/>
          <w:color w:val="auto"/>
        </w:rPr>
        <w:t xml:space="preserve"> competes against other semi-quantitative saliva-based alcohol tests that have received U.S. Department of Transportation approval as well as breath alcohol tests. Although there are lower priced tests on the market that use oral fluid or breath as a test medium, we believe that these tests are qualitative tests that we believe are lower in quality and provide fewer benefits than our Q.E.D.</w:t>
      </w:r>
      <w:r>
        <w:rPr>
          <w:rFonts w:ascii="Arial" w:cs="Arial" w:eastAsia="Arial" w:hAnsi="Arial"/>
          <w:sz w:val="24"/>
          <w:szCs w:val="24"/>
          <w:color w:val="auto"/>
          <w:vertAlign w:val="superscript"/>
        </w:rPr>
        <w:t>®</w:t>
      </w:r>
      <w:r>
        <w:rPr>
          <w:rFonts w:ascii="Arial" w:cs="Arial" w:eastAsia="Arial" w:hAnsi="Arial"/>
          <w:sz w:val="18"/>
          <w:szCs w:val="18"/>
          <w:color w:val="auto"/>
        </w:rPr>
        <w:t xml:space="preserve"> test.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Molecular Solutions</w:t>
      </w:r>
    </w:p>
    <w:p>
      <w:pPr>
        <w:spacing w:after="0" w:line="230"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Our Oragene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and ORAcollect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collection systems compete against other types of collection devices used for molecular testing, such as blood collection devices and buccal swabs, which often are sold for prices lower than the prices charged for the Oragene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and ORAcollect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products. Although we believe the Oragene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and ORAcollect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devices offer a number of advantages over these other products, the availability of lower price competitive devices can result in lost sales and degradation in pricing and profit margin. Our</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5" w:name="page16"/>
    <w:bookmarkEnd w:id="15"/>
    <w:p>
      <w:pPr>
        <w:jc w:val="both"/>
        <w:spacing w:after="0" w:line="216" w:lineRule="auto"/>
        <w:rPr>
          <w:sz w:val="20"/>
          <w:szCs w:val="20"/>
          <w:color w:val="auto"/>
        </w:rPr>
      </w:pPr>
      <w:r>
        <w:rPr>
          <w:rFonts w:ascii="Arial" w:cs="Arial" w:eastAsia="Arial" w:hAnsi="Arial"/>
          <w:sz w:val="18"/>
          <w:szCs w:val="18"/>
          <w:color w:val="auto"/>
        </w:rPr>
        <w:t>Oragene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and ORAcollect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products are also facing increasing competition from similarly designed collection systems which are beginning to enter the market. With the receipt of authorizations for use in connection with COVID-19 molecular tests, our Oragene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and ORAcollect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products now compete against COVID-19 testing systems and the collection methods used in those systems.</w:t>
      </w:r>
    </w:p>
    <w:p>
      <w:pPr>
        <w:spacing w:after="0" w:line="20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OMNIgene</w:t>
      </w:r>
      <w:r>
        <w:rPr>
          <w:rFonts w:ascii="Arial" w:cs="Arial" w:eastAsia="Arial" w:hAnsi="Arial"/>
          <w:sz w:val="24"/>
          <w:szCs w:val="24"/>
          <w:color w:val="auto"/>
          <w:vertAlign w:val="superscript"/>
        </w:rPr>
        <w:t>®</w:t>
      </w:r>
      <w:r>
        <w:rPr>
          <w:rFonts w:ascii="Arial" w:cs="Arial" w:eastAsia="Arial" w:hAnsi="Arial"/>
          <w:sz w:val="18"/>
          <w:szCs w:val="18"/>
          <w:color w:val="auto"/>
        </w:rPr>
        <w:t>• GUT is being sold in the emerging microbiome market and competes with a variety of non-standard in-house solutions developed by various researchers, including simply freezing the sample after collection. The microbiome market is expected to require standardization in the methods used for collection and stabilization in order to derive more accurate and repeatable results. To date, we are one of the few vendors to offer a solution that fully meets these requirements.</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genomic, microbiome and metatranscriptomics laboratory service offerings primarily compete against a number of commercial reference laboratories, specialty laboratories and hospital laboratories in the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Proprietary Information</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seek patents and other intellectual property rights to protect and preserve our proprietary technology and our right to capitalize on the results of our research and development activities. We also rely on trade secrets, know-how, continuing technological innovations and licensing opportunities to provide competitive advantages for our products in our markets and to accelerate new product introductions. We regularly search for third-party patents in fields related to our business to shape our own patent and product commercialization strategies as effectively as possible and to identify licensing opportunities. United States patents generally have a maximum term of 20 years from the date an application is filed.</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patents throughout our product and service lines. Our patent portfolio includes pending applications and issued patents in diagnostics and testing, sampling tools, and services and analysis. Our portfolio protects our innovative sampling tools, services and diagnostics that provide access to accurate, essential information that advances global health and well-being.</w:t>
      </w:r>
    </w:p>
    <w:p>
      <w:pPr>
        <w:spacing w:after="0" w:line="18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Diagnostics and testing products include the OraSure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and Intercept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collection devices that are covered by one utility and one design patent in each of the U.S., Canada, Japan, and throughout Europe. We have numerous foreign patents for its collection devices and technology relating to oral fluid collection, containers for oral fluids, methods to test oral fluids, and methods to control the volume of oral fluids collected and dispersed. The utility patents will expire in January 2028, and the design patents will expire in 2025.</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Sampling tools are the subject of several other patents and pending applications, including U.S. and international utility patent applications directed to a new oral fluid collection device. The international applications will enter their national phase in countries throughout the world beginning in October 2023. Patents issuing from these applications will expire in March 2041.</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a U.S. and international PCT patent applications that are directed to a new developer solution vial for use with sampling and assay devices. The international application and will enter its national phase in countries throughout the world, beginning in May 2023 and patents issuing from these applications will expire in December 2041. Related design patent applications are pending in the U.S., Canada, and Europe.</w:t>
      </w:r>
    </w:p>
    <w:p>
      <w:pPr>
        <w:spacing w:after="0" w:line="17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additional pending applications directed to new direct sample collection pads for our InteliSwab</w:t>
      </w:r>
      <w:r>
        <w:rPr>
          <w:rFonts w:ascii="Arial" w:cs="Arial" w:eastAsia="Arial" w:hAnsi="Arial"/>
          <w:sz w:val="24"/>
          <w:szCs w:val="24"/>
          <w:color w:val="auto"/>
          <w:vertAlign w:val="superscript"/>
        </w:rPr>
        <w:t>®</w:t>
      </w:r>
      <w:r>
        <w:rPr>
          <w:rFonts w:ascii="Arial" w:cs="Arial" w:eastAsia="Arial" w:hAnsi="Arial"/>
          <w:sz w:val="18"/>
          <w:szCs w:val="18"/>
          <w:color w:val="auto"/>
        </w:rPr>
        <w:t xml:space="preserve"> COVID-19 Rapid Test. These applications will enter their national phase in countries throughout the world, beginning in October 2023, and patents issuing from these applications will expire in December 2042. A related design patent issued in 2022 in the U.S. and corresponding design applications were registered in Canada, China, India, and Europe. These design patents will expire 2035.</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registered design patents for a collection funnel and corresponding plunger device in Europe, China, and India and a corresponding U.S. design patent application is pending.</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pending patent applications throughout our product and service lines directed to assays, methods, devices, and reagents for monitoring adherence to HIV medications, such as nucleoside reverse transcriptase inhibitors used in PrEP regimens.</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have two international families of patent applications filed in the United States and in numerous countries worldwide. These applications are directed to novel nucleoside reverse transcriptase inhibitor-specific antibodies for use in assays to detect the presence of nucleoside reverse transcriptase inhibitor drug derivatives, including tenofovir, in fluid samples. Patents issuing from these applications will expire in October 2038 and December 2040.</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hold, through our subsidiary, DNAG, thirty granted United States patents and numerous foreign patents issued for compositions, methods and apparatuses for the collection, stabilization, transportation, and storage of nucleic acids (DNA and RNA) from oral fluid and other bodily fluids and tissues. These patents expire from June 2023 through October 2037.</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6" w:name="page17"/>
    <w:bookmarkEnd w:id="16"/>
    <w:p>
      <w:pPr>
        <w:jc w:val="both"/>
        <w:spacing w:after="0" w:line="263" w:lineRule="auto"/>
        <w:rPr>
          <w:sz w:val="20"/>
          <w:szCs w:val="20"/>
          <w:color w:val="auto"/>
        </w:rPr>
      </w:pPr>
      <w:r>
        <w:rPr>
          <w:rFonts w:ascii="Arial" w:cs="Arial" w:eastAsia="Arial" w:hAnsi="Arial"/>
          <w:sz w:val="18"/>
          <w:szCs w:val="18"/>
          <w:color w:val="auto"/>
        </w:rPr>
        <w:t>We hold through our subsidiary, Novosanis, one granted United States patent and numerous foreign patents covering a medical device for capturing a predetermined volume of first void urine. This patent expires in September 2033. We have also applied for additional patents, in both the United States and certain foreign countries, in novel urine collection devices.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subsidiary, Diversigen, has licensed one United States patent and several foreign patent applications from the University of Minnesota for analytical standards to detect and/or measure sampling, processing, and/or amplification errors in a biological sample containing polynucleotide molecules. These patents will expire in May 2036. This license also covers certain software and know-how related to laboratory and bioinformatics procedures and processes. Diversigen has also licensed certain know-how and database assets from the Baylor College of Medicine related to laboratory processes for microbiome and metagenomics services.</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require our employees, consultants, outside collaborators and other advisors to execute confidentiality agreements upon the commencement of employment or consulting relationships with us. These agreements provide that all confidential information developed by or made known to the individual during the course of the individual’s relationship with us is to be kept confidential and not disclosed to third parties except in specific circumstances. In the case of employees and certain consultants, the agreements also provide that all inventions conceived by the individual during his or her tenure with us or the performance by the consultant of services for us will be our exclusive property.</w:t>
      </w:r>
    </w:p>
    <w:p>
      <w:pPr>
        <w:spacing w:after="0" w:line="176"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We own rights to trademarks and service marks that we believe are necessary to conduct our business as currently operated. In the United States, we own a number of trademarks, including the OraSure</w:t>
      </w:r>
      <w:r>
        <w:rPr>
          <w:rFonts w:ascii="Arial" w:cs="Arial" w:eastAsia="Arial" w:hAnsi="Arial"/>
          <w:sz w:val="23"/>
          <w:szCs w:val="23"/>
          <w:color w:val="auto"/>
          <w:vertAlign w:val="superscript"/>
        </w:rPr>
        <w:t>®</w:t>
      </w:r>
      <w:r>
        <w:rPr>
          <w:rFonts w:ascii="Arial" w:cs="Arial" w:eastAsia="Arial" w:hAnsi="Arial"/>
          <w:sz w:val="17"/>
          <w:szCs w:val="17"/>
          <w:color w:val="auto"/>
        </w:rPr>
        <w:t>, Intercept</w:t>
      </w:r>
      <w:r>
        <w:rPr>
          <w:rFonts w:ascii="Arial" w:cs="Arial" w:eastAsia="Arial" w:hAnsi="Arial"/>
          <w:sz w:val="23"/>
          <w:szCs w:val="23"/>
          <w:color w:val="auto"/>
          <w:vertAlign w:val="superscript"/>
        </w:rPr>
        <w:t>®</w:t>
      </w:r>
      <w:r>
        <w:rPr>
          <w:rFonts w:ascii="Arial" w:cs="Arial" w:eastAsia="Arial" w:hAnsi="Arial"/>
          <w:sz w:val="17"/>
          <w:szCs w:val="17"/>
          <w:color w:val="auto"/>
        </w:rPr>
        <w:t>, Intercept i2</w:t>
      </w:r>
      <w:r>
        <w:rPr>
          <w:rFonts w:ascii="Arial" w:cs="Arial" w:eastAsia="Arial" w:hAnsi="Arial"/>
          <w:sz w:val="23"/>
          <w:szCs w:val="23"/>
          <w:color w:val="auto"/>
          <w:vertAlign w:val="superscript"/>
        </w:rPr>
        <w:t>®</w:t>
      </w:r>
      <w:r>
        <w:rPr>
          <w:rFonts w:ascii="Arial" w:cs="Arial" w:eastAsia="Arial" w:hAnsi="Arial"/>
          <w:sz w:val="17"/>
          <w:szCs w:val="17"/>
          <w:i w:val="1"/>
          <w:iCs w:val="1"/>
          <w:color w:val="auto"/>
        </w:rPr>
        <w:t>he</w:t>
      </w:r>
      <w:r>
        <w:rPr>
          <w:rFonts w:ascii="Arial" w:cs="Arial" w:eastAsia="Arial" w:hAnsi="Arial"/>
          <w:sz w:val="17"/>
          <w:szCs w:val="17"/>
          <w:color w:val="auto"/>
        </w:rPr>
        <w:t>, OraQuick</w:t>
      </w:r>
      <w:r>
        <w:rPr>
          <w:rFonts w:ascii="Arial" w:cs="Arial" w:eastAsia="Arial" w:hAnsi="Arial"/>
          <w:sz w:val="23"/>
          <w:szCs w:val="23"/>
          <w:color w:val="auto"/>
          <w:vertAlign w:val="superscript"/>
        </w:rPr>
        <w:t>®</w:t>
      </w:r>
      <w:r>
        <w:rPr>
          <w:rFonts w:ascii="Arial" w:cs="Arial" w:eastAsia="Arial" w:hAnsi="Arial"/>
          <w:sz w:val="17"/>
          <w:szCs w:val="17"/>
          <w:color w:val="auto"/>
        </w:rPr>
        <w:t xml:space="preserve">, OraQuick </w:t>
      </w:r>
      <w:r>
        <w:rPr>
          <w:rFonts w:ascii="Arial" w:cs="Arial" w:eastAsia="Arial" w:hAnsi="Arial"/>
          <w:sz w:val="17"/>
          <w:szCs w:val="17"/>
          <w:i w:val="1"/>
          <w:iCs w:val="1"/>
          <w:color w:val="auto"/>
        </w:rPr>
        <w:t>ADVANCE</w:t>
      </w:r>
      <w:r>
        <w:rPr>
          <w:rFonts w:ascii="Arial" w:cs="Arial" w:eastAsia="Arial" w:hAnsi="Arial"/>
          <w:sz w:val="23"/>
          <w:szCs w:val="23"/>
          <w:color w:val="auto"/>
          <w:vertAlign w:val="superscript"/>
        </w:rPr>
        <w:t>®</w:t>
      </w:r>
      <w:r>
        <w:rPr>
          <w:rFonts w:ascii="Arial" w:cs="Arial" w:eastAsia="Arial" w:hAnsi="Arial"/>
          <w:sz w:val="17"/>
          <w:szCs w:val="17"/>
          <w:color w:val="auto"/>
        </w:rPr>
        <w:t>, OraSure QuickFlu</w:t>
      </w:r>
      <w:r>
        <w:rPr>
          <w:rFonts w:ascii="Arial" w:cs="Arial" w:eastAsia="Arial" w:hAnsi="Arial"/>
          <w:sz w:val="23"/>
          <w:szCs w:val="23"/>
          <w:color w:val="auto"/>
          <w:vertAlign w:val="superscript"/>
        </w:rPr>
        <w:t>®</w:t>
      </w:r>
      <w:r>
        <w:rPr>
          <w:rFonts w:ascii="Arial" w:cs="Arial" w:eastAsia="Arial" w:hAnsi="Arial"/>
          <w:sz w:val="17"/>
          <w:szCs w:val="17"/>
          <w:color w:val="auto"/>
        </w:rPr>
        <w:t>, Q.E.D.</w:t>
      </w:r>
      <w:r>
        <w:rPr>
          <w:rFonts w:ascii="Arial" w:cs="Arial" w:eastAsia="Arial" w:hAnsi="Arial"/>
          <w:sz w:val="23"/>
          <w:szCs w:val="23"/>
          <w:color w:val="auto"/>
          <w:vertAlign w:val="superscript"/>
        </w:rPr>
        <w:t>®</w:t>
      </w:r>
      <w:r>
        <w:rPr>
          <w:rFonts w:ascii="Arial" w:cs="Arial" w:eastAsia="Arial" w:hAnsi="Arial"/>
          <w:sz w:val="17"/>
          <w:szCs w:val="17"/>
          <w:color w:val="auto"/>
        </w:rPr>
        <w:t>, InteliSwab</w:t>
      </w:r>
      <w:r>
        <w:rPr>
          <w:rFonts w:ascii="Arial" w:cs="Arial" w:eastAsia="Arial" w:hAnsi="Arial"/>
          <w:sz w:val="23"/>
          <w:szCs w:val="23"/>
          <w:color w:val="auto"/>
          <w:vertAlign w:val="superscript"/>
        </w:rPr>
        <w:t>®</w:t>
      </w:r>
      <w:r>
        <w:rPr>
          <w:rFonts w:ascii="Arial" w:cs="Arial" w:eastAsia="Arial" w:hAnsi="Arial"/>
          <w:sz w:val="17"/>
          <w:szCs w:val="17"/>
          <w:color w:val="auto"/>
        </w:rPr>
        <w:t>, Oragene</w:t>
      </w:r>
      <w:r>
        <w:rPr>
          <w:rFonts w:ascii="Arial" w:cs="Arial" w:eastAsia="Arial" w:hAnsi="Arial"/>
          <w:sz w:val="23"/>
          <w:szCs w:val="23"/>
          <w:color w:val="auto"/>
          <w:vertAlign w:val="superscript"/>
        </w:rPr>
        <w:t>®</w:t>
      </w:r>
      <w:r>
        <w:rPr>
          <w:rFonts w:ascii="Arial" w:cs="Arial" w:eastAsia="Arial" w:hAnsi="Arial"/>
          <w:sz w:val="17"/>
          <w:szCs w:val="17"/>
          <w:color w:val="auto"/>
        </w:rPr>
        <w:t>, DNA Genotek</w:t>
      </w:r>
      <w:r>
        <w:rPr>
          <w:rFonts w:ascii="Arial" w:cs="Arial" w:eastAsia="Arial" w:hAnsi="Arial"/>
          <w:sz w:val="23"/>
          <w:szCs w:val="23"/>
          <w:color w:val="auto"/>
          <w:vertAlign w:val="superscript"/>
        </w:rPr>
        <w:t>®</w:t>
      </w:r>
      <w:r>
        <w:rPr>
          <w:rFonts w:ascii="Arial" w:cs="Arial" w:eastAsia="Arial" w:hAnsi="Arial"/>
          <w:sz w:val="17"/>
          <w:szCs w:val="17"/>
          <w:color w:val="auto"/>
        </w:rPr>
        <w:t>, OMNImet</w:t>
      </w:r>
      <w:r>
        <w:rPr>
          <w:rFonts w:ascii="Arial" w:cs="Arial" w:eastAsia="Arial" w:hAnsi="Arial"/>
          <w:sz w:val="23"/>
          <w:szCs w:val="23"/>
          <w:color w:val="auto"/>
          <w:vertAlign w:val="superscript"/>
        </w:rPr>
        <w:t>TM</w:t>
      </w:r>
      <w:r>
        <w:rPr>
          <w:rFonts w:ascii="Arial" w:cs="Arial" w:eastAsia="Arial" w:hAnsi="Arial"/>
          <w:sz w:val="17"/>
          <w:szCs w:val="17"/>
          <w:color w:val="auto"/>
        </w:rPr>
        <w:t>, ORAcollect</w:t>
      </w:r>
      <w:r>
        <w:rPr>
          <w:rFonts w:ascii="Arial" w:cs="Arial" w:eastAsia="Arial" w:hAnsi="Arial"/>
          <w:sz w:val="23"/>
          <w:szCs w:val="23"/>
          <w:color w:val="auto"/>
          <w:vertAlign w:val="superscript"/>
        </w:rPr>
        <w:t>®</w:t>
      </w:r>
      <w:r>
        <w:rPr>
          <w:rFonts w:ascii="Arial" w:cs="Arial" w:eastAsia="Arial" w:hAnsi="Arial"/>
          <w:sz w:val="17"/>
          <w:szCs w:val="17"/>
          <w:color w:val="auto"/>
        </w:rPr>
        <w:t>, OMNIgene</w:t>
      </w:r>
      <w:r>
        <w:rPr>
          <w:rFonts w:ascii="Arial" w:cs="Arial" w:eastAsia="Arial" w:hAnsi="Arial"/>
          <w:sz w:val="23"/>
          <w:szCs w:val="23"/>
          <w:color w:val="auto"/>
          <w:vertAlign w:val="superscript"/>
        </w:rPr>
        <w:t>®</w:t>
      </w:r>
      <w:r>
        <w:rPr>
          <w:rFonts w:ascii="Arial" w:cs="Arial" w:eastAsia="Arial" w:hAnsi="Arial"/>
          <w:sz w:val="17"/>
          <w:szCs w:val="17"/>
          <w:color w:val="auto"/>
        </w:rPr>
        <w:t>, goDNA</w:t>
      </w:r>
      <w:r>
        <w:rPr>
          <w:rFonts w:ascii="Arial" w:cs="Arial" w:eastAsia="Arial" w:hAnsi="Arial"/>
          <w:sz w:val="23"/>
          <w:szCs w:val="23"/>
          <w:color w:val="auto"/>
          <w:vertAlign w:val="superscript"/>
        </w:rPr>
        <w:t>TM</w:t>
      </w:r>
      <w:r>
        <w:rPr>
          <w:rFonts w:ascii="Arial" w:cs="Arial" w:eastAsia="Arial" w:hAnsi="Arial"/>
          <w:sz w:val="17"/>
          <w:szCs w:val="17"/>
          <w:color w:val="auto"/>
        </w:rPr>
        <w:t>, Diversigen</w:t>
      </w:r>
      <w:r>
        <w:rPr>
          <w:rFonts w:ascii="Arial" w:cs="Arial" w:eastAsia="Arial" w:hAnsi="Arial"/>
          <w:sz w:val="23"/>
          <w:szCs w:val="23"/>
          <w:color w:val="auto"/>
          <w:vertAlign w:val="superscript"/>
        </w:rPr>
        <w:t>®</w:t>
      </w:r>
      <w:r>
        <w:rPr>
          <w:rFonts w:ascii="Arial" w:cs="Arial" w:eastAsia="Arial" w:hAnsi="Arial"/>
          <w:sz w:val="17"/>
          <w:szCs w:val="17"/>
          <w:color w:val="auto"/>
        </w:rPr>
        <w:t>, CoreBiome</w:t>
      </w:r>
      <w:r>
        <w:rPr>
          <w:rFonts w:ascii="Arial" w:cs="Arial" w:eastAsia="Arial" w:hAnsi="Arial"/>
          <w:sz w:val="23"/>
          <w:szCs w:val="23"/>
          <w:color w:val="auto"/>
          <w:vertAlign w:val="superscript"/>
        </w:rPr>
        <w:t>®</w:t>
      </w:r>
      <w:r>
        <w:rPr>
          <w:rFonts w:ascii="Arial" w:cs="Arial" w:eastAsia="Arial" w:hAnsi="Arial"/>
          <w:sz w:val="17"/>
          <w:szCs w:val="17"/>
          <w:color w:val="auto"/>
        </w:rPr>
        <w:t>, Boostershot</w:t>
      </w:r>
      <w:r>
        <w:rPr>
          <w:rFonts w:ascii="Arial" w:cs="Arial" w:eastAsia="Arial" w:hAnsi="Arial"/>
          <w:sz w:val="23"/>
          <w:szCs w:val="23"/>
          <w:color w:val="auto"/>
          <w:vertAlign w:val="superscript"/>
        </w:rPr>
        <w:t>®</w:t>
      </w:r>
      <w:r>
        <w:rPr>
          <w:rFonts w:ascii="Arial" w:cs="Arial" w:eastAsia="Arial" w:hAnsi="Arial"/>
          <w:sz w:val="17"/>
          <w:szCs w:val="17"/>
          <w:color w:val="auto"/>
        </w:rPr>
        <w:t>, MetaGene</w:t>
      </w:r>
      <w:r>
        <w:rPr>
          <w:rFonts w:ascii="Arial" w:cs="Arial" w:eastAsia="Arial" w:hAnsi="Arial"/>
          <w:sz w:val="23"/>
          <w:szCs w:val="23"/>
          <w:color w:val="auto"/>
          <w:vertAlign w:val="superscript"/>
        </w:rPr>
        <w:t>TM</w:t>
      </w:r>
      <w:r>
        <w:rPr>
          <w:rFonts w:ascii="Arial" w:cs="Arial" w:eastAsia="Arial" w:hAnsi="Arial"/>
          <w:sz w:val="17"/>
          <w:szCs w:val="17"/>
          <w:color w:val="auto"/>
        </w:rPr>
        <w:t>, Benchmark</w:t>
      </w:r>
      <w:r>
        <w:rPr>
          <w:rFonts w:ascii="Arial" w:cs="Arial" w:eastAsia="Arial" w:hAnsi="Arial"/>
          <w:sz w:val="23"/>
          <w:szCs w:val="23"/>
          <w:color w:val="auto"/>
          <w:vertAlign w:val="superscript"/>
        </w:rPr>
        <w:t>TM</w:t>
      </w:r>
      <w:r>
        <w:rPr>
          <w:rFonts w:ascii="Arial" w:cs="Arial" w:eastAsia="Arial" w:hAnsi="Arial"/>
          <w:sz w:val="17"/>
          <w:szCs w:val="17"/>
          <w:color w:val="auto"/>
        </w:rPr>
        <w:t>, Novosanis</w:t>
      </w:r>
      <w:r>
        <w:rPr>
          <w:rFonts w:ascii="Arial" w:cs="Arial" w:eastAsia="Arial" w:hAnsi="Arial"/>
          <w:sz w:val="23"/>
          <w:szCs w:val="23"/>
          <w:color w:val="auto"/>
          <w:vertAlign w:val="superscript"/>
        </w:rPr>
        <w:t>®</w:t>
      </w:r>
      <w:r>
        <w:rPr>
          <w:rFonts w:ascii="Arial" w:cs="Arial" w:eastAsia="Arial" w:hAnsi="Arial"/>
          <w:sz w:val="17"/>
          <w:szCs w:val="17"/>
          <w:color w:val="auto"/>
        </w:rPr>
        <w:t>, Colli-Pee</w:t>
      </w:r>
      <w:r>
        <w:rPr>
          <w:rFonts w:ascii="Arial" w:cs="Arial" w:eastAsia="Arial" w:hAnsi="Arial"/>
          <w:sz w:val="23"/>
          <w:szCs w:val="23"/>
          <w:color w:val="auto"/>
          <w:vertAlign w:val="superscript"/>
        </w:rPr>
        <w:t>®</w:t>
      </w:r>
      <w:r>
        <w:rPr>
          <w:rFonts w:ascii="Arial" w:cs="Arial" w:eastAsia="Arial" w:hAnsi="Arial"/>
          <w:sz w:val="17"/>
          <w:szCs w:val="17"/>
          <w:color w:val="auto"/>
        </w:rPr>
        <w:t>, UCM</w:t>
      </w:r>
      <w:r>
        <w:rPr>
          <w:rFonts w:ascii="Arial" w:cs="Arial" w:eastAsia="Arial" w:hAnsi="Arial"/>
          <w:sz w:val="23"/>
          <w:szCs w:val="23"/>
          <w:color w:val="auto"/>
          <w:vertAlign w:val="superscript"/>
        </w:rPr>
        <w:t>®</w:t>
      </w:r>
      <w:r>
        <w:rPr>
          <w:rFonts w:ascii="Arial" w:cs="Arial" w:eastAsia="Arial" w:hAnsi="Arial"/>
          <w:sz w:val="17"/>
          <w:szCs w:val="17"/>
          <w:color w:val="auto"/>
        </w:rPr>
        <w:t>, UAS</w:t>
      </w:r>
      <w:r>
        <w:rPr>
          <w:rFonts w:ascii="Arial" w:cs="Arial" w:eastAsia="Arial" w:hAnsi="Arial"/>
          <w:sz w:val="23"/>
          <w:szCs w:val="23"/>
          <w:color w:val="auto"/>
          <w:vertAlign w:val="superscript"/>
        </w:rPr>
        <w:t>TM</w:t>
      </w:r>
      <w:r>
        <w:rPr>
          <w:rFonts w:ascii="Arial" w:cs="Arial" w:eastAsia="Arial" w:hAnsi="Arial"/>
          <w:sz w:val="17"/>
          <w:szCs w:val="17"/>
          <w:color w:val="auto"/>
        </w:rPr>
        <w:t>, AUTO-LYTE</w:t>
      </w:r>
      <w:r>
        <w:rPr>
          <w:rFonts w:ascii="Arial" w:cs="Arial" w:eastAsia="Arial" w:hAnsi="Arial"/>
          <w:sz w:val="23"/>
          <w:szCs w:val="23"/>
          <w:color w:val="auto"/>
          <w:vertAlign w:val="superscript"/>
        </w:rPr>
        <w:t>®</w:t>
      </w:r>
      <w:r>
        <w:rPr>
          <w:rFonts w:ascii="Arial" w:cs="Arial" w:eastAsia="Arial" w:hAnsi="Arial"/>
          <w:sz w:val="17"/>
          <w:szCs w:val="17"/>
          <w:color w:val="auto"/>
        </w:rPr>
        <w:t>, prepIT</w:t>
      </w:r>
      <w:r>
        <w:rPr>
          <w:rFonts w:ascii="Arial" w:cs="Arial" w:eastAsia="Arial" w:hAnsi="Arial"/>
          <w:sz w:val="23"/>
          <w:szCs w:val="23"/>
          <w:color w:val="auto"/>
          <w:vertAlign w:val="superscript"/>
        </w:rPr>
        <w:t>®</w:t>
      </w:r>
      <w:r>
        <w:rPr>
          <w:rFonts w:ascii="Arial" w:cs="Arial" w:eastAsia="Arial" w:hAnsi="Arial"/>
          <w:sz w:val="17"/>
          <w:szCs w:val="17"/>
          <w:color w:val="auto"/>
        </w:rPr>
        <w:t>, and Hemagene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trademarks. We also own many of these marks and others in several foreign countries and we are pursuing registration of several other trademarks.</w:t>
      </w: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Although important, the issuance of a patent or existence of trademark or trade secret protection does not in itself ensure the success of our business. Competitors may be able to produce products competing with our patented products without infringing our patent rights. Issuance of a patent in one country generally does not prevent manufacture or sale of the patented product in other countries. The issuance of a patent is not conclusive as to validity or as to the enforceable scope of the patent. The validity or enforceability of a patent or trademark can be challenged by litigation after its issuance or registration. If the outcome of such litigation is adverse to the owner of the patent, the owner’s rights could be diminished or withdrawn. Trade secret protection does not prevent independent discovery and exploitation of the secret product or technique.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Most of our products are regulated by the FDA, along with other federal, state and local agencies and comparable regulatory bodies in other countries. This regulated environment governs almost all aspects of development, production and marketing, including product design and testing, authorizations to market, labeling, advertising and promotion, manufacturing, distribution, post-market surveillance and reporting, and recordkeeping. We believe that our products and procedures are in material compliance with all applicable regulations, but the regulations regarding the manufacture and sale of our products may be unclear and are subject to change. We cannot predict the effect, if any, that these changes might have on our business, financial condition or results of operations.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Many of our FDA-regulated products require some form of review and action by the FDA before they can be marketed in the United States. After approval or clearance by the FDA, we must continue to comply with other FDA requirements applicable to marketed products and are subject to periodic inspections by the FDA and other regulatory bodies. Both before and after approval or clearance, failure to comply with the FDA’s requirements can lead to significant penalties or could disrupt our ability to manufacture and sell these products. In addition, the FDA could refuse permission to obtain certificates needed to export our products if the agency determines that we are not in compliance.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Domestic Regulation</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Most of our products are regulated in the United States as in vitro diagnostic and medical devices. In the United States, devices are classified into three groups based on risk: class I (lowest risk), class II (moderate risk), and class III (highest risk). The classification of a device determines the level of regulation applicable to the device: class I devices are subject only to the general controls that are applicable to all regulated devices; class II devices are subject to both general controls and special controls, which are specific to the type of device; and class III devices are subject to general controls and any other controls that are needed to provide reasonable assurance of the safety and effectiveness of the specific device.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7" w:name="page18"/>
    <w:bookmarkEnd w:id="17"/>
    <w:p>
      <w:pPr>
        <w:jc w:val="both"/>
        <w:spacing w:after="0" w:line="301" w:lineRule="auto"/>
        <w:rPr>
          <w:sz w:val="20"/>
          <w:szCs w:val="20"/>
          <w:color w:val="auto"/>
        </w:rPr>
      </w:pPr>
      <w:r>
        <w:rPr>
          <w:rFonts w:ascii="Arial" w:cs="Arial" w:eastAsia="Arial" w:hAnsi="Arial"/>
          <w:sz w:val="16"/>
          <w:szCs w:val="16"/>
          <w:color w:val="auto"/>
        </w:rPr>
        <w:t>The classification of the device also influences the type of premarket submission that is required before the device can be marketed. Some low risk devices (including many class I and some class II devices) may be placed on the market without any premarket submission. Such devices often are referred to as “exempt” or “510(k)-exempt.” Most devices, however, require some form of premarket submission prior to marketing. There are several mechanisms by which such devices can be placed on the market in the United States, including 510(k)-clearance, de novo classification, premarket approval, or EUA.</w:t>
      </w:r>
    </w:p>
    <w:p>
      <w:pPr>
        <w:spacing w:after="0" w:line="15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Many class II devices and some class I devices may qualify for clearance under Section 510(k) of the Federal Food, Drug and Cosmetic Act (the "FDCA"). To obtain this clearance from the FDA, the manufacturer must submit to the FDA a premarket notification that it intends to begin marketing the product, and show that the product is substantially equivalent to another legally marketed predicate device (i.e., a device that has been cleared through the 510(k) process; a device that was legally marketed prior to May 28, 1976; a device that has been reclassified by the FDA; or a device that the FDA previously has determined to be exempt from the 510(k) process). To be substantially equivalent, an applicant must show that when compared to a predicate, the new device has the same intended use and same technology, or if different technology, that the new device is as safe and effective as the predicate and does not raise different questions of safety and effectiveness. In all cases, data from some form of performance testing is required and in some cases, the submission must include data from human clinical studies. An applicant must submit a 510(k) notification at least 90 days before commercial distribution of the product commences. Marketing may only commence when the FDA issues a clearance letter finding that the new device is substantially equivalent to the predicate device. The standards and data requirements necessary for the clearance of a new device may be unclear or may be subject to change. Although FDA clearance usually takes from four to twelve months, in some cases more than a year may be required before clearance is obtained, if at all.</w:t>
      </w:r>
    </w:p>
    <w:p>
      <w:pPr>
        <w:spacing w:after="0" w:line="17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If the device does not qualify for the 510(k) procedure, either because there is no existing predicate device, it is not substantially equivalent to a legally marketed predicate device or because it is classified by the FDA as a class III device, the FDA must approve either a PMA application or for devices that are low to moderate risk, grant a request for de novo classification before marketing can begin. A de novo classification is an alternate pathway to classify novel devices of low to moderate risk for which no substantially equivalent predicate device exists into class I or class II. The FDA’s goal is to decide a de novo request in 150 days from the time the request is received, although it can take longer.</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PMAs generally are required for class III devices, i.e., high risk devices, and must demonstrate, among other matters, that the medical device provides a reasonable assurance of safety and effectiveness for the intended use(s) of the device. A PMA is typically a complex submission, supported by valid scientific evidence, including the results of preclinical and clinical studies, usability data, detailed information about the manufacturing process for the device, and other data and information. Preparing a PMA is a resource-intensive and time-consuming process. Once a PMA has been submitted, the FDA is required to review the submission within 180 days. However, the FDA’s review may be, and often is, much longer, in many cases requiring one to three years or more, and may include requests for additional data, review by an independent panel of experts, and facility inspections before approval is granted, if at all.</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the FDA approves the PMA, it may place restrictions on the device. If the FDA’s evaluation of the PMA or the manufacturing facility is not favorable, the FDA may deny approval of the PMA application or issue a “not approvable” letter. The FDA may also require additional clinical trials, which can delay the PMA approval process by several years or prevent a PMA approval from being obtained.</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the FDA discovers that an applicant has submitted false or misleading information in any application or notification, the FDA may take action against the applicant and its employees or refuse to review submissions until certain requirements are met pursuant to its Application Integrity Policy. Delays in receipt of or failure to receive such clearances or approvals, the loss of previously received clearances or approvals, or the failure to comply with existing or future regulatory requirements could have a material adverse effect on our business, financial condition and results of operations.</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Another option for marketing a product in the U.S. is through an EUA. FDA may grant an EUA for a product if the Secretary of Health and Human Services declares that circumstances exist justifying the authorization of emergency use of certain products. Such declaration may be made following a determination by the Secretary of Health and Human Services that there is a public health emergency, by the Secretary of Homeland Security that there is a domestic emergency, or by the Secretary of Defense that there is a military emergency, or the declaration may be made if a material threat is identified under a particular provision of the Public Health Service Act. Typically, a diagnostic device may receive EUA-authorization on the basis of analytical and clinical studies that do not satisfy the requirements for full clearance or approval. Devices also may be exempt from design controls and other quality requirements. An EUA for a device remains in effect until the Secretary of Health and Human Services, in consultation with the Secretary of Defense, determines that the circumstances justifying emergency use of the device no longer exist, or until the authorized device is approved or cleared.</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there are any modifications made to our marketed devices, a new premarket notification, PMA supplement, or request to change an EUA may be required to be submitted to, and cleared, approved, or authorized by, the FDA, before the modified device may be marketed.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8" w:name="page19"/>
    <w:bookmarkEnd w:id="18"/>
    <w:p>
      <w:pPr>
        <w:jc w:val="both"/>
        <w:spacing w:after="0" w:line="257" w:lineRule="auto"/>
        <w:rPr>
          <w:sz w:val="20"/>
          <w:szCs w:val="20"/>
          <w:color w:val="auto"/>
        </w:rPr>
      </w:pPr>
      <w:r>
        <w:rPr>
          <w:rFonts w:ascii="Arial" w:cs="Arial" w:eastAsia="Arial" w:hAnsi="Arial"/>
          <w:sz w:val="18"/>
          <w:szCs w:val="18"/>
          <w:color w:val="auto"/>
        </w:rPr>
        <w:t>A new PMA or a PMA supplement is required for modifications that affect the safety or effectiveness of the device, including, for example, certain types of modifications to the device’s intended use(s), manufacturing process, manufacturing facility, critical components, labeling and design. Likewise, a new 510(k) clearance is required for any modification that could significantly affect the safety or effectiveness of the device, e.g. a significant change or modification in design, material, chemical composition, energy source, or manufacturing process or a major change or modification in the intended use(s) of the device.</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 clinical trial may be required in support of a 510(k) submission and generally is required for a de novo request or PMA application. These trials generally require an approved application for an Investigational Device Exemption (“IDE”) and compliance with other IDE requirements, unless the proposed study is deemed to be exempt from the IDE requirements. An IDE application must be supported by appropriate data, such as laboratory testing results, protocols for the proposed investigation, and other information demonstrating that the device is appropriate for use with humans in a clinical study. Clinical trials may begin if the IDE application is approved by the FDA and the appropriate institutional review boards at the clinical trial sites. Submission of an IDE application does not give assurance that the FDA will issue the IDE. If the IDE application is approved, there can be no assurance the FDA will determine that the data derived from the trial(s) support the ultimate approval or clearance of the device or warrant the continuation of clinical trials. An IDE supplement must be submitted to and approved by the FDA before a sponsor or investigator may make a change to the investigational plan in such a way that may affect its scientific soundness, study indication or the rights, safety or welfare of human subjects. The trial must also comply with the FDA’s regulations, including the requirement that informed consent be obtained from each subject, and with clinical trial reporting regulations that require submission of information on certain clinical trials to a database maintained by the National Institutes of Health. Even if a trial is completed, the results of clinical testing may not adequately demonstrate the safety and efficacy of the device or may otherwise not be sufficient to obtain FDA clearance to market the product in the United States. If a study meets the requirements for a non-significant risk study, however, it may be eligible for compliance with “abbreviated” IDE requirements, which include a subset of the requirements applicable to significant risk medical device studies. A non-significant risk study also will be considered to have an approved IDE application without such application actually being submitted to FDA.</w:t>
      </w:r>
    </w:p>
    <w:p>
      <w:pPr>
        <w:spacing w:after="0" w:line="16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Some of our products are used for research only or for other nonclinical or non-diagnostic purposes. Our molecular collection products are sold to many academic and research institutions for research purposes and our drugs-of-abuse products are sold to laboratories and clinics for forensic or other non-medical uses. The FDA does not currently regulate products used for these purposes, although other state and federal regulatory requirements may apply.</w:t>
      </w:r>
    </w:p>
    <w:p>
      <w:pPr>
        <w:spacing w:after="0" w:line="14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Most devices distributed in the United States must comply with the FDA’s Quality System Regulations (“QSRs”), including current good manufacturing practices. These regulations govern the entire life cycle of a medical device, including design, manufacture, testing, release, packaging, distribution, documentation and purchasing as well as complaint handling, corrective and preventative actions, and internal auditing. In complying with the QSRs, manufacturers must continue to expend time, money and effort in the area of production, quality, and post-market surveillance to ensure full compliance.</w:t>
      </w:r>
    </w:p>
    <w:p>
      <w:pPr>
        <w:spacing w:after="0" w:line="15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Companies that market devices are also subject to other post-market and general requirements, including product listing and establishment regulations, which help facilitate FDA inspections and other regulatory action, post-market surveillance requests, restrictions imposed on marketed products, promotional standards and requirements for recordkeeping and reporting of certain adverse reactions and device malfunctions. Device reporting regulations require that manufacturers report if their device may have caused or contributed to a death or serious injury, or has malfunctioned in a way that would likely cause or contribute to a death or serious injury if the malfunction of the device or a similar device were to recur.</w:t>
      </w:r>
    </w:p>
    <w:p>
      <w:pPr>
        <w:spacing w:after="0" w:line="16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FDA regularly inspects companies to determine compliance with the QSRs and other post-market requirements. Failure to comply with statutory requirements and the FDA’s regulations can result in an FDA Form 483 (which is issued by the FDA at the conclusion of an inspection when an investigator has observed any conditions that may constitute violations), public warning letters, monetary penalties against a company or its officers and employees, suspension or withdrawal of regulatory approvals, operating restrictions, total or partial suspension of production, injunctions, product recalls, product detentions, refusal to provide export certificates, seizure of products and criminal prosecution. We believe that our facilities and procedures are in material compliance with the FDA’s OSR regulations and other post-market requirements, but the regulations are subject to change or may be unclear, and we cannot be sure that FDA investigators will agree with our compliance with the FDA’s post-market requirements.</w:t>
      </w:r>
    </w:p>
    <w:p>
      <w:pPr>
        <w:spacing w:after="0" w:line="17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CLIA prohibits any facility that conducts laboratory testing on specimens derived from humans from providing information for the diagnosis, prevention or treatment of any disease or impairment of, or the assessment of, the health of human beings, unless there is in effect for such facility a certificate issued by the U.S. Department of Health and Human Services or an accredited organization, and such certificate is applicable to the category of examination or procedure performed. Tests may be categorized as “waived,” enabling them to be used by laboratories with the lowest level of CLIA oversight if the tests meet certain requirements established under CLIA. We consider the applicability of CLIA requirements in the design and development of our products. We have obtained a waiver of the CLIA requirements for our OraQuick ADVANCE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rapid HIV-1/2 antibody test, our OraQuick</w:t>
      </w:r>
      <w:r>
        <w:rPr>
          <w:rFonts w:ascii="Arial" w:cs="Arial" w:eastAsia="Arial" w:hAnsi="Arial"/>
          <w:sz w:val="21"/>
          <w:szCs w:val="21"/>
          <w:color w:val="auto"/>
          <w:vertAlign w:val="superscript"/>
        </w:rPr>
        <w:t>®</w:t>
      </w:r>
      <w:r>
        <w:rPr>
          <w:rFonts w:ascii="Arial" w:cs="Arial" w:eastAsia="Arial" w:hAnsi="Arial"/>
          <w:sz w:val="16"/>
          <w:szCs w:val="16"/>
          <w:color w:val="auto"/>
        </w:rPr>
        <w:t xml:space="preserve"> HCV rapid antibody test and our Q.E.D.</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alcohol saliva test and may seek similar waivers for certain other products. In addition, the supplier of the OraSure Quick-Flu® test has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9" w:name="page20"/>
    <w:bookmarkEnd w:id="19"/>
    <w:p>
      <w:pPr>
        <w:jc w:val="both"/>
        <w:spacing w:after="0" w:line="226" w:lineRule="auto"/>
        <w:rPr>
          <w:sz w:val="20"/>
          <w:szCs w:val="20"/>
          <w:color w:val="auto"/>
        </w:rPr>
      </w:pPr>
      <w:r>
        <w:rPr>
          <w:rFonts w:ascii="Arial" w:cs="Arial" w:eastAsia="Arial" w:hAnsi="Arial"/>
          <w:sz w:val="18"/>
          <w:szCs w:val="18"/>
          <w:color w:val="auto"/>
        </w:rPr>
        <w:t>obtained a CLIA waiver for that product. The InteliSwab</w:t>
      </w:r>
      <w:r>
        <w:rPr>
          <w:rFonts w:ascii="Arial" w:cs="Arial" w:eastAsia="Arial" w:hAnsi="Arial"/>
          <w:sz w:val="24"/>
          <w:szCs w:val="24"/>
          <w:color w:val="auto"/>
          <w:vertAlign w:val="superscript"/>
        </w:rPr>
        <w:t>®</w:t>
      </w:r>
      <w:r>
        <w:rPr>
          <w:rFonts w:ascii="Arial" w:cs="Arial" w:eastAsia="Arial" w:hAnsi="Arial"/>
          <w:sz w:val="18"/>
          <w:szCs w:val="18"/>
          <w:color w:val="auto"/>
        </w:rPr>
        <w:t xml:space="preserve"> COVID-19 Rapid Test Pro is authorized for use in patient care settings operating under CLIA Certificate, Certificate of Compliance and Certificate of Accreditation.</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laboratory services provided by our subsidiary, Diversigen, consist of microbiome, metatranscriptomics and metagenomics sequencing, bioinformatics and analysis. Diversigen has elected to obtain a license from CLIA and has received a certificate of accreditation from the College of American Pathologists (CAP).</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Certain of our products may also be affected by state regulations in the United States, which can restrict the use and sale of certain diagnostic products.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and Promotion</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Advertising and promotion of medical devices, in addition to being regulated by the FDA, are also regulated by the Federal Trade Commission and by other federal and state regulatory and enforcement authorities, including the Department of Justice, the Office of Inspector General of the Department of Health and Human Services, and various state attorneys general. Although physicians are permitted to exercise medical judgment to use medical devices for indications other than those cleared or approved by the FDA, we may not promote our products for such “off-label” uses and can only market our products for cleared or approved uses. Promotional activities for FDA-regulated products of other companies have also been the subject of enforcement actions brought under healthcare reimbursement laws and consumer protection statutes. In addition, under the federal Lanham Act and similar state laws, competitors and others can initiate litigation relating to advertising claims. If the FDA determines that our promotional materials or training constitute promotion of an uncleared or unapproved use, it could request that we modify our training or promotional materials or subject us to regulatory or enforcement actions, including the issuance of an untitled letter, a notice of violation, a warning letter, injunction, seizure, civil fine or criminal penalties. Federal Trade Commission enforcement actions often result in consent decrees that constrain future actions. Department of Justice prosecutions can result in significant criminal and civil penalties, including exclusion from the Medicare and Medicaid programs. If an enforcement action is brought by the FDA or Federal Trade Commission, our reputation could be damaged and sales of our products could be impaired.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Import and Export Requirements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Products for export from the United States are subject to foreign countries’ import requirements and the exporting requirements of the FDA, as applicable. In particular, international sales of medical devices manufactured in the United States that are not approved or cleared by the FDA for use in the United States, or are banned or deviate from lawful performance standards, are subject to FDA export requirements.</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Foreign countries often require, among other things, an FDA certificate for products for export, also called a Certificate for Foreign Government (“CFG”). To obtain this certificate from the FDA, the device manufacturer must apply to the FDA. The FDA certifies that the product has been granted clearance or approval in the United States and that the manufacturing facilities were in compliance with QSR regulations at the time of the last FDA inspection. If the FDA determines that our facilities or procedures do not comply with the QSR regulations, it may refuse to provide such certificates until we resolve the issues to the FDA’s satisfaction. Failure to obtain a CFG could inhibit our ability to export our products to countries that require such certificates.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also subject to regulations in foreign countries governing products, human clinical trials and marketing, and may need to obtain approval (or pre-qualification or endorsement) from local regulators in such countries or international public health agencies, such as the World Health Organization, in order to sell products in certain countries. Approval processes vary from country to country, and the length of time required for approval or to obtain other clearances may in some cases be longer than that required for U.S. governmental approvals. We generally pursue approval only in those countries that we believe have a significant market opportunity.</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International Organization for Standardization (“ISO”) is a worldwide federation of national standards bodies. ISO 13485 certification indicates that our quality system complies with standards applicable to activities ranging from initial product design and development through production and distribution.</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European Union (“EU”) adopted the EU Medical Devices Regulation (the “EU MDR”) and the In Vitro Diagnostic Medical Devices Regulation (the “EU IVDR”), which repealed and replaced the Medical Devices Directive (“MDD”) and the In Vitro Diagnostic Medical Devices Directive (“IVDD”), respectively. The EU MDR and EU IVDR impose stricter pre-market and post-market requirements for the marketing and sale of medical devices and in vitro diagnostic medical devices, including in the area of clinical evaluation requirements, quality systems and post-market surveillance. The EU IVDR became applicable on May 26, 2022. There is a transitional period during which products that have a declaration of conformity issued under the IVDD prior to May 26, 2022 may continue to be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color w:val="auto"/>
        </w:rPr>
        <w:t>placed on the EU market for a certain period before requiring certification under the IVDR; however, class A non-sterile products do not benefit from such transitional provisions and have been required to be IVDR compliant since May 26, 2022.</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EU, products that fall under the scope of the MDR and the IVDR are not subject to the prior approval of a regulatory authority, but, depending on the class of product, may require prior review by a notified body. Notified bodies are accredited and supervised by national regulatory authorities to conduct conformity assessment procedures of medical devices or other products. Such products must comply with certain essential requirements listed in those directives. ISO certification creates a rebuttable presumption that the product satisfies the applicable requirements. Compliance with these requirements allows us to complete the applicable conformity assessment procedure, involving a notified body where necessary, and to affix the CE mark to our products, without which they may not be placed on the market in the EU. We also note that from January 1, 2021, the United Kingdom (“UK”) has introduced a UK-specific route to market for medical devices. Compliance with these requirements may add further complexities to our international strategy.</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must also comply with certain registration and licensing requirements as dictated by Health Canada, prior to commencing sales in Canada. We have completed this process for several of our current products and may do so with respect to other products in the future. In addition, Canadian law requires manufacturers of medical devices to have a quality management system that meets various ISO requirements in order to obtain a license to sell their devices in Canada. Health Canada also requires all companies that market Class II, Class III and Class IV products in Canada to be certified as part of the Medical Device Single Audit Program ("MDSAP"). We received this certification for our Diagnostics segment (previously named "OSUR") in January 2019 as well as for our Molecular Business Unit in February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We have obtained WHO pre-qualification for our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HIV-1/Antibody Test, OraQuick® HIV Self-Test and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HCV.</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Anti-Kickback and Other Fraud and Abuse Laws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Federal Anti-Kickback Statute prohibits the knowing and willful offer, payment, solicitation, or receipt of any form of remuneration in return for, or to induce:</w:t>
      </w:r>
    </w:p>
    <w:p>
      <w:pPr>
        <w:spacing w:after="0" w:line="62" w:lineRule="exact"/>
        <w:rPr>
          <w:sz w:val="20"/>
          <w:szCs w:val="20"/>
          <w:color w:val="auto"/>
        </w:rPr>
      </w:pPr>
    </w:p>
    <w:p>
      <w:pPr>
        <w:ind w:left="1020" w:right="20" w:hanging="503"/>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referral of an individual to a person for the furnishing or arranging for the furnishing of items or services reimbursable under Medicare, Medicaid or other governmental healthcare programs; or</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purchase, lease, or order of, or the arrangement or recommendation of the purchasing, leasing, or ordering of any item or service reimbursable under Medicare, Medicaid, or other governmental healthcare programs.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products are or may be purchased by customers that will seek or receive reimbursement under Medicare, Medicaid or other governmental healthcare programs. Noncompliance with the Federal Anti-Kickback Statute can result in exclusion from Medicare, Medicaid or other governmental healthcare programs, and/or restrictions on our ability to operate in certain jurisdictions, as well as civil and criminal penalties, any of which could have an adverse effect on our business and results of operations.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False Claims Act (“FCA”) imposes liability on any person or entity who, among other things, knowingly and willfully presents, or causes to be presented, a false or fraudulent claim for payment by a federal health care program, including Medicaid and Medicare. A violation of the Federal Anti-Kickback Statute is considered a violation of the FCA. Some suits filed under the FCA, known as “qui tam” actions, can be brought by a “whistleblower” or “relator” on behalf of the government, and such individuals may share in any amounts paid by the entity to the government in fines or settlement. Manufacturers can be held liable under false claims laws, even if they do not submit.</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Beneficiary Inducement provisions of the Federal Civil Monetary Penalties Law prohibits the offering or transferring of remuneration to a Medicare or Medicaid beneficiary that the person knows or should know is likely to influence the beneficiary’s selection of a particular provider, practitioner or supplier of Medicare or Medicaid payable items or services. Noncompliance can result in civil monetary penalties for each wrongful act, assessment of three times the amount claimed for each item or service and exclusion from the Federal healthcare programs.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Many states have also adopted some form of anti-kickback laws and false claims laws. A determination of liability under such laws could result in fines and penalties, restrictions on our ability to operate in these jurisdictions and significant damage to our reputation.</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also subject to other federal and state laws targeting fraud and abuse in the healthcare industry, including marketing conduct laws, transparency laws, and laws that require us to adopt a compliance program. Taken together, these fraud and abuse laws constrain the sales, marketing and other promotional activities of manufacturers of medical devices by limiting the kinds of financial arrangements, including sales programs, such manufacturers can enter into with physicians, hospitals, laboratories and other potential purchasers of medical devices. Violations of these laws may be punishable by criminal or civil sanctions, including substantial fines, imprisonment and exclusion from participation in government healthcare programs such as Medicare and Medicaid. These laws and regulations are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1" w:name="page22"/>
    <w:bookmarkEnd w:id="21"/>
    <w:p>
      <w:pPr>
        <w:jc w:val="both"/>
        <w:spacing w:after="0" w:line="290" w:lineRule="auto"/>
        <w:rPr>
          <w:sz w:val="20"/>
          <w:szCs w:val="20"/>
          <w:color w:val="auto"/>
        </w:rPr>
      </w:pPr>
      <w:r>
        <w:rPr>
          <w:rFonts w:ascii="Arial" w:cs="Arial" w:eastAsia="Arial" w:hAnsi="Arial"/>
          <w:sz w:val="16"/>
          <w:szCs w:val="16"/>
          <w:color w:val="auto"/>
        </w:rPr>
        <w:t>wide ranging and subject to changing interpretation and application. In recent years, there has been greater scrutiny of marketing practices in the medical device industry which has resulted in several government investigations by various government authorities and the introduction and/or passage of federal and state legislation regulating interactions between medical device manufacturers and healthcare professionals and providers and requiring the disclosure by medical device manufacturers of payments to certain healthcare providers. For example, under the Physician Payments Sunshine Act provisions of the Affordable Care Act, device manufacturers are subject to federal reporting and disclosure requirements with regard to payments or other transfers of value made to U.S. physicians, certain other licensed health care practitioners, and teaching hospitals. Reports submitted under the Sunshine Act are placed in a public database. Device manufacturers are required to submit annual reports by March 31 which cover the prior calendar year. To be in compliance with such disclosure laws, we have implemented necessary systems to accurately track gifts and other payments.</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implemented a written Policy on Interactions with Health Care Professionals, which is based on the Code of Ethics for Interactions with Health Care Professionals promulgated by the Advanced Medical Technology Association, (the "AdvaMed"), a leading trade association representing medical device manufacturers. The Policy applies to all employees and is intended to comply with applicable state and federal laws, regulations and government guidance. The Policy addresses interactions related to sales and marketing practices, research and development, product training and education, grants and charitable contributions, support of third-party educational conferences, and consulting arrangements. While we believe that our practices are in compliance with the Anti-Kickback and other fraud and abuse laws, the standards for compliance with such statutes can be unclear and subject to change.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Corrupt Practices Act and Other Anti-Corruption Laws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U.S. Foreign Corrupt Practices Act (“FCPA”), to which we are subject, prohibits corporations and individuals from engaging in bribery and corruption when dealing with foreign government officials and foreign political parties. It is illegal to corruptly offer, pay, promise, or authorize the giving of anything of value to any officer or employee of a foreign government or public international organization, political party, political party official, or political candidate, in an attempt to obtain or retain business or to otherwise improperly influence a person working in an official capacity on behalf of a foreign government or public international organization. Our present and future business has and will continue to be subject to the FCPA and various other laws, rules and/or regulations applicable to us as a result of our international sales. We also are subject to the FCPA’s accounting provisions, which require us to keep accurate books and records and to maintain a system of internal accounting controls sufficient to assure management’s control, authority, and responsibility over the company's assets. The failure to comply with the FCPA and similar laws could result in civil or criminal sanctions or other adverse consequences.</w:t>
      </w:r>
    </w:p>
    <w:p>
      <w:pPr>
        <w:spacing w:after="0" w:line="19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laws to which we are subject as a result of our international sales also include the U.K. Bribery Act (the “Bribery Act”), which proscribes giving and receiving bribes in the public and private sectors, bribing a foreign public official, and failing to have adequate procedures to prevent employees and other agents from giving bribes. U.S. companies that conduct business in the United Kingdom generally will be subject to the Bribery Act. Penalties under the Bribery Act include potentially unlimited fines for companies and criminal sanctions for corporate officers under certain circumstances.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Regulation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Because of the nature of our current and proposed research, development, and manufacturing processes, we are subject to stringent federal, state and local laws, rules, regulations and policies governing the use, generation, manufacture, storage, air emission, effluent discharge and handling and disposal of solid wastes, hazardous materials and hazardous wastes. Products that we sell in Europe are subject to regulation in EU markets under the Directive on the Restriction of the Use of Certain Hazardous Substances (“RoHS”). RoHS prohibits companies from selling electrical and electronic equipment, such as electronic medical devices, that contain certain hazardous materials, including lead, mercury, cadmium, chromium, polybrominated biphenyls and polybrominated diphenyl ethers, in the EU Member States. In addition, the EU’s Regulation on the Registration, Evaluation, Authorization, and Restriction of Chemicals (“REACH”) imposes severe restrictions and requirements on companies marketing devices in the EU. Among other things, REACH requires companies to obtain prior authorization to use substances of very high concern that are listed for authorization, and imposes bans on the marketing of products that contain specifically listed hazardous substances. Companies marketing medical devices in the EU may also be subject to expensive waste take back obligations under the EU Directive on Waste Electrical and Electronic Directive, the Packaging and Packaging Waste Directive, and the Batteries Directive.</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Future environmental laws, rules, regulations or policies may require us to alter our manufacturing processes, thereby increasing our manufacturing costs, or may impose other additional obligations on us or our products. We believe that our products and manufacturing processes at our facilities comply in all material respects with applicable environmental laws and worker health and safety laws; however, the risk of environmental liabilities cannot be completely eliminated.</w:t>
      </w:r>
    </w:p>
    <w:p>
      <w:pPr>
        <w:spacing w:after="0" w:line="1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foregoing discussion of our business should be read in conjunction with the consolidated financial statements and accompanying notes included in Item 15 of this Annual Report.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Information Available on the Internet</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filings with the Securities and Exchange Commission, including Annual Reports on Form 10-K, Quarterly Reports on Form 10-Q, Current Reports on Form 8-K, including exhibits, proxy and information statements and amendments to those reports filed or furnished pursuant to Sections 13(a) and 15(d) of the Exchange Act are available on our website (www.orasure.com) free of charge as soon as reasonably practicable after we electronically file such material with, or furnish it to, the SEC at its website (https://www.sec.gov). The information contained on our website is not a part of this Annual Report.</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3" w:name="page24"/>
    <w:bookmarkEnd w:id="23"/>
    <w:p>
      <w:pPr>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Risk Factors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Investing in our securities involves risk. Below is a summary of the principal factors that could adversely affect our business, operations and financial results. You should carefully consider the following risks and uncertainties, together with all other information in this Annual Report, including our consolidated financial statements and related notes and the "Management's Discussion and Analysis of Financial Condition and Results of Operations" section, before investing in our Company. This summary does not address all of the risks that we face. Additional discussion of the summarized risks can be found below following this summary.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Products, Marketing and Sales</w:t>
      </w:r>
    </w:p>
    <w:p>
      <w:pPr>
        <w:spacing w:after="0" w:line="121" w:lineRule="exact"/>
        <w:rPr>
          <w:sz w:val="20"/>
          <w:szCs w:val="20"/>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genomics market may adversely affect our business.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future success depends upon market acceptance of our existing and future products and service offerings.</w:t>
      </w:r>
    </w:p>
    <w:p>
      <w:pPr>
        <w:spacing w:after="0" w:line="121"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realize anticipated revenue from our InteliSwab</w:t>
      </w:r>
      <w:r>
        <w:rPr>
          <w:rFonts w:ascii="Arial" w:cs="Arial" w:eastAsia="Arial" w:hAnsi="Arial"/>
          <w:sz w:val="24"/>
          <w:szCs w:val="24"/>
          <w:color w:val="auto"/>
          <w:vertAlign w:val="superscript"/>
        </w:rPr>
        <w:t>®</w:t>
      </w:r>
      <w:r>
        <w:rPr>
          <w:rFonts w:ascii="Arial" w:cs="Arial" w:eastAsia="Arial" w:hAnsi="Arial"/>
          <w:sz w:val="18"/>
          <w:szCs w:val="18"/>
          <w:color w:val="auto"/>
        </w:rPr>
        <w:t xml:space="preserve"> COVID-19 rapid test.</w:t>
      </w:r>
    </w:p>
    <w:p>
      <w:pPr>
        <w:spacing w:after="0" w:line="70"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COVID-19 pandemic continues to cast uncertainty over our consolidated results of operations, financial position and cash flows, while the consequences of COVID-19 and the governmental response to the pandemic and pandemic-related macroeconomic impacts could negatively affect our operations and share price;</w:t>
      </w:r>
    </w:p>
    <w:p>
      <w:pPr>
        <w:spacing w:after="0" w:line="75" w:lineRule="exact"/>
        <w:rPr>
          <w:rFonts w:ascii="Arial" w:cs="Arial" w:eastAsia="Arial" w:hAnsi="Arial"/>
          <w:sz w:val="18"/>
          <w:szCs w:val="18"/>
          <w:color w:val="auto"/>
        </w:rPr>
      </w:pPr>
    </w:p>
    <w:p>
      <w:pPr>
        <w:ind w:left="1020" w:hanging="503"/>
        <w:spacing w:after="0" w:line="342" w:lineRule="auto"/>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Marketing of our COVID-19 tests and collection kits under EUAs from the FDA is subject to certain limitations and we are required to maintain compliance with the terms of the EUA, among other things, and the continuance of the EUAs is subject to government discretion.</w:t>
      </w:r>
    </w:p>
    <w:p>
      <w:pPr>
        <w:spacing w:after="0" w:line="15" w:lineRule="exact"/>
        <w:rPr>
          <w:rFonts w:ascii="Arial" w:cs="Arial" w:eastAsia="Arial" w:hAnsi="Arial"/>
          <w:sz w:val="16"/>
          <w:szCs w:val="16"/>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acceptance and adoption of oral fluid testing and collection products does not continue, our further results may suffer.</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expect to face increasing competition from other providers of diagnostic tests, sample collection products and molecular laboratory services.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inability to expand international sales could adversely affect our business and results of operations.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international presence may increase our risks and expose our business to regulatory, cultural or other restraints.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U.S. government contracts require compliance with numerous laws and increases our risk and liability.</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inability to manufacture products in accordance with applicable specifications, performance standards or quality requirements could adversely affect our business.</w:t>
      </w:r>
    </w:p>
    <w:p>
      <w:pPr>
        <w:spacing w:after="0" w:line="62"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business will suffer if we do not effectively manage challenges to our manufacturing processes and we may be unable to successfully scale-up manufacturing of our products in sufficient quality and quantity to meet demand, which would negatively impact revenue expectations.</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business results depend on our ability to manage disruptions in our domestic and global supply chains and distribution channels.</w:t>
      </w:r>
    </w:p>
    <w:p>
      <w:pPr>
        <w:spacing w:after="0" w:line="128" w:lineRule="exact"/>
        <w:rPr>
          <w:rFonts w:ascii="Arial" w:cs="Arial" w:eastAsia="Arial" w:hAnsi="Arial"/>
          <w:sz w:val="17"/>
          <w:szCs w:val="17"/>
          <w:color w:val="auto"/>
        </w:rPr>
      </w:pPr>
    </w:p>
    <w:p>
      <w:pPr>
        <w:ind w:left="1020" w:hanging="503"/>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Certain of our products depend on components from a sole-source supplier, the loss of which would cause us to be unable to deliver such products.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U.S. government contracts may affect our intellectual property rights.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able to fulfill our obligations under government contracts, which could result in reduced sales and profits, contract penalties or terminations and damages to customer relationships.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Industry, Business and Strategy</w:t>
      </w:r>
    </w:p>
    <w:p>
      <w:pPr>
        <w:spacing w:after="0" w:line="121" w:lineRule="exact"/>
        <w:rPr>
          <w:sz w:val="20"/>
          <w:szCs w:val="20"/>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Consolidation in the healthcare industry could adversely affect our future revenues and operating results.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research, development and commercialization efforts may not succeed and our competitors may develop and commercialize more effective or successful offerings.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Customer concentration creates risk for our business.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Acquisitions or investments may not generate the expected benefits and could disrupt our ongoing business, distract our management, increase our expenses and adversely affect our business.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There are risks relating to our recent acquisitions.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4" w:name="page25"/>
    <w:bookmarkEnd w:id="24"/>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revenues could be affected by third-party reimbursement policies and potential cost constraints.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healthcare regulation could affect our revenues, costs and financial condition.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Reductions in government funding and research budgets could adversely affect our business and financial results.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Reliance on Third Parties</w:t>
      </w:r>
    </w:p>
    <w:p>
      <w:pPr>
        <w:spacing w:after="0" w:line="121" w:lineRule="exact"/>
        <w:rPr>
          <w:sz w:val="20"/>
          <w:szCs w:val="20"/>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use of third party supply sources for critical components of our products could adversely affect our business.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failure to maintain existing distribution channels, or develop new distribution channels, may result in lower revenues.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Intellectual Property</w:t>
      </w:r>
    </w:p>
    <w:p>
      <w:pPr>
        <w:spacing w:after="0" w:line="121" w:lineRule="exact"/>
        <w:rPr>
          <w:sz w:val="20"/>
          <w:szCs w:val="20"/>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success depends on our ability to protect our proprietary technology.</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become involved in intellectual property disputes, which could increase our costs and limit or eliminate our ability to sell products, provide services or use certain technologies.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Risks</w:t>
      </w:r>
    </w:p>
    <w:p>
      <w:pPr>
        <w:spacing w:after="0" w:line="121" w:lineRule="exact"/>
        <w:rPr>
          <w:sz w:val="20"/>
          <w:szCs w:val="20"/>
          <w:color w:val="auto"/>
        </w:rPr>
      </w:pPr>
    </w:p>
    <w:p>
      <w:pPr>
        <w:ind w:left="1020" w:hanging="503"/>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need to obtain regulatory approvals, clearances, authorizations or certifications could increase our costs and adversely affect our financial performance.</w:t>
      </w:r>
    </w:p>
    <w:p>
      <w:pPr>
        <w:spacing w:after="0" w:line="62"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comply with FDA or other regulatory requirements may require us to suspend production or sale of our products or institute a recall which could result in higher costs and loss of revenues.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inability to respond to changes in regulatory requirements could adversely affect our business.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subject to numerous government regulations in addition to FDA requirements, which could increase our costs and affect our operations.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FDA regulation of laboratory-developed tests and genetic testing could affect demand for our products.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Economy, Our Financial Results, Investments, Credit Facilities and Need for Financing</w:t>
      </w:r>
    </w:p>
    <w:p>
      <w:pPr>
        <w:spacing w:after="0" w:line="121" w:lineRule="exact"/>
        <w:rPr>
          <w:sz w:val="20"/>
          <w:szCs w:val="20"/>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experienced losses in the past and may not be able to again achieve and maintain profitable operations.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Economic volatility and disruption, including those related to the COVID-19 pandemic could adversely affect our business, financial performance, results of operations, cash flow and financial condition or those of our customers and suppliers.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impairment of goodwill and intangible assets could reduce our earnings.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to foreign currency exchange rates could negatively affect our operating results.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Common Stock</w:t>
      </w:r>
    </w:p>
    <w:p>
      <w:pPr>
        <w:spacing w:after="0" w:line="121" w:lineRule="exact"/>
        <w:rPr>
          <w:sz w:val="20"/>
          <w:szCs w:val="20"/>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stock price could continue to be volatile.</w:t>
      </w:r>
    </w:p>
    <w:p>
      <w:pPr>
        <w:spacing w:after="0" w:line="117"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Future sales of our Common Stock by existing stockholders, executive officers or directors could depress the market price of our Common Stock and make it more difficult for us to sell stock in the future.</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Certain provisions in our Certificate of Incorporation and Bylaws and under Delaware law could make a third-party acquisition of us difficult.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i w:val="1"/>
          <w:iCs w:val="1"/>
          <w:color w:val="auto"/>
        </w:rPr>
        <w:t>You should carefully consider the risks and uncertainties described below. The risks and uncertainties described below are not the only ones facing us. Additional risks and uncertainties not disclosed or not presently known to us or that we currently deem immaterial also may impair our business operations. The occurrence of any of the following risks could harm our business, financial condition or results of operations.</w:t>
      </w:r>
    </w:p>
    <w:p>
      <w:pPr>
        <w:spacing w:after="0" w:line="180"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Risks Relating to Products, Marketing and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the Genomics Market May Adversely Affect our Business</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5" w:name="page26"/>
    <w:bookmarkEnd w:id="25"/>
    <w:p>
      <w:pPr>
        <w:jc w:val="both"/>
        <w:spacing w:after="0" w:line="254" w:lineRule="auto"/>
        <w:rPr>
          <w:sz w:val="20"/>
          <w:szCs w:val="20"/>
          <w:color w:val="auto"/>
        </w:rPr>
      </w:pPr>
      <w:r>
        <w:rPr>
          <w:rFonts w:ascii="Arial" w:cs="Arial" w:eastAsia="Arial" w:hAnsi="Arial"/>
          <w:sz w:val="18"/>
          <w:szCs w:val="18"/>
          <w:color w:val="auto"/>
        </w:rPr>
        <w:t>The genomics market has been the largest component of our overall molecular business segment for some time and the major drivers of this market have been the consumer genomics segment, which offers products and services to consumers to provide them with personalized health and genealogical information, and the disease risk management segment which offers genetic testing through physicians for a variety of applications including prenatal testing, risk screening and pharmacogenomics. The ancestry portion of the consumer genomics market may be maturing and our sales to customers with offerings in this market have been volatile. Our genomics revenues have also been volatile due to changes in promotional strategies and purchasing patterns by one of our largest customers which serves the consumer ancestry and genetic testing market and cost cutting and de-stocking efforts at some of our larger disease risk management customers. These trends in the ancestry testing market may continue and revenues in this segment may continue to be volatile.</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an effort to increase our molecular revenues, we have devoted increasing time and attention to expanding sales of our genomics products both domestically and internationally, with both new and existing accounts, including co-clearances and co-promotions with strategic partners. While we believe these new markets represent large growth opportunities, there is no assurance that we will be successful in capitalizing on these opportunities or that we will be able to increase our product sales consistent with our expectations. Factors include, but are not limited to, the market acceptance of our products, available funding, cost containment strategies implemented by customers, increasing competition and regulatory constraints could limit sales of our genomics products. To the extent that we are unsuccessful or limited in expanding our business into new markets, our revenues and results of operations could be negatively affected.</w:t>
      </w:r>
    </w:p>
    <w:p>
      <w:pPr>
        <w:spacing w:after="0" w:line="19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Despite these challenges, we believe there is significant growth opportunity for our genomics products in the area of disease risk management (“DRM”), which includes genetic risk testing, prenatal testing, carrier screening, pharmacogenomics testing and population heath studies.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Success Depends Upon Market Acceptance of Our Existing and Future Products and Service Offerings.</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future success will depend, in part, on the market acceptance, and the timing of such acceptance, of new products such as InteliSwab</w:t>
      </w:r>
      <w:r>
        <w:rPr>
          <w:rFonts w:ascii="Arial" w:cs="Arial" w:eastAsia="Arial" w:hAnsi="Arial"/>
          <w:sz w:val="24"/>
          <w:szCs w:val="24"/>
          <w:color w:val="auto"/>
          <w:vertAlign w:val="superscript"/>
        </w:rPr>
        <w:t>®</w:t>
      </w:r>
      <w:r>
        <w:rPr>
          <w:rFonts w:ascii="Arial" w:cs="Arial" w:eastAsia="Arial" w:hAnsi="Arial"/>
          <w:sz w:val="18"/>
          <w:szCs w:val="18"/>
          <w:color w:val="auto"/>
        </w:rPr>
        <w:t>,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HIV Self-Test,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Ebola test and OMNIgene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 GUT product offerings, and other new products or technologies that may be developed or acquired. In addition, our future revenues will depend on market acceptance of new uses for our saliva collection products, including for COVID-19 testing, and our new service offerings, such as the microbiome laboratory testing and analytical services we provide through Diversigen. To commercially market new uses of our products and to achieve market acceptance, we will likely be required to undertake clinical studies to validate the new uses for our products and spend significant funds to complete product development and clinical studies and then undertake substantial marketing efforts to inform potential customers and the public of the existence and perceived benefits of these products and services. In addition, governmental funding may be needed to help complete development, obtain required regulatory approvals, clearances or EUAs and create market acceptance and expand the use of these products and services.</w:t>
      </w:r>
    </w:p>
    <w:p>
      <w:pPr>
        <w:spacing w:after="0" w:line="206"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There may be limited evidence on which to evaluate the market reaction to products and services that may be developed and our marketing efforts for new products and services or products with new uses may not be successful. The market for microbiome products and services is in its early stages and its future development and acceptance by our customers is uncertain. Also, we continue to develop and seek 510(k) regulatory clearance for the InteliSwab® tests, and it is uncertain whether we will be successful in our development and validation efforts or whether these products will prove effective, receive applicable regulatory approvals and gain widespread acceptance in the marketplace. As such, there can be no assurance that any products or services will obtain significant market acceptance and fill the market need that is perceived to exist on a timely basis, or at all. It is possible that our expenses to develop and market any such products, including, without limitation our InteliSwab</w:t>
      </w:r>
      <w:r>
        <w:rPr>
          <w:rFonts w:ascii="Arial" w:cs="Arial" w:eastAsia="Arial" w:hAnsi="Arial"/>
          <w:sz w:val="21"/>
          <w:szCs w:val="21"/>
          <w:color w:val="auto"/>
          <w:vertAlign w:val="superscript"/>
        </w:rPr>
        <w:t>®</w:t>
      </w:r>
      <w:r>
        <w:rPr>
          <w:rFonts w:ascii="Arial" w:cs="Arial" w:eastAsia="Arial" w:hAnsi="Arial"/>
          <w:sz w:val="16"/>
          <w:szCs w:val="16"/>
          <w:color w:val="auto"/>
        </w:rPr>
        <w:t xml:space="preserve"> tests, will exceed any benefit in revenues, which may be short-lived. In addition, other products that compete with ours may achieve 510(k) clearance earlier than we do, providing market advantages.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Realize Anticipated Revenue From Our InteliSwab® COVID-19 Rapid Test</w:t>
      </w:r>
      <w:r>
        <w:rPr>
          <w:rFonts w:ascii="Arial" w:cs="Arial" w:eastAsia="Arial" w:hAnsi="Arial"/>
          <w:sz w:val="18"/>
          <w:szCs w:val="18"/>
          <w:color w:val="auto"/>
        </w:rPr>
        <w:t>.</w:t>
      </w:r>
    </w:p>
    <w:p>
      <w:pPr>
        <w:spacing w:after="0" w:line="23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While we expect to continue to see significant demand for our InteliSwab</w:t>
      </w:r>
      <w:r>
        <w:rPr>
          <w:rFonts w:ascii="Arial" w:cs="Arial" w:eastAsia="Arial" w:hAnsi="Arial"/>
          <w:sz w:val="24"/>
          <w:szCs w:val="24"/>
          <w:color w:val="auto"/>
          <w:vertAlign w:val="superscript"/>
        </w:rPr>
        <w:t>®</w:t>
      </w:r>
      <w:r>
        <w:rPr>
          <w:rFonts w:ascii="Arial" w:cs="Arial" w:eastAsia="Arial" w:hAnsi="Arial"/>
          <w:sz w:val="18"/>
          <w:szCs w:val="18"/>
          <w:color w:val="auto"/>
        </w:rPr>
        <w:t xml:space="preserve"> COVID-19 Rapid Test, other companies are working to produce or have produced rapid tests for COVID-19 which may lead to the diversion of customers, including governmental and quasi-governmental entities, away from us and toward other companies. Moreover, the dangers posed by COVID-19 may subside over time. A number of preventative vaccines have been approved for use in human populations by regulatory agencies in the U.S. and around the world. The uptake of these vaccines will likely limit the spread of COVID-19 and potentially reduce the market size for COVID-19 testing.</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expect that, if and when the current COVID-19 pandemic subsides, there could be significantly reduced demand for testing, and thus, for our InteliSwab</w:t>
      </w:r>
      <w:r>
        <w:rPr>
          <w:rFonts w:ascii="Arial" w:cs="Arial" w:eastAsia="Arial" w:hAnsi="Arial"/>
          <w:sz w:val="24"/>
          <w:szCs w:val="24"/>
          <w:color w:val="auto"/>
          <w:vertAlign w:val="superscript"/>
        </w:rPr>
        <w:t>®</w:t>
      </w:r>
      <w:r>
        <w:rPr>
          <w:rFonts w:ascii="Arial" w:cs="Arial" w:eastAsia="Arial" w:hAnsi="Arial"/>
          <w:sz w:val="18"/>
          <w:szCs w:val="18"/>
          <w:color w:val="auto"/>
        </w:rPr>
        <w:t xml:space="preserve"> COVID-19 Rapid Tests. We have seen a reduction in the prevalence of COVID-19 since the height of the pandemic, and we expect that revenues relating to our COVID-19 testing products will decline in the future if the prevalence of COVID-19 remains low. Further, if the COVID-19 pandemic becomes a seasonal virus or experiences fluctuations in prevalence, we could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6" w:name="page27"/>
    <w:bookmarkEnd w:id="26"/>
    <w:p>
      <w:pPr>
        <w:jc w:val="both"/>
        <w:spacing w:after="0" w:line="282" w:lineRule="auto"/>
        <w:rPr>
          <w:sz w:val="20"/>
          <w:szCs w:val="20"/>
          <w:color w:val="auto"/>
        </w:rPr>
      </w:pPr>
      <w:r>
        <w:rPr>
          <w:rFonts w:ascii="Arial" w:cs="Arial" w:eastAsia="Arial" w:hAnsi="Arial"/>
          <w:sz w:val="16"/>
          <w:szCs w:val="16"/>
          <w:color w:val="auto"/>
        </w:rPr>
        <w:t>experience fluctuations in our revenues associated with our InteliSwab® COVID-19 Rapid Tests. While there is still demand for COVID-19 testing products, there is no guarantee that current or anticipated demand will continue, or if demand does continue, that we will be able to produce our InteliSwab® COVID-19 Rapid Test in quantities to meet the demand. A significant decline in demand for our InteliSwab</w:t>
      </w:r>
      <w:r>
        <w:rPr>
          <w:rFonts w:ascii="Arial" w:cs="Arial" w:eastAsia="Arial" w:hAnsi="Arial"/>
          <w:sz w:val="21"/>
          <w:szCs w:val="21"/>
          <w:color w:val="auto"/>
          <w:vertAlign w:val="superscript"/>
        </w:rPr>
        <w:t>®</w:t>
      </w:r>
      <w:r>
        <w:rPr>
          <w:rFonts w:ascii="Arial" w:cs="Arial" w:eastAsia="Arial" w:hAnsi="Arial"/>
          <w:sz w:val="16"/>
          <w:szCs w:val="16"/>
          <w:color w:val="auto"/>
        </w:rPr>
        <w:t xml:space="preserve"> COVID-19 Rapid Test without a corresponding increase in our other businesses could have a material, adverse effect on our results of operations, cash flow and financial position.</w:t>
      </w:r>
    </w:p>
    <w:p>
      <w:pPr>
        <w:spacing w:after="0" w:line="15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COVID-19 Pandemic Continues to Cast Uncertainty Over Our Consolidated Results of Operations, Financial Position and Cash Flows, While the Consequences of COVID-19 and the Governmental Response to Contain the Pandemic and Pandemic-Related Macroeconomic Impacts Could Negatively Affect Our Operations and Share Price</w:t>
      </w:r>
      <w:r>
        <w:rPr>
          <w:rFonts w:ascii="Arial" w:cs="Arial" w:eastAsia="Arial" w:hAnsi="Arial"/>
          <w:sz w:val="18"/>
          <w:szCs w:val="18"/>
          <w:color w:val="auto"/>
        </w:rPr>
        <w:t>.</w:t>
      </w:r>
    </w:p>
    <w:p>
      <w:pPr>
        <w:spacing w:after="0" w:line="18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Although we have experienced heavy demand for our InteliSwab</w:t>
      </w:r>
      <w:r>
        <w:rPr>
          <w:rFonts w:ascii="Arial" w:cs="Arial" w:eastAsia="Arial" w:hAnsi="Arial"/>
          <w:sz w:val="23"/>
          <w:szCs w:val="23"/>
          <w:color w:val="auto"/>
          <w:vertAlign w:val="superscript"/>
        </w:rPr>
        <w:t>®</w:t>
      </w:r>
      <w:r>
        <w:rPr>
          <w:rFonts w:ascii="Arial" w:cs="Arial" w:eastAsia="Arial" w:hAnsi="Arial"/>
          <w:sz w:val="17"/>
          <w:szCs w:val="17"/>
          <w:color w:val="auto"/>
        </w:rPr>
        <w:t xml:space="preserve"> tests and certain specimen collection devices for use in COVID-19 molecular testing as a result of the COVID-19 pandemic, which has had a positive impact on our performance, the duration and level of the demand for COVID-19 testing is highly uncertain. In addition, the COVID-19 pandemic has continued to negatively impact our ability to provide our HIV self-tests in Southern and Eastern African countries due to logistics challenges and, in our Molecular Solutions segment, COVID-related disruptions in clinical and research work, particularly in the academic market, had reduced demand for our products. We believe the COVID-19 pandemic's continued impact on our consolidated results of operations, financial position and cash flows will be primarily driven by; (i) the severity and duration of the COVID-19 pandemic; (ii) the COVID-19 pandemic's impact on the U.S. healthcare system and the U.S. economy; (iii) the timing, scope and effectiveness of federal, state and local governmental responses to the COVID-19 pandemic, including the development and deployment of vaccine, and (iv) the COVID-19 pandemic's impact on global clinics, research markets and global logistics. Each of these factors are difficult to predict and the nature, length and severity of any adverse consequences as a result of any given factor are uncertain.</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Management has closely monitored the impact of the COVID-19 pandemic, with a focus on the health and safety of our employees and business continuity.</w:t>
      </w:r>
    </w:p>
    <w:p>
      <w:pPr>
        <w:spacing w:after="0" w:line="24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 response to, or as a result of, the current COVID-19 pandemic and emergence of variants, we may experience, among other things, voluntary or mandated temporary closures of one or more of our facilities; temporary or long-term labor shortages; temporary or long-term adverse impacts on our</w:t>
      </w:r>
    </w:p>
    <w:p>
      <w:pPr>
        <w:jc w:val="both"/>
        <w:spacing w:after="0" w:line="281" w:lineRule="auto"/>
        <w:rPr>
          <w:sz w:val="20"/>
          <w:szCs w:val="20"/>
          <w:color w:val="auto"/>
        </w:rPr>
      </w:pPr>
      <w:r>
        <w:rPr>
          <w:rFonts w:ascii="Arial" w:cs="Arial" w:eastAsia="Arial" w:hAnsi="Arial"/>
          <w:sz w:val="16"/>
          <w:szCs w:val="16"/>
          <w:color w:val="auto"/>
        </w:rPr>
        <w:t>supply chain‎ and distribution channels; the potential of increased network vulnerability and risk of data loss resulting from increased‎ use of remote access and removal of data from our facilities; and required reallocation or adjustment of resources, which may ‎impact our business plans and product offerings.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In addition, the direct or indirect impacts of COVID‎-19 may extend to disrupt our suppliers, partners, manufacturers, customers and other stakeholders,‎</w:t>
      </w:r>
    </w:p>
    <w:p>
      <w:pPr>
        <w:spacing w:after="0" w:line="3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which in turn could materially adversely affect our business, results of operations or financial condition. Any change or disruption in operations could impact and have a material adverse effect on our operations and/or results from operations. In addition, the re-introduction of voluntary or mandated efforts ‎to slow the spread of COVID-19 could impact our operations and sales. If portions or all of our, our partners’, or our customer’s operations are disrupted or</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suspended as a result of preventative or reactionary measures‎ in response to the ongoing spread of COVID-19, it could have a material adverse impact on our ‎profitability, results of operations, financial condition and share price. Further, there continue to be significant economic and social impacts of the COVID-19 pandemic, including rising inflation rates, continued levels of higher unemployment, and market volatility, among other impacts; any of which may have an impact on consumer behavior, including use of our products.‎</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Given the uncertainties associated with the ongoing COVID-19 pandemic, including the‎ uncertainty surrounding the remaining duration and outcome, COVID-19 variants and vaccine efficacy, we are unable to estimate the full impact of the COVID-19 pandemic on its business, financial condition, results of operations, and/or cash flows; however, the impact could be material.</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Marketing of Our COVID-19 Tests and Collection Kits Under EUAs From The FDA Is Subject To Certain Limitations and We Are Required To Maintain Compliance With The Terms of The EUA, Among Other Things, And The Continuance of The EUAs Is Subject To Government Discretion.</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February 4, 2020, the HHS issued a declaration that the threat to public health posed by COVID-19 justifies the emergency use of unapproved in vitro diagnostics for the detection or diagnosis of SARS-CoV-2. Under Section 564 of the FDCA, because HHS has issued this declaration, the FDA Commissioner is authorized to issue EUAs to permit certain developers of SARS-CoV-2 diagnostics to begin offering the tests for detection and diagnosis of COVID-19 without having completed the normally applicable FDA review and clearance or approval process for marketing authorization (with the related standards that would apply to demonstrate safety and effectiveness). The issuance of an EUA reflects an FDA conclusion that based on the totality of scientific evidence available to the FDA, it is reasonable to believe that the product may be effective in diagnosing COVID-19, the known potential benefits of the product outweigh the known and potential risks, and there is no adequate, approved, and available alternative to the emergency use of the product.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7" w:name="page28"/>
    <w:bookmarkEnd w:id="27"/>
    <w:p>
      <w:pPr>
        <w:jc w:val="both"/>
        <w:spacing w:after="0" w:line="261" w:lineRule="auto"/>
        <w:rPr>
          <w:sz w:val="20"/>
          <w:szCs w:val="20"/>
          <w:color w:val="auto"/>
        </w:rPr>
      </w:pPr>
      <w:r>
        <w:rPr>
          <w:rFonts w:ascii="Arial" w:cs="Arial" w:eastAsia="Arial" w:hAnsi="Arial"/>
          <w:sz w:val="17"/>
          <w:szCs w:val="17"/>
          <w:color w:val="auto"/>
        </w:rPr>
        <w:t>During 2020, our ORAcollect</w:t>
      </w:r>
      <w:r>
        <w:rPr>
          <w:rFonts w:ascii="Arial" w:cs="Arial" w:eastAsia="Arial" w:hAnsi="Arial"/>
          <w:sz w:val="23"/>
          <w:szCs w:val="23"/>
          <w:color w:val="auto"/>
          <w:vertAlign w:val="superscript"/>
        </w:rPr>
        <w:t>®</w:t>
      </w:r>
      <w:r>
        <w:rPr>
          <w:rFonts w:ascii="Arial" w:cs="Arial" w:eastAsia="Arial" w:hAnsi="Arial"/>
          <w:sz w:val="17"/>
          <w:szCs w:val="17"/>
          <w:color w:val="auto"/>
        </w:rPr>
        <w:t>·RNA and OMNIgene</w:t>
      </w:r>
      <w:r>
        <w:rPr>
          <w:rFonts w:ascii="Arial" w:cs="Arial" w:eastAsia="Arial" w:hAnsi="Arial"/>
          <w:sz w:val="23"/>
          <w:szCs w:val="23"/>
          <w:color w:val="auto"/>
          <w:vertAlign w:val="superscript"/>
        </w:rPr>
        <w:t>®</w:t>
      </w:r>
      <w:r>
        <w:rPr>
          <w:rFonts w:ascii="Arial" w:cs="Arial" w:eastAsia="Arial" w:hAnsi="Arial"/>
          <w:sz w:val="17"/>
          <w:szCs w:val="17"/>
          <w:color w:val="auto"/>
        </w:rPr>
        <w:t>·ORAL collection devices were included in EUAs granted by the FDA to certain third parties for use in the detection of SARS-CoV-2, and we have separately obtained EUAs for these products. In addition, we obtained three EUAs for our new our InteliSwab® COVID-19 Rapid Test. Although there are certain regulatory requirements the FDA has waived for the duration of the EUAs, we remain subject to specific conditions of the authorization, including ensuring appropriate labeling as approved by FDA specifically for purposes of the EUA, maintaining records of distribution to authorized laboratories, collecting data on occurrences of any false positives or false negatives, and tracking any adverse events. As part of the conditions of authorization, OraSure was required to conduct a clinical study in a pediatric population ages 2-14 and an asymptomatic population in addition to launching an app for consumers to report their test results to public health jurisdictions. OraSure has completed the required conditions of authorization with respect to the pediatric claim and launched the InteliSwab ® Connect application for reporting test results to public health jurisdictions. As a result of the National Institutes of Health study (Performance of Screening for SARS-CoV-2 using Rapid Antigen Tests to Detect Incidence of Symptomatic and Asymptomatic SARS-CoV-2 Infection: findings from the Test Us at Home prospective cohort study), FDA has requested modifications to labeling to include serial testing and has removed the required for the Company to conduct a study in an asymptomatic population. Labeling has been modified as required for inclusion of serial testing and authorized by FDA.</w:t>
      </w:r>
    </w:p>
    <w:p>
      <w:pPr>
        <w:spacing w:after="0" w:line="19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with other FDA-regulated products, issues could emerge during the course of the marketing and use of our products under an EUA that could impact our ability to continue the sale and distribution of these products (for example, compliance or product performance issues). The applicable EUAs remain effective only until the HHS declaration is terminated or revoked, and the FDA may also revoke an EUA if it determines the criteria for issuance are no longer met or other circumstances make such revocation appropriate to protect the public health or safety. If that were to occur then in order market our diagnostic products or collection kits for the purpose of detecting COVID-19, we would be required to obtain the necessary regulatory clearances or approvals and be subject to the full and usual regulatory obligations for device manufacturers, including the QSR under 21 CFR Part 820. It is possible that we may not be able to obtain those clearances or approvals in a timely manner, or at all, and that one or more of our competitors may obtain the necessary clearances or approvals for their products before we do.</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Acceptance and Adoption of Oral Fluid Testing and Collection Products Does Not Continue, Our Future Results May Suffer.</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made significant progress in gaining acceptance of oral fluid testing products, particularly for (i) HIV testing in the public health, hospital, insurance and other markets, and (ii) drugs-of-abuse testing in the workplace and criminal justice markets. Our subsidiary, DNAG, has also made significant progress in gaining acceptance of oral fluid collection products that are used with molecular testing applications including testing for SARS-CoV-2. However, the degree of acceptance for these products is uncertain, and one or more markets may resist the adoption of oral fluid products as a replacement for other testing or collection methods in use today. As a result, there can be no assurance that we will be able to expand the use of our oral fluid testing products in these or other markets.</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However, clinical reference laboratories and hospital-based laboratories currently provide the majority of diagnostic tests used by physicians and other healthcare providers in the U.S. In certain international markets such as Europe, diagnostic testing is performed primarily by centralized laboratories. Our future sales will depend, in part, on our ability to expand market acceptance of rapid point-of-care testing by physicians, other healthcare providers and consumers and successfully compete against laboratory testing methods and products. Even if we can demonstrate that our products are more cost effective, save time, or have better performance or other benefits, physicians, other healthcare providers and consumers may resist changing to rapid point-of-care tests and instead may choose to obtain diagnostic results through laboratory tests. In addition, demand for our new rapid tests for SARS-CoV-2 or PrEP adherence may not develop consistent with our expectations. Our failure to achieve and expand market acceptance of our rapid point-of-care diagnostic tests with customers would have a negative effect on our future sales growth.</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Expect to Face Increasing Competition From Other Providers of Diagnostic Tests, Sample Collection Products and Molecular Laboratory Services.</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 xml:space="preserve">Our rapid point-of-care tests compete with other point-of-care products made by our competitors. This competition is particularly evident with respect to our OraQuick </w:t>
      </w:r>
      <w:r>
        <w:rPr>
          <w:rFonts w:ascii="Arial" w:cs="Arial" w:eastAsia="Arial" w:hAnsi="Arial"/>
          <w:sz w:val="16"/>
          <w:szCs w:val="16"/>
          <w:i w:val="1"/>
          <w:iCs w:val="1"/>
          <w:color w:val="auto"/>
        </w:rPr>
        <w:t>ADVANCE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HIV-1/2 test and our HIV Self-Test outside of the US. The Oragene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product line sold by our subsidiary, DNAG, competes against other molecular collection products, such as blood collection kits and buccal swabs and will likely face additional competition from collection devices similar in design and operation to our Oragene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and ORAcollect</w:t>
      </w:r>
      <w:r>
        <w:rPr>
          <w:rFonts w:ascii="Arial" w:cs="Arial" w:eastAsia="Arial" w:hAnsi="Arial"/>
          <w:sz w:val="21"/>
          <w:szCs w:val="21"/>
          <w:color w:val="auto"/>
          <w:vertAlign w:val="superscript"/>
        </w:rPr>
        <w:t>®</w:t>
      </w:r>
      <w:r>
        <w:rPr>
          <w:rFonts w:ascii="Arial" w:cs="Arial" w:eastAsia="Arial" w:hAnsi="Arial"/>
          <w:sz w:val="16"/>
          <w:szCs w:val="16"/>
          <w:color w:val="auto"/>
        </w:rPr>
        <w:t xml:space="preserve"> products. There are a number of products currently in or expected to enter the market for the detection of antigen to SARS-CoV-2 that currently or will compete with our InteliSwab</w:t>
      </w:r>
      <w:r>
        <w:rPr>
          <w:rFonts w:ascii="Arial" w:cs="Arial" w:eastAsia="Arial" w:hAnsi="Arial"/>
          <w:sz w:val="21"/>
          <w:szCs w:val="21"/>
          <w:color w:val="auto"/>
          <w:vertAlign w:val="superscript"/>
        </w:rPr>
        <w:t>®</w:t>
      </w:r>
      <w:r>
        <w:rPr>
          <w:rFonts w:ascii="Arial" w:cs="Arial" w:eastAsia="Arial" w:hAnsi="Arial"/>
          <w:sz w:val="16"/>
          <w:szCs w:val="16"/>
          <w:color w:val="auto"/>
        </w:rPr>
        <w:t xml:space="preserve"> COVID -19 diagnostic test.</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genetic and microbiome laboratory services business is expected to face increasing competition, primarily from large commercial reference laboratories, hospital-based laboratories and specialty laboratories. We believe there is significant opportunity in the markets for these services, particularly the microbiome market which is still in the early stages. As these markets evolve and expand, we expect competition for genomic and microbiome laboratory services to intensify.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28" w:name="page29"/>
    <w:bookmarkEnd w:id="28"/>
    <w:p>
      <w:pPr>
        <w:jc w:val="both"/>
        <w:spacing w:after="0" w:line="259" w:lineRule="auto"/>
        <w:rPr>
          <w:sz w:val="20"/>
          <w:szCs w:val="20"/>
          <w:color w:val="auto"/>
        </w:rPr>
      </w:pPr>
      <w:r>
        <w:rPr>
          <w:rFonts w:ascii="Arial" w:cs="Arial" w:eastAsia="Arial" w:hAnsi="Arial"/>
          <w:sz w:val="18"/>
          <w:szCs w:val="18"/>
          <w:color w:val="auto"/>
        </w:rPr>
        <w:t>There is significant competition, including from other companies and governmental organizations, who make and distribute rapid tests for COVID-19. Many of these entities have substantially greater resources (including capital and personnel) than we do. Even if we are successful in marketing our InteliSwab® tests, there is no guarantee that competitors will not take market share from our offerings through more effective marketing or competitive pricing, higher quality or technological superiority.</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 number of our competitors are making investments in competing technologies, products and services, and several may have a competitive advantage because of their greater financial, technical, research and other resources. Some competitors offer broader product lines and service offerings, aggressively discount prices for their products and services and may have greater name recognition than we have. We also face competition from certain of our distributors or former customers that have created, or may decide to create, their own products to compete with ours. If our competitors take market share from our offerings through more effective marketing or competitive pricing, higher quality or technological superiority, our revenues, margins and operating results could be adversely affected. In addition, our revenues and operating results could be negatively impacted if some of our customers use internally developed or acquired sample collection devices or services in order to reduce costs.</w:t>
      </w:r>
    </w:p>
    <w:p>
      <w:pPr>
        <w:spacing w:after="0" w:line="17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Product Sales Cycles Can be Lengthy, and May Depend on Public Funding, Which Can Cause Variability and Unpredictability in Our Operating Results.</w:t>
      </w:r>
    </w:p>
    <w:p>
      <w:pPr>
        <w:spacing w:after="0" w:line="166"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 xml:space="preserve">The sales cycles for certain of our products can be lengthy and unpredictable, which makes it more difficult to accurately forecast revenues in a given period and may cause revenues and operating results to vary from period to period. Sales of our products often involve purchasing decisions by large public and private institutions, may require many levels of approval and may be dependent on economic or political conditions and the availability of grants or funding from governmental or public health agencies which can vary from period to period in both amount and timing. For example, in past years our OraQuick </w:t>
      </w:r>
      <w:r>
        <w:rPr>
          <w:rFonts w:ascii="Arial" w:cs="Arial" w:eastAsia="Arial" w:hAnsi="Arial"/>
          <w:sz w:val="17"/>
          <w:szCs w:val="17"/>
          <w:i w:val="1"/>
          <w:iCs w:val="1"/>
          <w:color w:val="auto"/>
        </w:rPr>
        <w:t>ADVANCE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HIV-1/2 test has been purchased through bulk procurement or other funding provided by governmental agencies. Our OraQuick</w:t>
      </w:r>
      <w:r>
        <w:rPr>
          <w:rFonts w:ascii="Arial" w:cs="Arial" w:eastAsia="Arial" w:hAnsi="Arial"/>
          <w:sz w:val="23"/>
          <w:szCs w:val="23"/>
          <w:color w:val="auto"/>
          <w:vertAlign w:val="superscript"/>
        </w:rPr>
        <w:t>®</w:t>
      </w:r>
      <w:r>
        <w:rPr>
          <w:rFonts w:ascii="Arial" w:cs="Arial" w:eastAsia="Arial" w:hAnsi="Arial"/>
          <w:sz w:val="17"/>
          <w:szCs w:val="17"/>
          <w:color w:val="auto"/>
        </w:rPr>
        <w:t xml:space="preserve"> HCV test has been purchased by customers who receive government funding, and we believe increased funding from the CDC and other agencies will be required to substantially increase the volume of HCV testing, especially in the public health market. There can be no assurance that purchases or funding from these agencies will occur or continue. As a result, we may expend considerable resources on unsuccessful sales efforts or we may not be able to complete transactions at all or on a schedule and in an amount consistent with our objectives.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Inability To Expand International Sales Could Adversely Affect Our Business and Results of Operations.</w:t>
      </w:r>
    </w:p>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One of our strategic priorities is to substantially expand our product sales internationally. An opportunity to accomplish this objective is with the sale of our OraQuick</w:t>
      </w:r>
      <w:r>
        <w:rPr>
          <w:rFonts w:ascii="Arial" w:cs="Arial" w:eastAsia="Arial" w:hAnsi="Arial"/>
          <w:sz w:val="23"/>
          <w:szCs w:val="23"/>
          <w:color w:val="auto"/>
          <w:vertAlign w:val="superscript"/>
        </w:rPr>
        <w:t>®</w:t>
      </w:r>
      <w:r>
        <w:rPr>
          <w:rFonts w:ascii="Arial" w:cs="Arial" w:eastAsia="Arial" w:hAnsi="Arial"/>
          <w:sz w:val="17"/>
          <w:szCs w:val="17"/>
          <w:color w:val="auto"/>
        </w:rPr>
        <w:t xml:space="preserve"> HIV Self-Test in support of large self-testing programs in certain African countries and elsewhere. Our OraQuick</w:t>
      </w:r>
      <w:r>
        <w:rPr>
          <w:rFonts w:ascii="Arial" w:cs="Arial" w:eastAsia="Arial" w:hAnsi="Arial"/>
          <w:sz w:val="23"/>
          <w:szCs w:val="23"/>
          <w:color w:val="auto"/>
          <w:vertAlign w:val="superscript"/>
        </w:rPr>
        <w:t>®</w:t>
      </w:r>
      <w:r>
        <w:rPr>
          <w:rFonts w:ascii="Arial" w:cs="Arial" w:eastAsia="Arial" w:hAnsi="Arial"/>
          <w:sz w:val="17"/>
          <w:szCs w:val="17"/>
          <w:color w:val="auto"/>
        </w:rPr>
        <w:t xml:space="preserve"> HIV Self-Test is also currently available in six European countries: United Kingdom, Germany, France, Italy, Spain and Portugal. We are also working to expand international sales of our professional HIV and HCV products and our molecular collection kits. We also believe there is a significant opportunity for international sales of our InteliSwab</w:t>
      </w:r>
      <w:r>
        <w:rPr>
          <w:rFonts w:ascii="Arial" w:cs="Arial" w:eastAsia="Arial" w:hAnsi="Arial"/>
          <w:sz w:val="23"/>
          <w:szCs w:val="23"/>
          <w:color w:val="auto"/>
          <w:vertAlign w:val="superscript"/>
        </w:rPr>
        <w:t>®</w:t>
      </w:r>
      <w:r>
        <w:rPr>
          <w:rFonts w:ascii="Arial" w:cs="Arial" w:eastAsia="Arial" w:hAnsi="Arial"/>
          <w:sz w:val="17"/>
          <w:szCs w:val="17"/>
          <w:color w:val="auto"/>
        </w:rPr>
        <w:t xml:space="preserve"> COVID-19 Rapid Test once the necessary studies and registrations are complete.</w:t>
      </w:r>
    </w:p>
    <w:p>
      <w:pPr>
        <w:spacing w:after="0" w:line="11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While we believe international sales of these and other products represent attractive long-term opportunities with significant growth potential, there is no guarantee that these opportunities will materialize, continue or increase. Among other factors, competition from competitive lower priced products and the uncertainties of available funding could negatively impact the success of these opportunities. If international sales of these products do not occur or increase or if we are otherwise unable to expand international sales of our products, our revenues and results of operations could be negatively impacted.</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market conditions in many countries often require that we sell our products at a price below our typical U.S. or European pricing in order to participate in these markets. As a result, sales in certain countries may contribute lower profit margins to our business. To the extent these international sales comprise a large or increasing part of our business, our gross margins will be negatively affected. In addition, we may have difficulty selling our products at a sufficiently low price to maintain or increase this business over the long term without funding support from public health entities, government agencies or other sources. If we are unable to obtain or continue this funding support at sufficient levels, or at all, our revenues and results of operations could be negatively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International Presence May Increase Our Risks and Expose Our Business to Regulatory, Cultural or Other Restraints.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seek to increase revenue derived from international sales of our products. Our international sales accounted for $37.3 million, or 10% of consolidated net revenues in 2022, $45.3 million, or 24%, of consolidated net revenues in 2021, and $40.9 million, or 24%, of consolidated net revenues in 2020. In addition, our subsidiary DNAG, which accounted for $75.0 million or 19% of consolidated net revenues in 2022, is operated in Canada. We have previously acquired foreign companies and we may acquire other foreign companies as part of our business development efforts.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9" w:name="page30"/>
    <w:bookmarkEnd w:id="29"/>
    <w:p>
      <w:pPr>
        <w:ind w:right="20"/>
        <w:spacing w:after="0" w:line="277" w:lineRule="auto"/>
        <w:rPr>
          <w:sz w:val="20"/>
          <w:szCs w:val="20"/>
          <w:color w:val="auto"/>
        </w:rPr>
      </w:pPr>
      <w:r>
        <w:rPr>
          <w:rFonts w:ascii="Arial" w:cs="Arial" w:eastAsia="Arial" w:hAnsi="Arial"/>
          <w:sz w:val="18"/>
          <w:szCs w:val="18"/>
          <w:color w:val="auto"/>
        </w:rPr>
        <w:t>A number of factors could adversely affect the performance of our business and/or cause us to incur substantially increased costs because of our international presence and sales, including, but not limited to those set forth below:</w:t>
      </w:r>
    </w:p>
    <w:p>
      <w:pPr>
        <w:spacing w:after="0" w:line="62" w:lineRule="exact"/>
        <w:rPr>
          <w:sz w:val="20"/>
          <w:szCs w:val="20"/>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Uncertainty in the application of foreign laws and the interpretation of contracts with foreign parties;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potential for inconsistent imposition of legal and regulatory requirements;</w:t>
      </w:r>
    </w:p>
    <w:p>
      <w:pPr>
        <w:spacing w:after="0" w:line="117"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Cultural and political differences that favor local competitors or make it difficult to effectively market, sell and gain acceptance of our products;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Cultural and language differences that make international operations and business management more difficult;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Inexperience in international markets and territories and difficulties in staffing and managing foreign operations;</w:t>
      </w:r>
    </w:p>
    <w:p>
      <w:pPr>
        <w:spacing w:after="0" w:line="117"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Exchange rates, currency fluctuations, tariffs and other barriers, extended payment terms and dependence on international distributors or representatives;</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requirements, including compliance with applicable customs regulations and the need to obtain or maintain regulatory approvals, registrations or reimbursement approvals for our products;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Trade protection measures, additional trade sanctions and import/export licensing requirements;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inability to obtain or maintain ISO certification for our or our suppliers’ manufacturing facilities;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identify international distributors and negotiate acceptable terms for distribution agreements;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Diversion to the U.S. of our products that are sold at lower prices into international markets;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loss of one or more distributors and difficulties or delays in obtaining new or transferred product registrations or approvals for use by a replacement distributor;</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Differing tax laws across jurisdictions, as well as changes in those laws;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increase of withholding and other taxes on remittances and other payments by a foreign subsidiary;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creditworthiness of foreign distributors and customers and difficulty in collecting foreign accounts receivable;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Difficulty of enforcing contractual obligations or recovering damages under foreign legal systems;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Difficulty collecting amounts owed by foreign governments or other customers;</w:t>
      </w:r>
    </w:p>
    <w:p>
      <w:pPr>
        <w:spacing w:after="0" w:line="117"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Economic conditions, inflation, political instability, the absence of available funding sources, terrorism, civil unrest, war and natural disasters in foreign countries;</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Exposure to infectious disease and epidemics, including the effects of the COVID-19 outbreak on our business operations in geographic locations impacted by the outbreak and on the business operations of our customers and suppliers;</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Long sales cycles in international markets, especially for sales to foreign governments, quasi-governmental agencies and international public health agencies;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sale of competing products by foreign competitors at prices at or below the prices we offer for our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Restrictions on our ability to repatriate investments and earnings from foreign operations;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shipping costs;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unavailability of licenses to certain patents in force in a foreign country which cover our products;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Reduced protection for, or enforcement of, our patents and other intellectual property rights in foreign countries.</w:t>
      </w:r>
    </w:p>
    <w:p>
      <w:pPr>
        <w:spacing w:after="0" w:line="230"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In addition, we have contracted with a third party in Thailand for the manufacture of a portion of our OraQuick</w:t>
      </w:r>
      <w:r>
        <w:rPr>
          <w:rFonts w:ascii="Arial" w:cs="Arial" w:eastAsia="Arial" w:hAnsi="Arial"/>
          <w:sz w:val="21"/>
          <w:szCs w:val="21"/>
          <w:color w:val="auto"/>
          <w:vertAlign w:val="superscript"/>
        </w:rPr>
        <w:t>®</w:t>
      </w:r>
      <w:r>
        <w:rPr>
          <w:rFonts w:ascii="Arial" w:cs="Arial" w:eastAsia="Arial" w:hAnsi="Arial"/>
          <w:sz w:val="16"/>
          <w:szCs w:val="16"/>
          <w:color w:val="auto"/>
        </w:rPr>
        <w:t xml:space="preserve"> HIV tests and a portion of the assembly of our InteliSwab</w:t>
      </w:r>
      <w:r>
        <w:rPr>
          <w:rFonts w:ascii="Arial" w:cs="Arial" w:eastAsia="Arial" w:hAnsi="Arial"/>
          <w:sz w:val="21"/>
          <w:szCs w:val="21"/>
          <w:color w:val="auto"/>
          <w:vertAlign w:val="superscript"/>
        </w:rPr>
        <w:t>®</w:t>
      </w:r>
      <w:r>
        <w:rPr>
          <w:rFonts w:ascii="Arial" w:cs="Arial" w:eastAsia="Arial" w:hAnsi="Arial"/>
          <w:sz w:val="16"/>
          <w:szCs w:val="16"/>
          <w:color w:val="auto"/>
        </w:rPr>
        <w:t xml:space="preserve"> COVID-19 Rapid Tests, and all of DNAG’s products are produced in Canada. We may enter into agreements to manufacture these or other products in additional foreign countries as well. However, economic, cultural and political conditions and foreign regulatory requirements may slow or prevent the manufacture of our products in countries other than the United States. Interruption of the supply of our products could reduce revenues or cause us to incur significant additional expenses in finding an alternative source of supply. Foreign currency fluctuations and economic conditions in foreign countries could also increase the costs of manufacturing our products in foreign countries. In addition, the ongoing COVID-19 pandemic has resulted in increased government-imposed travel restrictions and extended shutdowns of certain businesses in the affected locations as well as logistics delays due to the global logistical crisis from the pandemic. These or any further political or governmental responses to pandemic diseases could result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0" w:name="page31"/>
    <w:bookmarkEnd w:id="30"/>
    <w:p>
      <w:pPr>
        <w:jc w:val="both"/>
        <w:spacing w:after="0" w:line="277" w:lineRule="auto"/>
        <w:rPr>
          <w:sz w:val="20"/>
          <w:szCs w:val="20"/>
          <w:color w:val="auto"/>
        </w:rPr>
      </w:pPr>
      <w:r>
        <w:rPr>
          <w:rFonts w:ascii="Arial" w:cs="Arial" w:eastAsia="Arial" w:hAnsi="Arial"/>
          <w:sz w:val="18"/>
          <w:szCs w:val="18"/>
          <w:color w:val="auto"/>
        </w:rPr>
        <w:t>in social, economic and labor instability of foreign countries, which could have a material adverse effect on our business, results of operations and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U.S. Government Contracts Require Compliance With Numerous Laws and Increases Our Risk and Liability.</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From time to time, we receive funding from the U.S. government and we sell some of our products to the federal government. Historically, we have sold a number of our products to the government under contracts with the General Services Administration and the Veterans Administration.</w:t>
      </w:r>
    </w:p>
    <w:p>
      <w:pPr>
        <w:spacing w:after="0" w:line="151"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In September 2022 we entered into an $8.6 million contract with BARDA to develop a second generation Ebola test on the OraQuick</w:t>
      </w:r>
      <w:r>
        <w:rPr>
          <w:rFonts w:ascii="Arial" w:cs="Arial" w:eastAsia="Arial" w:hAnsi="Arial"/>
          <w:sz w:val="23"/>
          <w:szCs w:val="23"/>
          <w:color w:val="auto"/>
          <w:vertAlign w:val="superscript"/>
        </w:rPr>
        <w:t>®</w:t>
      </w:r>
      <w:r>
        <w:rPr>
          <w:rFonts w:ascii="Arial" w:cs="Arial" w:eastAsia="Arial" w:hAnsi="Arial"/>
          <w:sz w:val="17"/>
          <w:szCs w:val="17"/>
          <w:color w:val="auto"/>
        </w:rPr>
        <w:t xml:space="preserve"> testing platform and we were selected to provide our OraQuick</w:t>
      </w:r>
      <w:r>
        <w:rPr>
          <w:rFonts w:ascii="Arial" w:cs="Arial" w:eastAsia="Arial" w:hAnsi="Arial"/>
          <w:sz w:val="23"/>
          <w:szCs w:val="23"/>
          <w:color w:val="auto"/>
          <w:vertAlign w:val="superscript"/>
        </w:rPr>
        <w:t>®</w:t>
      </w:r>
      <w:r>
        <w:rPr>
          <w:rFonts w:ascii="Arial" w:cs="Arial" w:eastAsia="Arial" w:hAnsi="Arial"/>
          <w:sz w:val="17"/>
          <w:szCs w:val="17"/>
          <w:color w:val="auto"/>
        </w:rPr>
        <w:t xml:space="preserve"> In-Home HIV tests in support of the CDC "Together Take me Home," HIV self-test program. Under the program, the CDC is expected to provide $41.5 million over a five-year period to support community testing. During the third quarter of 2022, we entered into a contract with the DLA for the second procurement of our InteliSwab</w:t>
      </w:r>
      <w:r>
        <w:rPr>
          <w:rFonts w:ascii="Arial" w:cs="Arial" w:eastAsia="Arial" w:hAnsi="Arial"/>
          <w:sz w:val="23"/>
          <w:szCs w:val="23"/>
          <w:color w:val="auto"/>
          <w:vertAlign w:val="superscript"/>
        </w:rPr>
        <w:t>®</w:t>
      </w:r>
      <w:r>
        <w:rPr>
          <w:rFonts w:ascii="Arial" w:cs="Arial" w:eastAsia="Arial" w:hAnsi="Arial"/>
          <w:sz w:val="17"/>
          <w:szCs w:val="17"/>
          <w:color w:val="auto"/>
        </w:rPr>
        <w:t xml:space="preserve"> COVID-19 Rapid Test for OTC use. During the same quarter, we entered into a contract with the BARDA to provide us with up to $13.6 million in funding to obtain FDA 510(k) clearance and CLIA waiver for our InteliSwab® test. In September 2021, we entered into a contract with the U.S. Department of Defense, in coordination with the HHS for $109 million in funding to build additional manufacturing capacity in the United States for our InteliSwab</w:t>
      </w:r>
      <w:r>
        <w:rPr>
          <w:rFonts w:ascii="Arial" w:cs="Arial" w:eastAsia="Arial" w:hAnsi="Arial"/>
          <w:sz w:val="23"/>
          <w:szCs w:val="23"/>
          <w:color w:val="auto"/>
          <w:vertAlign w:val="superscript"/>
        </w:rPr>
        <w:t>®</w:t>
      </w:r>
      <w:r>
        <w:rPr>
          <w:rFonts w:ascii="Arial" w:cs="Arial" w:eastAsia="Arial" w:hAnsi="Arial"/>
          <w:sz w:val="17"/>
          <w:szCs w:val="17"/>
          <w:color w:val="auto"/>
        </w:rPr>
        <w:t xml:space="preserve"> test.</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of our U.S. government funding and product sales to the U.S. government, we must comply with laws and regulations relating to the award, administration and performance of U.S. government contracts. U.S. government contracts typically contain a number of extraordinary provisions that would not typically be found in commercial contracts and which may create a disadvantage and additional risks to us as compared to competitors that do not rely on government contracts. For example, the government has the right to terminate one or more of these contracts at its convenience even if we have not defaulted in any of our obligations.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U.S. government contractor, we are subject to increased risks of investigation, criminal prosecution and other legal actions and liabilities to which purely private sector companies are not. The results of any such actions could adversely impact our business and have an adverse effect on our consolidated financial performance.</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 violation of specific laws and regulations could result in the imposition of fines and penalties or the termination of our contracts, as well as suspension or debarment. The suspension or debarment in any particular case may be limited to the facility, contract or subsidiary involved in the violation or could be applied to our entire enterprise in certain severe circumstances. Even a narrow scope suspension or debarment could result in negative publicity that could adversely affect our ability to renew contracts and to secure new contracts, both with the U.S. government and private customers, which could materially and adversely affect our business and results of operations. Fines and penalties could be imposed for failing to follow procurement integrity and bidding rules, employing improper billing practices or otherwise failing to follow rules relating to billing on cost-plus contracts, receiving or paying kickbacks, or filing false claims, among other potential violations. In addition, we could suffer serious reputational harm and the value of our common stock could be negatively affected if allegations of impropriety related to such contracts are made against us.</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Inability to Manufacture Products in Accordance with Applicable Specifications, Performance Standards or Quality Requirements Could Adversely Affect Our Business.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materials and processes used to manufacture our products must meet detailed specifications, performance standards and quality requirements to ensure our products will perform in accordance with their label claims, our customers’ expectations and applicable regulatory requirements. As a result, our products and the materials used in their manufacture or assembly undergo regular inspections and quality testing. Factors such as defective materials or processes, mechanical failures, human errors, environmental conditions, changes in materials or production methods, and other events or conditions could cause our products or the materials used to produce or assemble our products to fail inspections and quality testing or otherwise not perform in accordance with our label claims or the expectations of our customers.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failure or delay in our ability to meet the applicable specifications, performance standards, quality requirements or customer expectations could adversely affect our ability to manufacture and sell our products or comply with regulatory requirements. These events could, in turn, adversely affect our revenues and results of operations.</w:t>
      </w:r>
    </w:p>
    <w:p>
      <w:pPr>
        <w:spacing w:after="0" w:line="180"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b w:val="1"/>
          <w:bCs w:val="1"/>
          <w:color w:val="auto"/>
        </w:rPr>
        <w:t>Our Business Will Suffer if We Do Not Effectively Manage Challenges to Our Manufacturing Processes and We May be Unable to Successfully Scale-Up Manufacturing of Our Products in Sufficient Quality and Quantity to Meet Demand, Which Would Negatively Impact Revenue Expectations.</w:t>
      </w:r>
    </w:p>
    <w:p>
      <w:pPr>
        <w:spacing w:after="0" w:line="185"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Challenges in the manufacture of our products in the face of significant demand for our InteliSwab</w:t>
      </w:r>
      <w:r>
        <w:rPr>
          <w:rFonts w:ascii="Arial" w:cs="Arial" w:eastAsia="Arial" w:hAnsi="Arial"/>
          <w:sz w:val="24"/>
          <w:szCs w:val="24"/>
          <w:color w:val="auto"/>
          <w:vertAlign w:val="superscript"/>
        </w:rPr>
        <w:t>®</w:t>
      </w:r>
      <w:r>
        <w:rPr>
          <w:rFonts w:ascii="Arial" w:cs="Arial" w:eastAsia="Arial" w:hAnsi="Arial"/>
          <w:sz w:val="18"/>
          <w:szCs w:val="18"/>
          <w:color w:val="auto"/>
        </w:rPr>
        <w:t xml:space="preserve"> COVID-19 Rapid Tests have adversely affected, and could in the future adversely affect, our operating efficiency and results of operations. We have contracted with</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1" w:name="page32"/>
    <w:bookmarkEnd w:id="31"/>
    <w:p>
      <w:pPr>
        <w:jc w:val="both"/>
        <w:spacing w:after="0" w:line="258" w:lineRule="auto"/>
        <w:rPr>
          <w:sz w:val="20"/>
          <w:szCs w:val="20"/>
          <w:color w:val="auto"/>
        </w:rPr>
      </w:pPr>
      <w:r>
        <w:rPr>
          <w:rFonts w:ascii="Arial" w:cs="Arial" w:eastAsia="Arial" w:hAnsi="Arial"/>
          <w:sz w:val="17"/>
          <w:szCs w:val="17"/>
          <w:color w:val="auto"/>
        </w:rPr>
        <w:t>the U.S. Department of Defense to add additional manufacturing capacity of our InteliSwab</w:t>
      </w:r>
      <w:r>
        <w:rPr>
          <w:rFonts w:ascii="Arial" w:cs="Arial" w:eastAsia="Arial" w:hAnsi="Arial"/>
          <w:sz w:val="23"/>
          <w:szCs w:val="23"/>
          <w:color w:val="auto"/>
          <w:vertAlign w:val="superscript"/>
        </w:rPr>
        <w:t>®</w:t>
      </w:r>
      <w:r>
        <w:rPr>
          <w:rFonts w:ascii="Arial" w:cs="Arial" w:eastAsia="Arial" w:hAnsi="Arial"/>
          <w:sz w:val="17"/>
          <w:szCs w:val="17"/>
          <w:color w:val="auto"/>
        </w:rPr>
        <w:t xml:space="preserve"> COVID-19 Rapid Tests. However, we face risks, including with respect to expanding our overall production capacity, that could increase costs, divert management attention and reduce our operating results, with no guarantee of success. The expansion of our manufacturing and scale-up of additional commercial production and capacity involves significant risks and challenges, including, but not limited to, design and construction delays, implementation of new systems and expertise and cost overruns. There can be no assurance that our scale-up and manufacturing expansion will be operational, on time, or contribute the production capacity that we anticipate, and we cannot guarantee that any such scale-up will operate at costs acceptable to us or that demand for our products will remain at levels high enough to meet the return on investment necessary to justify our investment in these projects.</w:t>
      </w:r>
    </w:p>
    <w:p>
      <w:pPr>
        <w:spacing w:after="0" w:line="19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we increase our manufacturing capacity to meet market demand or begin to manufacture new products at scale, we may face unanticipated manufacturing challenges as production volumes increase, new processes are implemented and new supplies of raw materials used in these products are secured. In addition, we could experience delays in production as we increase our manufacturing capacity or begin to manufacture new products that may result in our inability to meet product demand as the products ordered by our customers being on back-order as initial production issues are addressed. If we experience production delays or inefficiencies, a deterioration in the quality of our products or other complications in managing changes to our manufacturing processes, including those that are designed to increase capacity, enhance efficiencies and reduce costs or that relate to new products or technologies, we may not achieve the benefits that we anticipate from these actions when expected, or at all, and our operations could experience disruptions, our manufacturing efficiency could suffer and our business, financial condition and results of operations could be materially and adversely affected. Any such delays could allow our competitors to seize market advantage. In addition, global supply chain and workforce challenges related to the COVID-19 pandemic increase the risks in scaling-up manufacturing as global supply challenges may increase the difficulty in obtaining necessary materials and a dynamic and unpredictable labor market may make the necessary labor and staffing challenges more difficult. If we are unable to successfully meet our manufacturing challenges, we may be unable to meet the demand for our InteliSwab® COVID-19 Rapid Tests, which could have a material, adverse effect on our reputation, revenues, results of operations, cash flow and financial position.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Business Results Depend on our Ability to Manage Disruptions in our Domestic and Global Supply Chains and Distribution Channels.</w:t>
      </w:r>
    </w:p>
    <w:p>
      <w:pPr>
        <w:spacing w:after="0" w:line="24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ability to meet our customers needs and achieve our financial objectives depends on our ability to maintain key manufacturing, supply and distribution arrangements. The loss or disruption of such manufacturing and supply arrangements could, in the future, interrupt our ability to obtain necessary raw materials and manufacture our products. Such disruptions could result from labor disputes, financial liquidity, natural disasters, extreme weather conditions, public health emergencies and pandemics, supply constraints and general economic and political conditions that could limit the ability of our suppliers to timely provide us with raw materials and components and distribute our products in a timely manner in accordance with applicable quality requirements. Disruptions in the global supply chain could also delay or preclude the ability of our distributors to sell and deliver our products to customers.</w:t>
      </w:r>
    </w:p>
    <w:p>
      <w:pPr>
        <w:spacing w:after="0" w:line="16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availability and price of these materials, parts, products and services are affected by a variety of factors beyond our control, including the willingness of suppliers to sell into the medical device industry, changes in supply and demand, general economic conditions, labor costs, fuel-related transportation costs, liability concerns, climate change (including new and existing laws and regulations to address climate change), competition, import duties, tariffs, currency exchange rates, inflationary pressures and political uncertainty around the world. Our suppliers often pass some of their cost increases on to us, and if such increased costs are sustained or increase further, our suppliers may pass further cost increases on to us. In addition, transportation costs have generally increased and may further increase if crude oil prices increase. Our transportation and service providers are typically able to pass any significant increases in oil prices on to us. Our costs may also be impacted by laws to increase minimum wages, including the potential increase to the federal minimum wage in the United States that has been recently proposed by the current administration.</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ability to recover such increased costs may depend upon our ability to raise prices on our products. Due to the highly competitive nature of the healthcare industry and the cost-containment efforts of our customers and third-party payers, we may be unable to pass along cost increases through higher prices. If we are unable to fully recover these costs through price increases or offset these increases through cost reductions, or we experience terminations or interruption of our relationships with our suppliers, we could experience lower margins and profitability, and our results of operations, financial condition and cash flows could be materially harmed.</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Recently, the global supply chain has experienced significant disruptions caused by the COVID-19 pandemic, resulting in shortages of labor and equipment. These conditions, if not mitigated or remedied in a timely manner, could delay or preclude delivery of raw materials needed to manufacture our products or delivery of our products to customers, particularly in international markets. This in turn could have an adverse impact on our business, financial condition, results of operations or cash flows.</w:t>
      </w:r>
    </w:p>
    <w:p>
      <w:pPr>
        <w:spacing w:after="0" w:line="183"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Certain of Our Products Depend on Components From a Sole-Source Supplier, the Loss of Which Would Cause Us to be Unable to Deliver Such Products.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32" w:name="page33"/>
    <w:bookmarkEnd w:id="32"/>
    <w:p>
      <w:pPr>
        <w:jc w:val="both"/>
        <w:spacing w:after="0" w:line="245" w:lineRule="auto"/>
        <w:rPr>
          <w:sz w:val="20"/>
          <w:szCs w:val="20"/>
          <w:color w:val="auto"/>
        </w:rPr>
      </w:pPr>
      <w:r>
        <w:rPr>
          <w:rFonts w:ascii="Arial" w:cs="Arial" w:eastAsia="Arial" w:hAnsi="Arial"/>
          <w:sz w:val="17"/>
          <w:szCs w:val="17"/>
          <w:color w:val="auto"/>
        </w:rPr>
        <w:t>Our Intercept i2</w:t>
      </w:r>
      <w:r>
        <w:rPr>
          <w:rFonts w:ascii="Arial" w:cs="Arial" w:eastAsia="Arial" w:hAnsi="Arial"/>
          <w:sz w:val="23"/>
          <w:szCs w:val="23"/>
          <w:color w:val="auto"/>
          <w:vertAlign w:val="superscript"/>
        </w:rPr>
        <w:t>®</w:t>
      </w:r>
      <w:r>
        <w:rPr>
          <w:rFonts w:ascii="Arial" w:cs="Arial" w:eastAsia="Arial" w:hAnsi="Arial"/>
          <w:sz w:val="17"/>
          <w:szCs w:val="17"/>
          <w:i w:val="1"/>
          <w:iCs w:val="1"/>
          <w:color w:val="auto"/>
        </w:rPr>
        <w:t>he</w:t>
      </w:r>
      <w:r>
        <w:rPr>
          <w:rFonts w:ascii="Arial" w:cs="Arial" w:eastAsia="Arial" w:hAnsi="Arial"/>
          <w:sz w:val="17"/>
          <w:szCs w:val="17"/>
          <w:color w:val="auto"/>
        </w:rPr>
        <w:t xml:space="preserve"> collection device is manufactured and supplied under a long-term agreement with Thermo Fisher, the sole-source supplier for these products. If Thermo Fisher were unable or unwilling to supply the necessary components for the manufacture of the Intercept i2</w:t>
      </w:r>
      <w:r>
        <w:rPr>
          <w:rFonts w:ascii="Arial" w:cs="Arial" w:eastAsia="Arial" w:hAnsi="Arial"/>
          <w:sz w:val="23"/>
          <w:szCs w:val="23"/>
          <w:color w:val="auto"/>
          <w:vertAlign w:val="superscript"/>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he</w:t>
      </w:r>
      <w:r>
        <w:rPr>
          <w:rFonts w:ascii="Arial" w:cs="Arial" w:eastAsia="Arial" w:hAnsi="Arial"/>
          <w:sz w:val="17"/>
          <w:szCs w:val="17"/>
          <w:color w:val="auto"/>
        </w:rPr>
        <w:t xml:space="preserve"> collection devices, we would be unable to produce this product or offer it to our customers. Any interruption in, or change in the cost or quality of, the supply of the necessary raw materials, manufacturing services, product and process development, or other materials necessary to manufacture the product could adversely impact the efficacy of the product and negatively affect our reputation with our customers. In addition, many of the raw materials used in our DNAG products, including our Oragene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product line, and components used in these products are also purchased from third parties, some of which are purchased from a sole source supplier. If our sole source suppliers were to be acquired by a competitor, they may elect not to provide us with the product, raw materials or other components, as applicable. If our sole source suppliers were to otherwise cease supplying us, go out of business, or were unable to meet their obligations in a timely fashion or at an acceptable price, or at all, we may be forced to incur higher costs to obtain the necessary raw materials elsewhere, if we could even source such materials at all.</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U.S. Government Contracts May Affect our Intellectual Property Rights.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Provisions in our U.S. government contracts may affect our intellectual property rights. Certain of our activities have been funded, and may in the future be funded, by the U.S. government, including our contracts with BARDA. When new technologies are developed with U.S. government funding, the government obtains certain rights in any resulting patents, including the right to a nonexclusive license authorizing the government to use the invention. These rights may permit the government to disclose our confidential information to third parties and to exercise “march-in” rights to use and allow third parties to use our patented technology. The government can exercise its march-in rights if it determines that action is necessary because we fail to achieve practical application of the U.S. government-funded technology, because action is necessary to alleviate health or safety needs, to meet requirements of federal regulations, or to give preference to U.S. industry. In addition, government-funded inventions must be reported to the government, government funding must be disclosed in any resulting patent applications, and our rights in such inventions may be subject to certain requirements to manufacture products in the United States.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U.S. Government Contracts and Related Administrative Processes Are Subject to Audits and Cost Adjustments by the Federal Government.</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Federal government agencies can audit and investigate government contracts and the administrative processes and systems of government contractors. These agencies can review our performance on government contracts, pricing practices, cost structure, and compliance with applicable laws, regulations and standards. They can also review our compliance with government regulations and policies and the adequacy of our internal control systems and policies, including our purchasing, accounting, estimating, compensation and management information processes and systems. Any costs found to be improperly allocated to a specific government contract, unallowable or unreasonable will not be reimbursed, and any such costs already reimbursed may be required to be refunded and certain penalties may be imposed. Adjustments arising from government audits and reviews could have a material adverse effect on our business, financial condition, results of operations and prospects.</w:t>
      </w:r>
    </w:p>
    <w:p>
      <w:pPr>
        <w:spacing w:after="0" w:line="17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Moreover, if any administrative process or system related to such contracts is found not to comply with governmental requirements, we may be subjected to government scrutiny that could delay or otherwise adversely affect our ability to compete for or perform government contracts or collect our revenue in a timely manner. An unfavorable outcome of an audit of our government contracts could adversely affect our results of operations.</w:t>
      </w:r>
    </w:p>
    <w:p>
      <w:pPr>
        <w:spacing w:after="0" w:line="161"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We May Not be Able to Fulfill Our Obligations Under Government Contracts, Which Could Result in Reduced Sales and Profits, Contract Penalties or Terminations, and Damages to Customer Relationships.</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If we are unable to successfully scale-up our manufacturing of our InteliSwab</w:t>
      </w:r>
      <w:r>
        <w:rPr>
          <w:rFonts w:ascii="Arial" w:cs="Arial" w:eastAsia="Arial" w:hAnsi="Arial"/>
          <w:sz w:val="24"/>
          <w:szCs w:val="24"/>
          <w:color w:val="auto"/>
          <w:vertAlign w:val="superscript"/>
        </w:rPr>
        <w:t>®</w:t>
      </w:r>
      <w:r>
        <w:rPr>
          <w:rFonts w:ascii="Arial" w:cs="Arial" w:eastAsia="Arial" w:hAnsi="Arial"/>
          <w:sz w:val="18"/>
          <w:szCs w:val="18"/>
          <w:color w:val="auto"/>
        </w:rPr>
        <w:t xml:space="preserve"> COVID-19 Rapid Tests, we may be unable to meet our obligations under our government contracts. In addition, certain of our government contracts require us to meet production and manufacturing milestones. Failure to meet these milestones would result in not receiving payments under the contract. Our inability to fulfill our obligations under government contracts could result in reduced sales and profits, contract penalties or terminations, and damage to customer relationships, leading the government to turn to other companies to fulfill the contract.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Relating to Our Industry, Business and Strategy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in the Healthcare Industry Could Adversely Affect Our Future Revenues and Operating Results.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healthcare industry has experienced a significant amount of consolidation. As a result of this consolidation, competition to provide goods and services to customers has increased. In addition, group purchasing organizations and integrated health delivery networks have served to concentrate purchasing decisions for some customers, which has also placed pricing pressure on medical device suppliers. We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33" w:name="page34"/>
    <w:bookmarkEnd w:id="33"/>
    <w:p>
      <w:pPr>
        <w:jc w:val="both"/>
        <w:spacing w:after="0" w:line="263" w:lineRule="auto"/>
        <w:rPr>
          <w:sz w:val="20"/>
          <w:szCs w:val="20"/>
          <w:color w:val="auto"/>
        </w:rPr>
      </w:pPr>
      <w:r>
        <w:rPr>
          <w:rFonts w:ascii="Arial" w:cs="Arial" w:eastAsia="Arial" w:hAnsi="Arial"/>
          <w:sz w:val="18"/>
          <w:szCs w:val="18"/>
          <w:color w:val="auto"/>
        </w:rPr>
        <w:t>may not be able to compete successfully in such a consolidated industry. We believe industry consolidation may continue as companies attempt to strengthen or hold their market positions and as more companies are acquired or cease operating. Further consolidation in the industry could exert additional pressure on the prices of our products.</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Research, Development and Commercialization Efforts May Not Succeed and Our Competitors May Develop and Commercialize More Effective or Successful Offerings.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order to remain competitive, we must regularly commit substantial resources to research and development and the commercialization of new or enhanced products and services. The research and development process generally takes a significant amount of time from inception to commercial launch. This process is conducted in various stages. During each stage there is a substantial risk that we will not achieve our goals on a timely basis, or at all, and we may have to abandon a new or enhanced product or service in which we have invested substantial time and money.</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Successful products and services can require significant development and investment, including testing to demonstrate their performance capabilities, cost-effectiveness or other benefits prior to commercialization. Regulatory approval or clearance must be obtained before most products may be sold and additional development efforts on these products may be required before any regulatory authority will review them. Similarly, regulatory clearances or registrations, such as a CLIA certification, and compliance with industry guidelines, may be required in order to provide competitive laboratory services. As noted above, regulatory authorities may not issue such approvals, clearances or certifications or may substantially delay or condition such action. Even if a product or service is developed and all applicable regulatory approvals, clearance or certifications are obtained, there may be little or no market for the product or service and entry into or development of new markets for our products and services may require an investment of substantial resources, such as new employees, offices and manufacturing facilities. Moreover, we may spend a significant amount of money on manufacturing facilities, advertising or other activities and fail to develop a market for the product or service. Other factors that could affect the success of our efforts include our ability to manufacture products or provide laboratory services in a cost-effective manner and whether we can obtain necessary intellectual property rights and protection in the markets where the product or service is sold.</w:t>
      </w:r>
    </w:p>
    <w:p>
      <w:pPr>
        <w:spacing w:after="0" w:line="18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If we fail to develop and gain commercial acceptance for our products and services, or if competitors develop more effective products and services or a greater number of successful new products and services, customers may decide not to purchase our products and services or may purchase and use products and services developed by our competitors. This would result in a loss of revenues and adversely affect our results of operations, cash flow and business.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Concentration Creates Risk for Our Business.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One of our customers accounted for approximately 58% of our net consolidated revenues for the year ended December 31, 2022. We expect that sales to the large non-commercial customer will continue to be a significant contributor to our net consolidated revenue. Certain parts of our business may continue to have a high customer concentration and depend disproportionately on a few large customers. To the extent that such a large customers fail to meet their purchase commitments, change their ordering patterns or business strategies, or otherwise reduce their purchases or stop purchasing our products, or if we experience difficulty in meeting the high demand by these larger customers for our products, our revenues and results of operations could be adversely affected.</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Acquisitions or Investments May Not Generate the Expected Benefits and Could Disrupt Our Ongoing Business, Distract Our Management, Increase Our Expenses and Adversely Affect Our Business.</w:t>
      </w:r>
    </w:p>
    <w:p>
      <w:pPr>
        <w:spacing w:after="0" w:line="16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Since the beginning of 2019, we have acquired several companies through which we have gained access to new technologies, products and services which are complementary to our existing business and aligned with our long-term business strategy. We will likely continue to pursue strategic acquisitions or investments as a way to expand our business. These activities, and their impact on our business, are subject to many risks, including the following:</w:t>
      </w:r>
    </w:p>
    <w:p>
      <w:pPr>
        <w:spacing w:after="0" w:line="41" w:lineRule="exact"/>
        <w:rPr>
          <w:sz w:val="20"/>
          <w:szCs w:val="20"/>
          <w:color w:val="auto"/>
        </w:rPr>
      </w:pPr>
    </w:p>
    <w:p>
      <w:pPr>
        <w:ind w:left="102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Suitable acquisitions or investments may not be found or consummated on terms or schedules that are satisfactory to us or consistent with our objectives;</w:t>
      </w:r>
    </w:p>
    <w:p>
      <w:pPr>
        <w:spacing w:after="0" w:line="62"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unsuccessful in competing for acquisitions with other entities, some of which have greater financial resources or may be better able to realize synergies with a potential target;</w:t>
      </w:r>
    </w:p>
    <w:p>
      <w:pPr>
        <w:spacing w:after="0" w:line="62"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benefits expected to be derived from an acquisition or investment may not materialize and could be affected by numerous factors, such as regulatory developments, insurance reimbursement, our inexperience with new businesses or markets, general economic conditions and increased competition;</w:t>
      </w:r>
    </w:p>
    <w:p>
      <w:pPr>
        <w:spacing w:after="0" w:line="75"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unable to successfully integrate an acquired company’s personnel, assets, management, information technology systems, accounting policies and practices, products, services and/or technology into our business;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4" w:name="page35"/>
    <w:bookmarkEnd w:id="34"/>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Worse than expected performance of an acquired business may result in the impairment of intangible assets;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Acquisitions may require substantial expense and management time and could disrupt our business;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not be able to accurately forecast the performance or ultimate impact of an acquired business;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have difficulties in coordinating geographically separate organizations;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fail to successfully manage relationships with customers, distributors and suppliers of an acquired business;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acquisition may result in a diversion of resources from our existing products, business and technologies;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acquisition and subsequent integration activities may require greater capital and other resources than originally anticipated at the time of acquisition;</w:t>
      </w:r>
    </w:p>
    <w:p>
      <w:pPr>
        <w:spacing w:after="0" w:line="62"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the extent we agree to pay contingent consideration for an acquisition, if and how much of such consideration we are required to pay may be subject to dispute, resulting in the distraction of our management team and the incurrence of legal costs;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acquisition may result in employee anxiety, morale and/or engagement issues;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acquisition may result in disparate information technology, internal control, financial reporting and record-keeping systems;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acquisition may result in new partners or customers who may operate on terms and programs different than ours;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acquisition may result in employees not familiar with our operations;</w:t>
      </w:r>
    </w:p>
    <w:p>
      <w:pPr>
        <w:spacing w:after="0" w:line="117"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acquisition may result in new products and services, including the risk that any underlying intellectual property associated with such products and services may not have been adequately protected or that such products and services may infringe on the proprietary rights of others;</w:t>
      </w:r>
    </w:p>
    <w:p>
      <w:pPr>
        <w:spacing w:after="0" w:line="75"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acquisition may result in the incurrence of unexpected expenses, stockholder lawsuits, the dilution of our earnings or our existing stockholders’ percentage ownership, or potential losses from undiscovered liabilities not covered by an indemnification from the seller(s) of the acquired business;</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acquisition may result in the loss of our or the acquired company’s key personnel, customers, distributors or suppliers; and</w:t>
      </w:r>
    </w:p>
    <w:p>
      <w:pPr>
        <w:spacing w:after="0" w:line="117" w:lineRule="exact"/>
        <w:rPr>
          <w:rFonts w:ascii="Arial" w:cs="Arial" w:eastAsia="Arial" w:hAnsi="Arial"/>
          <w:sz w:val="18"/>
          <w:szCs w:val="18"/>
          <w:color w:val="auto"/>
        </w:rPr>
      </w:pPr>
    </w:p>
    <w:p>
      <w:pPr>
        <w:jc w:val="both"/>
        <w:ind w:left="1020" w:hanging="503"/>
        <w:spacing w:after="0" w:line="286" w:lineRule="auto"/>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 acquisition of a foreign business may involve additional risks, including, but not limited to, foreign currency exposure, liability or restrictions under foreign laws or regulations, and our inability to successfully assimilate differences in foreign business practices or overcome language or cultural barriers and other inherent risks of operating in unfamiliar legal and regulatory environments.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occurrence of one or more of the above or other factors may prevent us from achieving all or a significant part of the benefits expected from an acquisition or investment. This may adversely affect our financial condition, results of operations and ability to grow our business or otherwise achieve our financial and strategic objectives.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Risks Relating To Our Recent Acquisitions.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success of the acquisitions will depend, in part, on our ability to successfully combine and integrate our legacy business with those businesses acquired. The integration of the businesses with our existing business can be complex, costly and time-consuming processes. It is possible that a number of factors, including, without limitation, the loss of key employees, higher than expected costs, diversion of management attention and resources, the disruptions of ongoing businesses or inconsistencies in standards, controls, procedures and policies, could adversely affect our ability to maintain relationships with customers, vendors and employees or to achieve the anticipated benefits and cost savings of the acquisitions. If we experience difficulties with the integration process, the anticipated benefits of the acquisitions may not be realized fully or at all, or may take longer to realize than expected. These integration matters could have an adverse effect on us for an undetermined period following the acquisitions.</w:t>
      </w:r>
    </w:p>
    <w:p>
      <w:pPr>
        <w:spacing w:after="0" w:line="17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As a general matter, the market for microbiome laboratory testing and analytical services provided by Diversigen is at an early stage and is still developing. In addition, the Colli-Pee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urine collection devices manufactured and sold by Novosanis are relatively new products that are not yet widely accepted by customers. There is no assurance that we will be successful in creating or expanding demand for these services and products. To the extent that the markets for these services and products fail to develop or increase, our revenues and results of operations could be adversely affected and we may not meet our growth objectives.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Our Revenues Could be Affected by Third-Party Reimbursement Policies and Potential Cost Constraints.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end-users of certain of our products include hospitals, physicians and other healthcare providers. Use of our products could be adversely impacted if these end-users do not receive adequate reimbursement for the cost of our products from their patients’ healthcare insurers or payors. Our net sales could also be adversely affected by changes in reimbursement policies of governmental or private healthcare payors, including in particular the level of reimbursement for our products.</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the United States, hospitals, physicians and other healthcare providers who purchase diagnostic products generally rely on third-party payors, such as private health insurance plans, Medicare and Medicaid, to reimburse all or part of the cost of the product and procedure. The overall escalating cost of medical products and services has led to, and will continue to lead to, increased pressures on the healthcare industry, both foreign and domestic, to reduce the cost of products and services. Given the efforts to control and reduce healthcare costs in the United States in recent years, currently available levels of reimbursement may not continue to be available in the future for our existing products or products under development. Third-party reimbursement and coverage may not be available or adequate in either the United States or international markets, current reimbursement amounts may be decreased in the future and future legislation, and regulation or reimbursement policies of third-party payors, may reduce the demand for our products or our ability to sell our products on a profitable basis. In addition, the reimbursement approval process may delay the market introduction of our products.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Healthcare Regulation Could Affect Our Revenues, Costs and Financial Condition.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recent years, there have been numerous initiatives at the federal and state level for comprehensive reforms affecting the payment for, the availability of and reimbursement for healthcare services in the United States. These initiatives have ranged from proposals to fundamentally change federal and state healthcare reimbursement programs, including providing comprehensive healthcare coverage to the public under government-funded programs, to minor modifications to existing programs. One example is the Patient Protection and Affordable Care Act, the Federal healthcare reform law enacted in 2010 (the “Affordable Care Act”). Similar reforms may occur internationally.</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Legislative and regulatory bodies are likely to continue to pursue healthcare reform initiatives in many forms and may continue to reduce funding in an effort to lower overall federal healthcare spending. The ultimate content and timing of changes to healthcare reform legislation and the resulting impact on us are impossible to predict. If significant reforms continue to be made to the healthcare system in the United States, or in other jurisdictions, those reforms may increase our costs or otherwise have an adverse effect on our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or Changed Testing Guidelines Could Affect Sales of Our Diagnostic Products.</w:t>
      </w:r>
    </w:p>
    <w:p>
      <w:pPr>
        <w:spacing w:after="0" w:line="229"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From time to time, governmental agencies such as the CDC issue diagnostic testing guidelines or recommendations, which can affect the usage of our HIV and HCV tests or other diagnostic products. For example, past sales of domestic professional OraQuick</w:t>
      </w:r>
      <w:r>
        <w:rPr>
          <w:rFonts w:ascii="Arial" w:cs="Arial" w:eastAsia="Arial" w:hAnsi="Arial"/>
          <w:sz w:val="23"/>
          <w:szCs w:val="23"/>
          <w:color w:val="auto"/>
          <w:vertAlign w:val="superscript"/>
        </w:rPr>
        <w:t>®</w:t>
      </w:r>
      <w:r>
        <w:rPr>
          <w:rFonts w:ascii="Arial" w:cs="Arial" w:eastAsia="Arial" w:hAnsi="Arial"/>
          <w:sz w:val="17"/>
          <w:szCs w:val="17"/>
          <w:color w:val="auto"/>
        </w:rPr>
        <w:t xml:space="preserve"> HIV tests have decreased in part due to customer migration to automated fourth generation HIV immunoassays performed in a laboratory, as recommended under testing guidelines issued by the CDC. In addition, some states have promulgated, or may in the future promulgate, laws and regulations that affect HIV or HCV testing. The issuance of new laws or guidelines, or changes in existing laws or guidelines, and the manner in which these new or changed laws and guidelines are interpreted and applied by healthcare practitioners, could impact the degree to which our OraQuick</w:t>
      </w:r>
      <w:r>
        <w:rPr>
          <w:rFonts w:ascii="Arial" w:cs="Arial" w:eastAsia="Arial" w:hAnsi="Arial"/>
          <w:sz w:val="23"/>
          <w:szCs w:val="23"/>
          <w:i w:val="1"/>
          <w:iCs w:val="1"/>
          <w:color w:val="auto"/>
          <w:vertAlign w:val="superscript"/>
        </w:rPr>
        <w:t>®</w:t>
      </w:r>
      <w:r>
        <w:rPr>
          <w:rFonts w:ascii="Arial" w:cs="Arial" w:eastAsia="Arial" w:hAnsi="Arial"/>
          <w:sz w:val="17"/>
          <w:szCs w:val="17"/>
          <w:color w:val="auto"/>
        </w:rPr>
        <w:t xml:space="preserve"> rapid HIV and HCV testing products or other products are used. New or changed laws or guidelines could affect the number of people tested, the frequency of testing and whether testing products such as our OraQuick</w:t>
      </w:r>
      <w:r>
        <w:rPr>
          <w:rFonts w:ascii="Arial" w:cs="Arial" w:eastAsia="Arial" w:hAnsi="Arial"/>
          <w:sz w:val="23"/>
          <w:szCs w:val="23"/>
          <w:i w:val="1"/>
          <w:iCs w:val="1"/>
          <w:color w:val="auto"/>
          <w:vertAlign w:val="superscript"/>
        </w:rPr>
        <w:t>®</w:t>
      </w:r>
      <w:r>
        <w:rPr>
          <w:rFonts w:ascii="Arial" w:cs="Arial" w:eastAsia="Arial" w:hAnsi="Arial"/>
          <w:sz w:val="17"/>
          <w:szCs w:val="17"/>
          <w:color w:val="auto"/>
        </w:rPr>
        <w:t xml:space="preserve"> HIV and HCV tests are used broadly for screening large populations or in a more limited capacity as a confirmatory test or otherwise. These factors could in turn affect the level of sales of our products and our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Reductions in Government Funding and Research Budgets Could Adversely Affect Our Business and Financial Results.</w:t>
      </w:r>
    </w:p>
    <w:p>
      <w:pPr>
        <w:spacing w:after="0" w:line="234"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 xml:space="preserve">We sell our OraQuick </w:t>
      </w:r>
      <w:r>
        <w:rPr>
          <w:rFonts w:ascii="Arial" w:cs="Arial" w:eastAsia="Arial" w:hAnsi="Arial"/>
          <w:sz w:val="18"/>
          <w:szCs w:val="18"/>
          <w:i w:val="1"/>
          <w:iCs w:val="1"/>
          <w:color w:val="auto"/>
        </w:rPr>
        <w:t>ADVANCE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HIV-1/2 and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HCV tests into the US public health market which consists of state, county and other governmental public health agencies, community based organizations, service organizations and similar entities. We also sell these products into the hospital market. Many of these customers depend to a significant degree on grants or funding provided by governmental agencies to run their operations including programs that use our products. In international markets, we often sell products such as our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HIV Self-Test to or through foreign governmental agencies or parties funded by such agencies.</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Many of our molecular collection products are sold to researchers at academic institutions, pharmaceutical and biotechnology companies, government laboratories and private foundations. Many research customers are dependent for their funding on grants from U.S. governmental agencies such as the U.S. National Institutes of Health and agencies in other countries to pay for the products and services they purchase. These research customers also purchase our genomic and microbiome laboratory tests and analytical services.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6" w:name="page37"/>
    <w:bookmarkEnd w:id="36"/>
    <w:p>
      <w:pPr>
        <w:jc w:val="both"/>
        <w:spacing w:after="0" w:line="296" w:lineRule="auto"/>
        <w:rPr>
          <w:sz w:val="20"/>
          <w:szCs w:val="20"/>
          <w:color w:val="auto"/>
        </w:rPr>
      </w:pPr>
      <w:r>
        <w:rPr>
          <w:rFonts w:ascii="Arial" w:cs="Arial" w:eastAsia="Arial" w:hAnsi="Arial"/>
          <w:sz w:val="16"/>
          <w:szCs w:val="16"/>
          <w:color w:val="auto"/>
        </w:rPr>
        <w:t>The level of available government grants or funding in the U.S. and elsewhere is unpredictable and may be affected by various factors including economic conditions, legislative and regulatory developments, political changes, civil unrest and changing priorities for research and development activities. Further, government proposals to reduce or eliminate budgetary deficits have sometimes included reduced allocations to government agencies in the U.S. and other countries that fund life sciences research and development activities. Any reduction or delay in government or other funding as a result of legislative or regulatory changes or other factors, could cause our customers to delay, reduce or forego purchases of our products and services.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Relating to Our Reliance on Third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Use of Third Party Supply Sources For Critical Components of Our Products Could Adversely Affect Our Business.</w:t>
      </w:r>
    </w:p>
    <w:p>
      <w:pPr>
        <w:spacing w:after="0" w:line="229" w:lineRule="exact"/>
        <w:rPr>
          <w:sz w:val="20"/>
          <w:szCs w:val="20"/>
          <w:color w:val="auto"/>
        </w:rPr>
      </w:pPr>
    </w:p>
    <w:p>
      <w:pPr>
        <w:jc w:val="both"/>
        <w:spacing w:after="0" w:line="225" w:lineRule="auto"/>
        <w:rPr>
          <w:sz w:val="20"/>
          <w:szCs w:val="20"/>
          <w:color w:val="auto"/>
        </w:rPr>
      </w:pPr>
      <w:r>
        <w:rPr>
          <w:rFonts w:ascii="Arial" w:cs="Arial" w:eastAsia="Arial" w:hAnsi="Arial"/>
          <w:sz w:val="17"/>
          <w:szCs w:val="17"/>
          <w:color w:val="auto"/>
        </w:rPr>
        <w:t>We currently purchase certain critical components of our products from sole supply sources or other third-party suppliers. For example, the biological antigens and antibodies, nitrocellulose and certain other components required to make our OraQuick</w:t>
      </w:r>
      <w:r>
        <w:rPr>
          <w:rFonts w:ascii="Arial" w:cs="Arial" w:eastAsia="Arial" w:hAnsi="Arial"/>
          <w:sz w:val="23"/>
          <w:szCs w:val="23"/>
          <w:color w:val="auto"/>
          <w:vertAlign w:val="superscript"/>
        </w:rPr>
        <w:t>®</w:t>
      </w:r>
      <w:r>
        <w:rPr>
          <w:rFonts w:ascii="Arial" w:cs="Arial" w:eastAsia="Arial" w:hAnsi="Arial"/>
          <w:sz w:val="17"/>
          <w:szCs w:val="17"/>
          <w:color w:val="auto"/>
        </w:rPr>
        <w:t xml:space="preserve"> HIV, HCV and Ebola products are currently purchased from sole source suppliers. Our OraSure QuickFlu</w:t>
      </w:r>
      <w:r>
        <w:rPr>
          <w:rFonts w:ascii="Arial" w:cs="Arial" w:eastAsia="Arial" w:hAnsi="Arial"/>
          <w:sz w:val="23"/>
          <w:szCs w:val="23"/>
          <w:color w:val="auto"/>
          <w:vertAlign w:val="superscript"/>
        </w:rPr>
        <w:t>®</w:t>
      </w:r>
      <w:r>
        <w:rPr>
          <w:rFonts w:ascii="Arial" w:cs="Arial" w:eastAsia="Arial" w:hAnsi="Arial"/>
          <w:sz w:val="17"/>
          <w:szCs w:val="17"/>
          <w:color w:val="auto"/>
        </w:rPr>
        <w:t xml:space="preserve"> test and the fully automated high-throughput drug assays sold with our Intercept i2</w:t>
      </w:r>
      <w:r>
        <w:rPr>
          <w:rFonts w:ascii="Arial" w:cs="Arial" w:eastAsia="Arial" w:hAnsi="Arial"/>
          <w:sz w:val="23"/>
          <w:szCs w:val="23"/>
          <w:color w:val="auto"/>
          <w:vertAlign w:val="superscript"/>
        </w:rPr>
        <w:t>®</w:t>
      </w:r>
      <w:r>
        <w:rPr>
          <w:rFonts w:ascii="Arial" w:cs="Arial" w:eastAsia="Arial" w:hAnsi="Arial"/>
          <w:sz w:val="17"/>
          <w:szCs w:val="17"/>
          <w:color w:val="auto"/>
        </w:rPr>
        <w:t xml:space="preserve"> device are manufactured and supplied by sole source suppliers and the conjugates used in our MICROPLATE oral fluid drugs-of-abuse assays are obtained from third-party suppliers. We have contracted with third parties in Thailand for parts of the assembly of OraQuick</w:t>
      </w:r>
      <w:r>
        <w:rPr>
          <w:rFonts w:ascii="Arial" w:cs="Arial" w:eastAsia="Arial" w:hAnsi="Arial"/>
          <w:sz w:val="23"/>
          <w:szCs w:val="23"/>
          <w:color w:val="auto"/>
          <w:vertAlign w:val="superscript"/>
        </w:rPr>
        <w:t>®</w:t>
      </w:r>
      <w:r>
        <w:rPr>
          <w:rFonts w:ascii="Arial" w:cs="Arial" w:eastAsia="Arial" w:hAnsi="Arial"/>
          <w:sz w:val="17"/>
          <w:szCs w:val="17"/>
          <w:color w:val="auto"/>
        </w:rPr>
        <w:t xml:space="preserve"> HIV device and the OraQuick</w:t>
      </w:r>
      <w:r>
        <w:rPr>
          <w:rFonts w:ascii="Arial" w:cs="Arial" w:eastAsia="Arial" w:hAnsi="Arial"/>
          <w:sz w:val="23"/>
          <w:szCs w:val="23"/>
          <w:color w:val="auto"/>
          <w:vertAlign w:val="superscript"/>
        </w:rPr>
        <w:t>®</w:t>
      </w:r>
      <w:r>
        <w:rPr>
          <w:rFonts w:ascii="Arial" w:cs="Arial" w:eastAsia="Arial" w:hAnsi="Arial"/>
          <w:sz w:val="17"/>
          <w:szCs w:val="17"/>
          <w:color w:val="auto"/>
        </w:rPr>
        <w:t xml:space="preserve"> HIV Self-Test in order to supply certain international markets. In addition, our subsidiary, DNAG, uses three third-party manufacturers to supply virtually all of its products, including its Oragene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and ORAcollect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lines of collection kits. Many of the raw materials and components used in its products are also purchased from third parties, a critical one of which is obtained from a sole source supplier.</w:t>
      </w:r>
    </w:p>
    <w:p>
      <w:pPr>
        <w:spacing w:after="0" w:line="20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COVID-19 pandemic and the measures taken to contain the spread of the virus, have disrupted, and could continue to disrupt, the normal operations of our third-party suppliers. Our third-party suppliers may not have the personnel, raw materials, capacity or capability to manufacture our products according to our schedule and specifications. To the extent any such production and distribution interruption or closures occur and continue for an extended period of time, the impact on our supply chain could have a material adverse effect on our results of operations. If our third-party suppliers are unable or unwilling to supply or manufacture a required component or product or if they make changes to a component, product or manufacturing process or do not supply materials meeting our specifications, we may need to find another source and/or manufacturer. This could require that we perform additional development work and it may be difficult to find such an alternate supply source in a reasonable time period or on commercially reasonable terms, if at all. We may also need to obtain FDA or other regulatory approvals for the use of an alternative component or for changes to our products or manufacturing process. Completing that development and obtaining such approvals could require significant time and expense and such approvals may not occur at all. The availability of critical components and products from sole supply sources or other third parties could also reduce our control over pricing, quality and timely delivery. These events could either disrupt our ability to manufacture and sell certain of our products into one or more markets or completely prevent us from doing so, and could increase our costs. Any such event could have a material adverse effect on our results of operations, cash flow and business.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Failure to Maintain Existing Distribution Channels, or Develop New Distribution Channels, May Result in Lower Revenues.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have marketed many of our products by collaborating with laboratories, diagnostic companies and distributors. Our sales depend to a substantial degree on our ability to sell products to these customers and on the marketing and distribution abilities of the companies with which we collaborate.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Relying on distributors or others to market and sell our products could harm our business for various reasons, including:</w:t>
      </w:r>
    </w:p>
    <w:p>
      <w:pPr>
        <w:spacing w:after="0" w:line="117" w:lineRule="exact"/>
        <w:rPr>
          <w:sz w:val="20"/>
          <w:szCs w:val="20"/>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not be able to find suitable distributors to distribute our products on satisfactory terms, or at all;</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distributors or other customers may not fulfill their contractual obligations to us or otherwise market and distribute our products in the manner or at the levels we expect;</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do not control the incentives provided by our distributors to their sales personnel and the effectiveness of these incentives could affect sales of our products;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Agreements with distributors may terminate prematurely due to disagreements or may result in litigation between the parties;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not be able to renew existing distribution agreements on acceptable terms, or at all;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distributors may not devote sufficient resources or priority to the sale of our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distributors may prioritize their own private label products that compete with our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existing distributor relationships or contracts may preclude or limit us from entering into arrangements with other distributors; and</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7" w:name="page38"/>
    <w:bookmarkEnd w:id="37"/>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not be able to negotiate future distribution agreements on acceptable terms, or at all.</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Although we will try to maintain and expand our business with distributors and customers and require that they fulfill their contractual obligations, there can be no assurance that such companies will do so or that new distribution channels will be available on satisfactory terms. As a result, our revenues and business could be adversely affected.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Need Strategic Partners to Assist in Developing and Commercializing Some of Our Products.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Although we may elect to pursue some product opportunities independently, opportunities that require a technology controlled by a third party, a significant level of investment for development and commercialization or a distribution network beyond our existing sales force may necessitate involving one or more strategic partners. Further, our ability to enter into agreements with additional strategic partners depends in part on convincing them that our products can help achieve and accelerate their goals and efforts. Our strategy for development and commercialization of products may entail entering into arrangements with distributors or other corporate parties, universities, research laboratories, government agencies, licensees and others. Relying on collaborative relationships could be risky to our business for a number of reasons, including:</w:t>
      </w:r>
    </w:p>
    <w:p>
      <w:pPr>
        <w:spacing w:after="0" w:line="70" w:lineRule="exact"/>
        <w:rPr>
          <w:sz w:val="20"/>
          <w:szCs w:val="20"/>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required to transfer material rights to such strategic collaborators, government agencies, licensees and others;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collaborators may not devote sufficient resources or attach a sufficiently high priority to the success of our collaboration;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collaborators may not obtain regulatory approvals necessary to continue the collaborations in a timely manner;</w:t>
      </w:r>
    </w:p>
    <w:p>
      <w:pPr>
        <w:spacing w:after="0" w:line="117"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have limited access to our collaborator’s confidential corporate information and sudden unexpected changes in ownership or strategy or other material events affecting a collaborator of which we are not made aware of in a timely manner, or at all, could adversely impact our relationship;</w:t>
      </w:r>
    </w:p>
    <w:p>
      <w:pPr>
        <w:spacing w:after="0" w:line="75"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collaborators may be acquired by another company, sell the part of their business related to our collaboration, decide to terminate our collaborative arrangement or become insolvent;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collaborators may develop technologies or components competitive with our products;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collaborators may fail to deliver technologies or components that satisfy market requirements or such products may fail to perform properly;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Disagreements with collaborators could result in the termination of the relationship or litigation;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Collaborators may not have sufficient capital resources; and</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not be able to negotiate future collaborative arrangements, or renewals of existing collaborative agreements, on acceptable terms or at all.</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While we generally expect that our collaborative partners will have an economic motivation to succeed in performing their contractual responsibilities, there is no assurance that they will do so, either at the level required or at all, and the amount and timing of resources to be devoted to these activities will be controlled by others. Reliance on strategic agreements can also make it difficult to accurately forecast our future revenues or operating results. There can be no assurance that the expected revenues or profits will be fully derived from such arrangements.</w:t>
      </w:r>
    </w:p>
    <w:p>
      <w:pPr>
        <w:spacing w:after="0" w:line="167"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Risks Relating to Intellectual Property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Success Depends on Our Ability to Protect Our Proprietary Technology.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industry places considerable importance on obtaining patent, trademark and trade secret protection, as well as other intellectual property rights, for new technologies, products and processes. Our success depends, in part, on our ability to develop and maintain a strong intellectual property portfolio or obtain licenses to patents and technologies, both in the United States and in other countries. If we cannot continue to develop, obtain and protect intellectual property rights, our revenues and profits could be adversely affected. Moreover, our current and future licenses or other rights to patents and other technologies may not be adequate for the operation of our business.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appropriate, we intend to file patent applications and obtain patent protection for our proprietary technology. These patent applications and patents will cover, as applicable, compositions of matter for our products, methods of making those products, methods of using those products and apparatuses relating to the use or manufacture of those products.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8" w:name="page39"/>
    <w:bookmarkEnd w:id="38"/>
    <w:p>
      <w:pPr>
        <w:jc w:val="both"/>
        <w:spacing w:after="0" w:line="259" w:lineRule="auto"/>
        <w:rPr>
          <w:sz w:val="20"/>
          <w:szCs w:val="20"/>
          <w:color w:val="auto"/>
        </w:rPr>
      </w:pPr>
      <w:r>
        <w:rPr>
          <w:rFonts w:ascii="Arial" w:cs="Arial" w:eastAsia="Arial" w:hAnsi="Arial"/>
          <w:sz w:val="18"/>
          <w:szCs w:val="18"/>
          <w:color w:val="auto"/>
        </w:rPr>
        <w:t>We also rely on trade secrets, know-how and continuing technological advancements to protect our proprietary technology. We have entered, and will continue to enter, into confidentiality agreements with our employees, consultants, advisors and collaborators. Our employees and third-party consultants also sign agreements requiring that they assign to us interests in inventions and original expressions and any patents or copyrights arising from their work. However, these parties may not honor these agreements.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cannot guarantee that the process of filing patents, the laws governing trade secrets and proprietary information, or any agreements we enter into with employees, consultants, advisors or collaborators will provide adequate protection of our intellectual property rights. For example, our competitors may develop similar products without infringing on any of our intellectual property rights or design around our proprietary technologies. Employees, consultants and others who participate in the development of our products may breach their agreements with us regarding our intellectual property, and we may not have adequate remedies for the breach. We also may not be able to effectively protect our intellectual property rights in some foreign countries, as many countries do not offer the same level of legal protection for intellectual property as the United States.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a variety of reasons, we may decide not to file for patent, copyright or trademark protection outside of the U.S. Our trade secrets could become known through other unforeseen means. Although we have licensed certain technology for use in our microbiome laboratory services offerings and we have developed proprietary know-how that we use in this business, we do not currently hold any patents covering the laboratory processes and analytical methods offered to our customers. The absence of patent protection in this or other parts of our business may make it more difficult to protect our intellectual property. In addition, our competitors may independently develop similar or alternative technologies or products that are equal or superior to our technology.</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Moreover, issued patents remain in effect for a fixed period and after expiration will not provide protection of the inventions they cover. Once our patents expire, we may be faced with increased competition, which could reduce our revenues. We may also not be able to successfully protect our rights to unpatented trade secrets and know-how.</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Some of our employees, including scientific and management personnel, were previously employed by competing companies. Although we encourage and expect all of our employees to abide by any confidentiality agreement with a prior employer, competing companies may allege trade secret violations and similar claims against us. In addition, some of these agreements may conflict with, or be subject to, the rights of third parties with whom our employees, consultants or advisers have prior employment or consulting relationships. An adverse determination may limit or restrict the type of work that certain employees involved with such products may perform.</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may collaborate with universities and governmental research organizations or receive funding for our products from government agencies. As a result, one or more of these entities may acquire part of the rights to any inventions or technical information derived from our collaboration or funding relationship with them.</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facilitate development and commercialization of a proprietary technology base, we may need to obtain licenses to patents or other proprietary rights from other parties. Obtaining and maintaining such licenses may require the payment of substantial amounts. In addition, if we are unable to obtain these types of licenses, our product development and commercialization efforts may be delayed or precluded. Moreover, some licenses may be nonexclusive, and therefore our competitors may have access to the same technology licensed to us.</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Become Involved in Intellectual Property Disputes, Which Could Increase our Costs and Limit or Eliminate Our Ability to Sell Products, Provide Services or Use Certain Technologies.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we may seek to enforce our patents or other intellectual property rights through litigation. In addition, there are a large number of patents and patent applications in our product and service areas, and additional patents may be issued to third parties relating to our product and service areas. We, our customers or our suppliers may be sued for infringement of patents or misappropriation of other intellectual property rights with respect to one or more of our products or services. Litigation in our industry regarding patent and other intellectual property rights is prevalent and is expected to continue. We may also have disputes with parties that license patents to us if we believe the license is no longer needed for our products or services or the licensed patents are no longer valid or enforceable.</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industry is characterized by a large number of patents, and the claims of these patents appear to overlap in many cases. As a result, there is a significant amount of uncertainty regarding the extent of patent protection and infringement. Companies may have pending patent applications, which are typically confidential for the first eighteen months following filing, that cover technologies we incorporate in our products or services. Accordingly, we may be subjected to substantial damages for past infringement or be required to modify our products or services or stop selling them if it is ultimately determined that our products or services infringe a third party’s proprietary rights. In addition, governmental agencies could commence investigations or criminal proceedings against our employees or us relating to claims of misuse or misappropriation of another party’s proprietary rights.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9" w:name="page40"/>
    <w:bookmarkEnd w:id="39"/>
    <w:p>
      <w:pPr>
        <w:jc w:val="both"/>
        <w:spacing w:after="0" w:line="263" w:lineRule="auto"/>
        <w:rPr>
          <w:sz w:val="20"/>
          <w:szCs w:val="20"/>
          <w:color w:val="auto"/>
        </w:rPr>
      </w:pPr>
      <w:r>
        <w:rPr>
          <w:rFonts w:ascii="Arial" w:cs="Arial" w:eastAsia="Arial" w:hAnsi="Arial"/>
          <w:sz w:val="18"/>
          <w:szCs w:val="18"/>
          <w:color w:val="auto"/>
        </w:rPr>
        <w:t>Intellectual property litigation is costly. As such, our involvement in litigation or other legal proceedings with respect to patents or other intellectual property and proprietary technology, either as a plaintiff or defendant, could adversely affect our revenues, market share, results of operations and business because:</w:t>
      </w:r>
    </w:p>
    <w:p>
      <w:pPr>
        <w:spacing w:after="0" w:line="76" w:lineRule="exact"/>
        <w:rPr>
          <w:sz w:val="20"/>
          <w:szCs w:val="20"/>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It could consume a substantial portion of managerial and financial resources;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Its outcome would be uncertain and a court may find that our patents are invalid or unenforceable in response to claims by another party or that the third-party patent claims are valid and infringed by our products or services;</w:t>
      </w:r>
    </w:p>
    <w:p>
      <w:pPr>
        <w:spacing w:after="0" w:line="62"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adverse outcome could subject us to the loss of the protection of our patents or to liability in the form of past royalty payments, penalties, reimbursement of litigation costs and legal fees, special and punitive damages, or future royalty payments, any of which could significantly affect our future earnings;</w:t>
      </w:r>
    </w:p>
    <w:p>
      <w:pPr>
        <w:spacing w:after="0" w:line="75"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Governmental agencies may commence investigations or criminal proceedings against our employees, former employees and us relating to claims of misappropriation or misuse of another party’s proprietary rights;</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obtain a necessary license upon an adverse outcome could prevent us from selling our current products or services or other products or services we may develop or acquire;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required to alter our product or services, given the proprietary rights of others;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pendency of any litigation may in and of itself cause our distributors and customers to reduce or terminate purchases of our products or services; and</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court could award a preliminary and/or permanent injunction, which would prevent us from selling our current or future products or services.</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may indemnify some customers and strategic partners under our agreements with such parties if our products, services or activities have actually or allegedly infringed upon, misappropriated or misused another party’s proprietary rights. Further, our products or services may contain technology provided to us by other parties, such as universities, contractors, suppliers, customers or collaborators, and we may have little or no ability to determine in advance whether such technology infringes the intellectual property rights of a third party. These other parties may also not be required or financially able to indemnify us in the event that an infringement or misappropriation claim is asserted against us.</w:t>
      </w:r>
    </w:p>
    <w:p>
      <w:pPr>
        <w:spacing w:after="0" w:line="1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may also become involved in other types of disputes regarding intellectual property rights, including state, federal or foreign court litigation, and patent interference, patent reexamination, patent reissue, or trademark opposition proceedings in the United States Patent and Trademark Office. Opposition or revocation proceedings could be instituted in a foreign patent office as well. Under Federal law, various forms of post issuance patent review proceedings have been authorized, including an inter-parties review process. These proceedings permit certain persons to challenge the validity of a patent on the grounds that it was known from the prior art. The filing of such proceedings, or the issuance of an adverse decision in such proceedings, could result in the loss of valuable patent rights that could have a material adverse effect on our business, financial condition, results of operations and growth prospects.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Regulatory Risks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Need to Obtain Regulatory Approvals, Clearances, Authorizations or Certifications Could Increase Our Costs and Adversely Affect Our Financial Performance.</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Many of our proposed and existing products and services are subject to regulation by the FDA and other governmental or public health agencies. In particular, we are subject to strict governmental controls on the development, manufacture, labeling, distribution and marketing of our products and the processes and procedure for our laboratory services. Our practice is to train our employees on the legal requirements applicable to our business, including the requirements of the FDA and other relevant agencies.</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process of obtaining required approvals, clearances, other premarket authorizations or certifications can involve lengthy and detailed laboratory testing, human clinical trials, sampling activities and other costly, time-consuming procedures. These approvals, clearances, other premarket authorizations or certifications can require the submission of a large amount of clinical data which can be expensive and may require significant time to obtain. It is also possible that a product will not perform at a level needed to generate the clinical data required to obtain such premarket authorizations or certifications. The submission of an application to the FDA or other regulatory authority does not guarantee that an authorization to market or import the product or a laboratory certification will be received. A regulatory authority may impose requirements as a condition to granting an approval, clearance, premarket authorization or certification that may include significant restrictions or limitations. The regulatory authority may delay or refuse to grant premarket authorization or certification, even though a product has been approved or registered without restrictions or limitations in another country or by another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0" w:name="page41"/>
    <w:bookmarkEnd w:id="40"/>
    <w:p>
      <w:pPr>
        <w:jc w:val="both"/>
        <w:ind w:right="20"/>
        <w:spacing w:after="0" w:line="277" w:lineRule="auto"/>
        <w:rPr>
          <w:sz w:val="20"/>
          <w:szCs w:val="20"/>
          <w:color w:val="auto"/>
        </w:rPr>
      </w:pPr>
      <w:r>
        <w:rPr>
          <w:rFonts w:ascii="Arial" w:cs="Arial" w:eastAsia="Arial" w:hAnsi="Arial"/>
          <w:sz w:val="18"/>
          <w:szCs w:val="18"/>
          <w:color w:val="auto"/>
        </w:rPr>
        <w:t>agency. Delays in receipt or failure to receive such approvals, clearances, premarket authorization or certification could have a material adverse effect on our business, financial condition and results of operations.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All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 products that are to be sold in the EU must bear the CE mark indicating conformance with the requirements of the relevant EU </w:t>
      </w:r>
      <w:r>
        <w:rPr>
          <w:rFonts w:ascii="Arial" w:cs="Arial" w:eastAsia="Arial" w:hAnsi="Arial"/>
          <w:sz w:val="17"/>
          <w:szCs w:val="17"/>
          <w:i w:val="1"/>
          <w:iCs w:val="1"/>
          <w:color w:val="auto"/>
        </w:rPr>
        <w:t>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vitro </w:t>
      </w:r>
      <w:r>
        <w:rPr>
          <w:rFonts w:ascii="Arial" w:cs="Arial" w:eastAsia="Arial" w:hAnsi="Arial"/>
          <w:sz w:val="17"/>
          <w:szCs w:val="17"/>
          <w:color w:val="auto"/>
        </w:rPr>
        <w:t>diagnostic medical devices legislation. The new EU Regulation 2017/746 on</w:t>
      </w:r>
      <w:r>
        <w:rPr>
          <w:rFonts w:ascii="Arial" w:cs="Arial" w:eastAsia="Arial" w:hAnsi="Arial"/>
          <w:sz w:val="17"/>
          <w:szCs w:val="17"/>
          <w:i w:val="1"/>
          <w:iCs w:val="1"/>
          <w:color w:val="auto"/>
        </w:rPr>
        <w:t xml:space="preserve"> in vitro </w:t>
      </w:r>
      <w:r>
        <w:rPr>
          <w:rFonts w:ascii="Arial" w:cs="Arial" w:eastAsia="Arial" w:hAnsi="Arial"/>
          <w:sz w:val="17"/>
          <w:szCs w:val="17"/>
          <w:color w:val="auto"/>
        </w:rPr>
        <w:t>diagnostic medical devices ("IVDR"), became applicable on May</w:t>
      </w:r>
      <w:r>
        <w:rPr>
          <w:rFonts w:ascii="Arial" w:cs="Arial" w:eastAsia="Arial" w:hAnsi="Arial"/>
          <w:sz w:val="17"/>
          <w:szCs w:val="17"/>
          <w:i w:val="1"/>
          <w:iCs w:val="1"/>
          <w:color w:val="auto"/>
        </w:rPr>
        <w:t xml:space="preserve"> </w:t>
      </w:r>
      <w:r>
        <w:rPr>
          <w:rFonts w:ascii="Arial" w:cs="Arial" w:eastAsia="Arial" w:hAnsi="Arial"/>
          <w:sz w:val="17"/>
          <w:szCs w:val="17"/>
          <w:color w:val="auto"/>
        </w:rPr>
        <w:t>26, 2022 and repealed the previous Directive 98/79/EC, ("IVDD"). There is a transitional period during which products that have a declaration of conformity issued under the IVDD prior to May 26, 2022 may continue to be placed on the EU market for a certain period before requiring certification under the IVDR; however, class A non-sterile products do not benefit from such transitional provisions and have been required to be IVDR compliant since May 26, 2022. We have obtained the CE mark for several of our existing products [under the IVDD]. We also intend to apply for CE marks for certain of our future products and are not aware of any material reason why we would be unable to obtain those marks. However, there can be no assurance that compliance with all provisions of the IVDR will be demonstrated and the CE mark will be obtained or maintained for all products that we desire to sell in the EU. The failure to obtain or maintain the CE mark for one or more of our products could lead to the termination of strategic alliances and agreements for sales of those products in the EU and mean that we are unable to sell such products in the EU.</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we or our distributors are often required to obtain premarket authorization or product registration with foreign governments or regulatory bodies before we can import and sell our products in foreign countries. We may also be required to obtain WHO pre-qualification or endorsement in order to sell certain products in international markets or enable our customers to access interested funding sources for our products. We may have difficulty obtaining such authorizations, registrations, pre-qualifications or endorsements and, if obtained, such authorizations, registrations, pre-qualifications or endorsements may contain restrictions that limit our ability to market and sell our products in the relevant country. In addition, any change in our arrangement with a foreign distributor could result in the loss of or delay in transfer of any applicable product registrations, thereby interrupting our ability to sell those products in the affected markets.</w:t>
      </w:r>
    </w:p>
    <w:p>
      <w:pPr>
        <w:spacing w:after="0" w:line="19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Failure to Comply With FDA or Other Regulatory Requirements May Require Us to Suspend Production or Sale of Our Products or Institute a Recall Which Could Result in Higher Costs and a Loss of Revenues.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Regulation by the FDA and other federal, state and foreign regulatory agencies impacts many aspects of our operations, and the operations of our suppliers and distributors, including manufacturing, labeling, packaging, adverse event reporting, recalls, distribution, storage, advertising, promotion and recordkeeping. We are subject to routine inspection by the FDA and other agencies to determine compliance with QSR and FDA regulatory requirements in the United States and other applicable regulations worldwide, including but not limited to ISO standards. We believe that our facilities and procedures are in material compliance with the FDA requirements and ISO standards, but the regulations may be unclear and are subject to change, and we cannot be sure that the FDA or other regulators will agree with our compliance with these requirements. The FDA and foreign regulatory agencies may require post-marketing testing and surveillance to monitor the performance of approved or cleared products or impose conditions on any product clearances or approvals that could restrict the distribution or commercial applications of those products. Regulatory agencies may impose restrictions on our or our distributors’ advertising and promotional activities or preclude these activities altogether if a noncompliance is believed to exist. In addition, the subsequent discovery of previously unknown problems with a product may result in restrictions on the product or additional regulatory actions, including withdrawal of the product from the market.</w:t>
      </w:r>
    </w:p>
    <w:p>
      <w:pPr>
        <w:spacing w:after="0" w:line="18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Failure to comply with the applicable requirements of the FDA can result in, among other things, 483 notices, warning letters, administrative or judicially imposed sanctions such as injunctions, civil penalties, recall or seizure of products, total or partial suspension of production, refusal to grant PMA approval for devices, withdrawal of product registrations, marketing clearances or approvals, or criminal prosecution. The ability of our suppliers to supply critical components or materials and of our distributors to sell our products could also be adversely affected if their operations are determined to be out of compliance. Such actions by the FDA and other regulatory bodies could adversely affect our revenues, costs and results of operations.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Some of our products, particularly those sold by DNAG, are sold for research purposes in the U.S. We do not promote these products for clinical diagnostic use and they are labeled “For Research Use Only” ("RUO"). If the FDA were to disagree with our RUO designation of a product, we could be forced to recall and/or stop selling the product until appropriate regulatory clearance or approval has been obtained.</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ordinary course of business, we must frequently make subjective judgments with respect to compliance with applicable laws and regulations. If regulators subsequently disagree with the manner in which we have sought to comply with these regulations, we could be subjected to substantial civil and criminal penalties, as well as product recall, seizure or injunction with respect to the sale of our products. The assessment of any civil and criminal penalties against us could severely impair our reputation within the industry and any limitation on our ability to manufacture and market our products could have a material adverse effect on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Inability to Respond to Changes in Regulatory Requirements Could Adversely Affect Our Business.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1" w:name="page42"/>
    <w:bookmarkEnd w:id="41"/>
    <w:p>
      <w:pPr>
        <w:jc w:val="both"/>
        <w:spacing w:after="0" w:line="289" w:lineRule="auto"/>
        <w:rPr>
          <w:sz w:val="20"/>
          <w:szCs w:val="20"/>
          <w:color w:val="auto"/>
        </w:rPr>
      </w:pPr>
      <w:r>
        <w:rPr>
          <w:rFonts w:ascii="Arial" w:cs="Arial" w:eastAsia="Arial" w:hAnsi="Arial"/>
          <w:sz w:val="16"/>
          <w:szCs w:val="16"/>
          <w:color w:val="auto"/>
        </w:rPr>
        <w:t>We believe that our products and procedures are in material compliance with all applicable FDA regulations, ISO requirements, and other applicable regulatory requirements, but the regulations regarding the manufacture and sale of our products, the QSR and ISO requirements, and other requirements may be unclear and are subject to change. Newly promulgated regulations could require changes to our products, necessitate additional clinical trials or procedures, or make it impractical or impossible for us to market our products for certain uses, in certain markets, or at all. The FDA and other regulatory authorities also have the ability to change the requirements for obtaining product approval or clearance and/or impose new or additional requirements as part of the approval or clearance process. These changes or new or additional requirements may occur after the completion of substantial clinical work and other costly development activities. The implementation of such changes or new or additional requirements may result in additional clinical trials and substantial additional costs and could delay or make it more difficult or complicated to obtain approvals and sell our products. We cannot predict the effect, if any, that these changes might have on our business, financial condition or results of operations.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Subject to Numerous Government Regulations in Addition to FDA Requirements, Which Could Increase Our Costs and Affect Our Operations.</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FDA and other regulations described previously, laws and regulations in some states may restrict our ability to sell products in those states. While we intend to work with state legislators and regulators to remove or modify any applicable restrictions, there is no guarantee we will be successful in these efforts.</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must also comply with numerous laws relating to such matters as safe working conditions, manufacturing practices, environmental protection, fire hazard control, disposal of hazardous substances, labor or employment practices and the configuration and operation of the websites through which we advertise our products. As a device manufacturer, we are required to report annually to the Centers for Medicare &amp; Medicaid Services (“CMS”) any payments or transfers of value we have made to physicians and teaching hospitals and any physician ownership or investment interest in our business. In the U.S., before we can market a new medical device, or a new use of, or claim for, or significant modification to, an existing product, we generally must first receive either 510(k) clearance or de novo authorization or approval of a PMA from the FDA. Similarly, most major markets for medical devices outside the U.S. also require clearance, approval, authorization or compliance with certain standards before a product can be commercially marketed. Compliance with these laws or any new or changed laws regulating our business could result in substantial costs. Because of the number and extent of the laws and regulations affecting our industry, and the number of governmental agencies whose actions could affect our operations, it is impossible to reliably predict the full nature and impact of these requirements. To the extent the costs and procedures associated with complying with these laws and requirements are substantial or it is determined that we do not comply, our business and results of operations could be adversely affected.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Comply With Privacy, Security and Breach Notification Regulations May Increase Our Costs.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231F20"/>
        </w:rPr>
        <w:t>In the past, the Health Insurance Portability and Accountability Act of 1996, as amended (“HIPAA”) has generally affected us indirectly, as we are generally neither a Covered Entity nor a Business Associate, as further defined under HIPAA, to Covered Entities. We have in place certain administrative, technical and physical safeguards to protect the privacy and security of consumers’ personal information and endeavors to comply with all applicable state and federal laws with respect to the protection of consumers’ personal information. We are required to comply with varying state privacy, security and breach reporting laws. If we do not comply with existing or new laws and regulations related to properly transferring data containing consumers’ personal information, we could be subject to monetary fines, civil penalties or criminal sanctions. In addition to other federal and state laws that protect the privacy and security of consumers’ personal information, we may be subject to enforcement and interpretations by various governmental authorities and courts resulting in complex compliance issues. Moreover, the potential for enforcement action against us is now greater, as the U.S. Department of Health and Human Services (HHS) can take action directly against Business Associates. Thus, while we believe we are and will be in compliance with all required HIPAA standards, there is no guarantee that the government will agree. Enforcement actions can be costly and interrupt regular operations of our business. For example, we could incur damages under state laws pursuant to an action brought by a private party for the wrongful use or disclosure of consumers’ personal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Comply With Data Protection Requirements or Privacy Laws Could Increase Our Costs</w:t>
      </w:r>
      <w:r>
        <w:rPr>
          <w:rFonts w:ascii="Arial" w:cs="Arial" w:eastAsia="Arial" w:hAnsi="Arial"/>
          <w:sz w:val="18"/>
          <w:szCs w:val="18"/>
          <w:color w:val="auto"/>
        </w:rPr>
        <w:t>.</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EU has adopted a comprehensive overhaul of its data protection regime from the prior national legislative approach to a single European Economic Area Privacy Regulation called the General Data Protection Regulation (“GDPR”), which came into effect on May 25, 2018. The new EU data protection regime extends the scope of the EU data protection law to all foreign companies processing data of EU residents. It provides for a harmonization of the data protection regulations throughout the EU, thereby making it easier for non-European companies to comply with these regulations. It imposes a strict data protection compliance regime with severe penalties of up to the greater of 4% of worldwide turnover and €20 million and includes new rights such as the “portability” of personal data. Although the GDPR will apply across the EU without a need for local implementing legislation, as had been the case under the prior data protection regime, local data protection authorities will still have the ability to interpret the GDPR, which has the potential to create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2" w:name="page43"/>
    <w:bookmarkEnd w:id="42"/>
    <w:p>
      <w:pPr>
        <w:jc w:val="both"/>
        <w:spacing w:after="0" w:line="259" w:lineRule="auto"/>
        <w:rPr>
          <w:sz w:val="20"/>
          <w:szCs w:val="20"/>
          <w:color w:val="auto"/>
        </w:rPr>
      </w:pPr>
      <w:r>
        <w:rPr>
          <w:rFonts w:ascii="Arial" w:cs="Arial" w:eastAsia="Arial" w:hAnsi="Arial"/>
          <w:sz w:val="18"/>
          <w:szCs w:val="18"/>
          <w:color w:val="auto"/>
        </w:rPr>
        <w:t>inconsistencies on a country-by-country basis. We are implementing a plan to ensure compliance with these new requirements. Complying with the enhanced obligations imposed by the GDPR may result in significant costs to our business and require us to amend certain of our business practices. Further, we have no assurances that violations will not occur, particularly given the complexity of the GDPR, as well as the uncertainties that accompany new, comprehensive legislation.</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also subject to the California Consumer Privacy Act of 2018 (“CCPA”), which took effect on January 1, 2020. The CCPA imposes extensive new requirements and protections on the processing of personal data, aimed at giving California consumers more visibility and control over their personal information. Failure to comply with the CCPA or other data processing or security laws, or any changes in these laws, could adversely impact our business and our business plans. In 2020, the California residents voted the California Privacy Rights Act (the "CPRA") into law. The CPRA will impose additional data protection obligations on covered businesses, including additional consumer rights processes, limitations on data uses, new audit requirements for higher risk data, and opt outs for certain uses of sensitive data. The CPRA also created a new California data protection agency authorized to issue substantive regulations and could result in increased privacy and information security enforcement. The majority of the CPRA provisions became effective on January 1, 2023, and additional compliance investment and potential business process changes may be required. Similar laws have been proposed, and likely will be proposed, in other states and at the federal level, and if passed, such laws may have potentially conflicting requirements that would make compliance challenging.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FDA Regulation of Laboratory-Developed Tests and Genetic Testing Could Affect Demand For Our Products.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FDA has regulatory responsibility over instruments, test kits, reagents and other devices used to perform diagnostic testing by clinical laboratories. In the past, the FDA has taken the position that it has regulatory authority over laboratory-developed tests ("LDTs"), but has exercised enforcement discretion in not regulating most LDTs performed by high complexity CLIA-certified laboratories. LDTs are tests designed, developed, and performed in-house by a laboratory. Such laboratories are subject to regulation under CLIA but have not been subject to regulation by the FDA under the agency’s medical device requirements. A significant portion of the total volume of genetic or molecular testing is performed with LDTs.</w:t>
      </w:r>
    </w:p>
    <w:p>
      <w:pPr>
        <w:spacing w:after="0" w:line="17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mid-2010, the FDA announced that it would begin regulating LDTs, including laboratory developed molecular tests, and in October 2014 issued proposed guidance on the regulation of LDTs for public comment. On January 13, 2017, the FDA released a discussion paper synthesizing public comments on the 2014 draft guidance documents and outlining a possible approach to regulation of LDTs. The discussion paper has no legal status and does not represent a final version of the LDT draft guidance documents. We cannot predict what policies will be adopted with respect to regulating LDTs. FDA has been working with regulatory advocacy groups to bring forward legislative approaches specifically for in vitro diagnostic tests including LDTs. For example, in 2021, the Verifying Accurate, Leading-edge, IVCT Development ("VALID") Act was introduced to Congress and provided a framework to change IVDs and LDTs to in vitro clinical tests ("IVCTs"). The proposed regulation would give FDA oversight of LDTs once it becomes law. In 2022, the VALID Act was incorporated into the Senate user fee bill but was not included in the year-end Consolidated Appropriations Act of 2022. Absent congressional legislation to clarify FDA's authorities, the FDA may consider administrative action, such as rule making, to clarify requirements for LDT's.</w:t>
      </w:r>
    </w:p>
    <w:p>
      <w:pPr>
        <w:spacing w:after="0" w:line="16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subsidiary, DNAG, sells its DNA collection systems to certain laboratories and other customers for use with LDTs. The FDA’s increased regulation of LDTs could make it more difficult for laboratories and other customers to continue offering LDTs that involve genetic or molecular testing. This, in turn, could increase costs, delay the introduction of new LDTs and reduce demand for DNAG’s products and adversely impact our revenues.</w:t>
      </w:r>
    </w:p>
    <w:p>
      <w:pPr>
        <w:spacing w:after="0" w:line="14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2019, the Department of Justice indicted a number of telemedicine companies and cancer genetic testing laboratories for allegedly submitting fraudulent insurance claims to Medicare. A number of these companies were customers of DNAG. As a result of these activities, the FDA has issued letters to genetic testing laboratories indicating that it plans to increase oversight of this market which has caused some of these companies to stop providing testing options or to change how they are reporting the information provided by the testing. The activities have negatively affected this market and there is a risk that these enforcement actions will continue to negatively affect this market by forcing laboratories to either stop offering such services or restricting the use of such services. Such a reduction in testing could result in decreased sales of our DNA collection devices.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International Sales Create Potential Exposure Under Anti-Corruption Laws</w:t>
      </w:r>
      <w:r>
        <w:rPr>
          <w:rFonts w:ascii="Arial" w:cs="Arial" w:eastAsia="Arial" w:hAnsi="Arial"/>
          <w:sz w:val="18"/>
          <w:szCs w:val="18"/>
          <w:color w:val="auto"/>
        </w:rPr>
        <w: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 policy in place prohibiting our employees, distributors and agents from engaging in corrupt business practices, including activities prohibited by the FCPA and similar foreign laws. In 2022, approximately $37.3 million of our consolidated net revenues were generated from sales in a variety of foreign countries. These international activities subject us to the FCPA, the U.K. Bribery Act and other laws that prohibit improper payments or offers of payments to foreign governments and their officials and political parties by business entities for the purpose of obtaining or retaining business. We have operations, enter into agreements with third parties, and make sales in countries known to experience corruption. Further international expansion, including the acquisition of foreign entities,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3" w:name="page44"/>
    <w:bookmarkEnd w:id="43"/>
    <w:p>
      <w:pPr>
        <w:jc w:val="both"/>
        <w:spacing w:after="0" w:line="291" w:lineRule="auto"/>
        <w:rPr>
          <w:sz w:val="20"/>
          <w:szCs w:val="20"/>
          <w:color w:val="auto"/>
        </w:rPr>
      </w:pPr>
      <w:r>
        <w:rPr>
          <w:rFonts w:ascii="Arial" w:cs="Arial" w:eastAsia="Arial" w:hAnsi="Arial"/>
          <w:sz w:val="16"/>
          <w:szCs w:val="16"/>
          <w:color w:val="auto"/>
        </w:rPr>
        <w:t>may create increased exposure to such practices. Our activities in these countries create the risk of unauthorized payments or offers of payments by one of our employees, consultants, sales agents or distributors that could be in violation of various laws, including the FCPA, even though these parties are not always subject to our control. It is our policy to implement safeguards to discourage these practices by our employees and distributors, including employee training, contracts requiring compliance with the FCPA and similar rules, and standard reviews of our distributors. However, our existing safeguards and any future improvements may not prove to be effective, and our employees, consultants, sales agents or distributors may engage in conduct for which we might be held responsible. Violations of the FCPA and other laws may result in criminal or civil sanctions, which could be severe and we may be subject to other liabilities, which could negatively affect our reputation, business, results of operations and financial condition.</w:t>
      </w:r>
    </w:p>
    <w:p>
      <w:pPr>
        <w:spacing w:after="0" w:line="162"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Risks Relating to the Economy, Our Financial Results, Investments, Credit Facilities and Need for Financing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Experienced Losses in the Past and May Not Be Able To Again Achieve and Maintain Profitable Operations</w:t>
      </w:r>
      <w:r>
        <w:rPr>
          <w:rFonts w:ascii="Arial" w:cs="Arial" w:eastAsia="Arial" w:hAnsi="Arial"/>
          <w:sz w:val="18"/>
          <w:szCs w:val="18"/>
          <w:color w:val="auto"/>
        </w:rPr>
        <w: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experienced annual net losses during the five years prior to 2015 and again in 2020, 2021 and 2022. In addition, as of December 31, 2022, we had an accumulated deficit of $138.4 million. Even though we achieved profitability in 2015 through 2019, there can be no assurance that we will be able to achieve or sustain profitability in the future.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ability to achieve and continue profitable operations in the future will be dependent upon a number of factors including, without limitation, the following:</w:t>
      </w:r>
    </w:p>
    <w:p>
      <w:pPr>
        <w:spacing w:after="0" w:line="62" w:lineRule="exact"/>
        <w:rPr>
          <w:sz w:val="20"/>
          <w:szCs w:val="20"/>
          <w:color w:val="auto"/>
        </w:rPr>
      </w:pPr>
    </w:p>
    <w:p>
      <w:pPr>
        <w:ind w:left="1020" w:hanging="503"/>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ability to continue growing sales of our molecular collection products and related genomic and microbiome laboratory services;</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ability to produce and successfully commercialize our InteliSwab® COVID-19 Rapid Tests and compete with comparable products;</w:t>
      </w:r>
    </w:p>
    <w:p>
      <w:pPr>
        <w:spacing w:after="0" w:line="133" w:lineRule="exact"/>
        <w:rPr>
          <w:rFonts w:ascii="Arial" w:cs="Arial" w:eastAsia="Arial" w:hAnsi="Arial"/>
          <w:sz w:val="17"/>
          <w:szCs w:val="17"/>
          <w:color w:val="auto"/>
        </w:rPr>
      </w:pPr>
    </w:p>
    <w:p>
      <w:pPr>
        <w:ind w:left="1020" w:hanging="503"/>
        <w:spacing w:after="0" w:line="232"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Our ability to grow our OraQuick </w:t>
      </w:r>
      <w:r>
        <w:rPr>
          <w:rFonts w:ascii="Arial" w:cs="Arial" w:eastAsia="Arial" w:hAnsi="Arial"/>
          <w:sz w:val="18"/>
          <w:szCs w:val="18"/>
          <w:i w:val="1"/>
          <w:iCs w:val="1"/>
          <w:color w:val="auto"/>
        </w:rPr>
        <w:t>ADVANCE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HIV 1/2 test in the United States and expand sales of our OraQuick® HIV Self-Test internationally;</w:t>
      </w:r>
    </w:p>
    <w:p>
      <w:pPr>
        <w:spacing w:after="0" w:line="95"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the markets in which we operate, including changes in the prevalence of COVID-19;</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customer buying patterns or a buildup of significant quantities in our distributors’ inventories or distribution channels;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level of expenditures we are required to make in order to develop, obtain regulatory approvals for and successfully commercialize our new products;</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expand our business through the acquisition of other companies or technologies or through internal development of new or improved products;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improve manufacturing efficiencies and reduce cost of goods sold;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ability to successfully launch new products after receipt of required regulatory approvals or the acquisition of rights to those products;</w:t>
      </w:r>
    </w:p>
    <w:p>
      <w:pPr>
        <w:spacing w:after="0" w:line="140" w:lineRule="exact"/>
        <w:rPr>
          <w:rFonts w:ascii="Arial" w:cs="Arial" w:eastAsia="Arial" w:hAnsi="Arial"/>
          <w:sz w:val="16"/>
          <w:szCs w:val="16"/>
          <w:color w:val="auto"/>
        </w:rPr>
      </w:pPr>
    </w:p>
    <w:p>
      <w:pPr>
        <w:ind w:left="1020" w:right="20" w:hanging="503"/>
        <w:spacing w:after="0" w:line="27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degree to which our major distributors and customers comply with their contractual obligations, including minimum purchase commitments;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we are successful in obtaining and maintaining required regulatory approvals and registrations for our new products;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level of competition, including the degree to which competitors sell lower priced products or more attractive offerings to compete with our products;</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economic conditions in domestic or international markets, such as economic downturns, reduced demand, inflation and currency fluctuations;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achieve our revenue growth targets;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and results of patent infringement, product liability and other litigation or claims asserted by or against us.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began a strategic restructuring of our business in early 2023 by combining our Molecular Solutions and Diagnostics business units into a single commercial organization, and eliminated approximately 11% of our non-production workforce. While we believe this strategic restructuring will result in new efficiencies and a decrease in expenses, there can be no assurance that we will achieve such operational efficiencies, and our consolidated financial results may be adversely impacted as a result.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4" w:name="page45"/>
    <w:bookmarkEnd w:id="44"/>
    <w:p>
      <w:pPr>
        <w:ind w:right="80"/>
        <w:spacing w:after="0" w:line="289" w:lineRule="auto"/>
        <w:rPr>
          <w:sz w:val="20"/>
          <w:szCs w:val="20"/>
          <w:color w:val="auto"/>
        </w:rPr>
      </w:pPr>
      <w:r>
        <w:rPr>
          <w:rFonts w:ascii="Arial" w:cs="Arial" w:eastAsia="Arial" w:hAnsi="Arial"/>
          <w:sz w:val="17"/>
          <w:szCs w:val="17"/>
          <w:b w:val="1"/>
          <w:bCs w:val="1"/>
          <w:color w:val="auto"/>
        </w:rPr>
        <w:t>Recent Volatility In Capital Markets And Lower Market Prices For Our Securities May Affect Our Ability To Access New Capital Through Sales Of Shares Of Our Common Stock Or Issuance Of Indebtedness, Which May Materially Harm Our Liquidity, Limit Our Ability To Grow Our Business, Pursue Acquisitions Or Improve Our Operating Infrastructure And Restrict Our Ability To Compete In Our Markets</w:t>
      </w:r>
      <w:r>
        <w:rPr>
          <w:rFonts w:ascii="Arial" w:cs="Arial" w:eastAsia="Arial" w:hAnsi="Arial"/>
          <w:sz w:val="17"/>
          <w:szCs w:val="17"/>
          <w:b w:val="1"/>
          <w:bCs w:val="1"/>
          <w:i w:val="1"/>
          <w:iCs w:val="1"/>
          <w:color w:val="auto"/>
        </w:rPr>
        <w:t>.</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operations consume substantial amounts of cash, and we intend to continue to make significant investments to support our business growth, respond to business challenges or opportunities, develop new solutions, retain or expand our current levels of personnel, improve our existing solutions, enhance our operating infrastructure, and potentially acquire complementary businesses and technologies. Our future capital requirements may be significantly different from our current estimates and will depend on many factors, including the need to:</w:t>
      </w:r>
    </w:p>
    <w:p>
      <w:pPr>
        <w:spacing w:after="0" w:line="79" w:lineRule="exact"/>
        <w:rPr>
          <w:sz w:val="20"/>
          <w:szCs w:val="20"/>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finance unanticipated working capital requirements;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 or enhance our technological infrastructure and our existing solutions;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pursue acquisitions or other strategic relationships;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respond to competitive pressures.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Accordingly, we may need to pursue equity or debt financing to meet our capital needs. With uncertainty in the capital markets and other factors, such financing may not be available on terms favorable to us or at all.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we could face significant limitations on our ability to invest in our operations and otherwise suffer harm to our business.</w:t>
      </w:r>
    </w:p>
    <w:p>
      <w:pPr>
        <w:spacing w:after="0" w:line="17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Economic Volatility and Disruption, Including Those Related To The COVID-19 Pandemic, Could Adversely Affect Our Business, Financial Performance, Results of Operations, Cash Flow and Financial Condition or Those of Our Customers and Suppliers</w:t>
      </w:r>
      <w:r>
        <w:rPr>
          <w:rFonts w:ascii="Arial" w:cs="Arial" w:eastAsia="Arial" w:hAnsi="Arial"/>
          <w:sz w:val="18"/>
          <w:szCs w:val="18"/>
          <w:b w:val="1"/>
          <w:bCs w:val="1"/>
          <w:i w:val="1"/>
          <w:iCs w:val="1"/>
          <w:color w:val="auto"/>
        </w:rPr>
        <w:t>.</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Global and U.S. markets and economies have experienced extreme volatility and disruption following the global outbreak of COVID-19 that has continued throughout 2022. Many economists and major investment banks have expressed concern that the continued spread of the virus globally has led to a world-wide economic downturn. Volatile economic conditions may occur again or continue in the future.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the severity and duration of the COVID-19 pandemic cannot be reasonably estimated at this time, impacts that we may experience include, but are not limited to:</w:t>
      </w:r>
    </w:p>
    <w:p>
      <w:pPr>
        <w:spacing w:after="0" w:line="62" w:lineRule="exact"/>
        <w:rPr>
          <w:sz w:val="20"/>
          <w:szCs w:val="20"/>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slowdown or stoppage in the supply chain of the raw materials and components used to manufacture our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interruptions or delays in domestic and/or international shipment of our products to our distributors and customers;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interruptions in normal operations of certain end-use customers that could result in reductions in demand for our products;</w:t>
      </w:r>
    </w:p>
    <w:p>
      <w:pPr>
        <w:spacing w:after="0" w:line="117"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disruptions to our operations, including a shutdown of our facilities or product lines; restrictions on our operations and sales, marketing and distribution efforts; and interruptions to our research and development, manufacturing, clinical/regulatory and other important business activities;</w:t>
      </w:r>
    </w:p>
    <w:p>
      <w:pPr>
        <w:spacing w:after="0" w:line="75"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shutdown or interruption of our manufacturing facilities due to contamination and costs incurred to clean and disinfect a facility following contamination;</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inefficiencies and increased costs in our production and shipping processes due to premium pay for manufacturing and certain other employees as well as social distancing and personal protective equipment requirements;</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limitations on employee resources and availability, including due to sickness, government restrictions, the desire of employees to avoid contact with large groups of people or mass transit disruptions;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fluctuation in foreign currency exchange rates or interest rates could result from market uncertainties;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increase in exposure to credit losses for customers adversely affected by the COVID-19 pandemic;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5" w:name="page46"/>
    <w:bookmarkEnd w:id="45"/>
    <w:p>
      <w:pPr>
        <w:ind w:left="1020" w:hanging="503"/>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increase in regulatory restrictions or continued market volatility could hinder our ability to execute strategic business activities, including acquisitions.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These conditions could adversely affect our financial performance and condition or those of our customers and suppliers. These circumstances could also adversely affect our access to liquidity needed to conduct or expand our business or conduct future acquisitions or make other discretionary investments. Many of our customers rely on public funding provided by federal, state and local governments, and this funding has been and may continue to be reduced or deferred as a result of economic conditions or other factors. These circumstances may adversely impact our customers and suppliers, which, in turn, could adversely affect their ability to purchase and/or distribute our products or supply us with necessary equipment, raw materials or components. Any or all of these effects would have an adverse effect on our operations, business, financial condition and results of operations.</w:t>
      </w:r>
    </w:p>
    <w:p>
      <w:pPr>
        <w:spacing w:after="0" w:line="16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Although there are positive signs that COVID-19 has begun to subside as compared to the height of the pandemic, the duration of the COVID-19 pandemic is still unknown, and it is difficult to predict the full extent of potential impacts the pandemic will have in the future on our business, operations, and financial results, or on our customers, suppliers or logistics providers, or on the global economy as a whole. It is uncertain how materially the COVID-19 pandemic will affect our global operations, particularly if the effects continue or get worse over an extended period of time. Even with the improvement of economic conditions, it may take time for our customers and suppliers to establish new budgets and return to normal purchasing and shipping patterns. We cannot predict the re-occurrence of any economic slowdown or the strength or sustainability of an economic recovery.</w:t>
      </w:r>
    </w:p>
    <w:p>
      <w:pPr>
        <w:spacing w:after="0" w:line="160" w:lineRule="exact"/>
        <w:rPr>
          <w:sz w:val="20"/>
          <w:szCs w:val="20"/>
          <w:color w:val="auto"/>
        </w:rPr>
      </w:pPr>
    </w:p>
    <w:p>
      <w:pPr>
        <w:jc w:val="both"/>
        <w:ind w:right="340"/>
        <w:spacing w:after="0" w:line="289" w:lineRule="auto"/>
        <w:rPr>
          <w:sz w:val="20"/>
          <w:szCs w:val="20"/>
          <w:color w:val="auto"/>
        </w:rPr>
      </w:pPr>
      <w:r>
        <w:rPr>
          <w:rFonts w:ascii="Arial" w:cs="Arial" w:eastAsia="Arial" w:hAnsi="Arial"/>
          <w:sz w:val="17"/>
          <w:szCs w:val="17"/>
          <w:b w:val="1"/>
          <w:bCs w:val="1"/>
          <w:color w:val="auto"/>
        </w:rPr>
        <w:t>Rising Inflation Rates Could Negatively Impact Our Revenues And Profitability If Increases In The Prices Of Our Products Or A Decrease In Consumer Spending Results In Lower Sales. In Addition, If Our Costs Increase And We Are Not Able To Pass Along These Price Increases To Our Customers, Our Net Income Would Be Adversely Affected, And The Adverse Impact May Be Material.</w:t>
      </w:r>
    </w:p>
    <w:p>
      <w:pPr>
        <w:spacing w:after="0" w:line="16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Inflation rates, particularly in the United States, have increased recently to levels not seen in years. Increased inflation may result in decreased demand for our products and services, increased operating costs (including our labor costs), reduced liquidity, and limitations on our ability to access credit or otherwise raise debt and equity capital. In addition, the United States Federal Reserve has raised, and may again raise, interest rates in response to concerns about inflation. Increases in interest rates, especially if coupled with reduced government spending and volatility in financial markets, may have the effect of further increasing economic uncertainty and heightening these risks. In an inflationary environment, we may be unable to raise the sales prices of our products at or above the rate at which our costs increase, which could/would reduce our profit margins and have a material adverse effect on our financial results and net income. We also may experience lower than expected sales and potential adverse impacts on our competitive position if there is a decrease in consumer spending or a negative reaction to our pricing. A reduction in our revenue would be detrimental to our profitability and financial condition and could also have an adverse impact on our future growth.</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Impairment of Goodwill and Intangible Assets Could Reduce our Earnings</w:t>
      </w:r>
      <w:r>
        <w:rPr>
          <w:rFonts w:ascii="Arial" w:cs="Arial" w:eastAsia="Arial" w:hAnsi="Arial"/>
          <w:sz w:val="18"/>
          <w:szCs w:val="18"/>
          <w:color w:val="auto"/>
        </w:rPr>
        <w:t>.</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At December 31, 2022, our consolidated balance sheet reflected approximately $35.1 million of goodwill and approximately $11.7 million of intangible assets. Goodwill is recorded when the purchase price of a business exceeds the fair value of the tangible and separately measurable intangible net assets. U.S. generally accepted accounting principles (“U.S. GAAP”) require us to test goodwill for impairment on an annual basis or when events or circumstances occur indicating that goodwill might be impaired. Long-lived assets, such as intangible assets with finite useful lives, are reviewed for impairment whenever events or changes in circumstances indicate that the carrying amount may not be recoverable. The impairment review often cannot be done at the level of the individual asset and it must instead be applied to a group of assets. For the purpose of our annual goodwill impairment testing based on the current circumstances of how we manage or business, this group of assets is the Company as a whole. If we determine that any of our goodwill or intangible assets were impaired, we will be required to take an immediate charge to earnings and our results of operations could be adversely affected. We recognized a pre-tax impairment charge of $3.6 million during the year ended December 31, 2022, which is reported in loss on impairments in our consolidated statement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Foreign Currency Exchange Rates Could Negatively Affect Our Operating Results.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financial statements are stated in U.S. Dollars and, historically, most of our international sales have also been denominated in U.S. Dollars. As a result, in the past our exposure to foreign currency exchange rate risk has not been material. Nonetheless, these sales are subject to currency risks since changes in the values of foreign currencies relative to the value of the U.S. dollar can render our products comparatively more expensive. These exchange rate fluctuations could negatively impact international sales of our products, as could changes in the general economic conditions in those markets.</w:t>
      </w:r>
    </w:p>
    <w:p>
      <w:pPr>
        <w:spacing w:after="0" w:line="1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the revenues and expenses of our subsidiary, DNAG, are recorded in Canadian Dollars and the revenues and expenses of our subsidiary Novosanis are recorded in Euros. Revenues and expenses denominated in foreign currencies are translated into U.S.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6" w:name="page47"/>
    <w:bookmarkEnd w:id="46"/>
    <w:p>
      <w:pPr>
        <w:jc w:val="both"/>
        <w:spacing w:after="0" w:line="277" w:lineRule="auto"/>
        <w:rPr>
          <w:sz w:val="20"/>
          <w:szCs w:val="20"/>
          <w:color w:val="auto"/>
        </w:rPr>
      </w:pPr>
      <w:r>
        <w:rPr>
          <w:rFonts w:ascii="Arial" w:cs="Arial" w:eastAsia="Arial" w:hAnsi="Arial"/>
          <w:sz w:val="18"/>
          <w:szCs w:val="18"/>
          <w:color w:val="auto"/>
        </w:rPr>
        <w:t>dollars for purposes of reporting our consolidated financial results. Our expectation is that the businesses of our foreign subsidiaries will continue to grow and our exposure to foreign currency exchange rates may be more significant than in past years.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Exchange rate fluctuations may affect the revenues and expenses of our foreign subsidiaries and the translation of those financial results into U.S. dollars. Favorable movement in exchange rates have benefited us in prior periods. However, where there are unfavorable currency exchange rate fluctuations, our consolidated financial statements including our balance sheet, revenues and results of operations, could be negatively affected. In addition, fluctuations in exchange rates could affect year-to-year comparability of operating results. In the past, we have not generally entered into hedging instruments to manage our currency exchange rate risk, but we may need to do so in the future. However, our attempts to hedge against these risks may not be successful. If we are unable to successfully hedge against unfavorable foreign currency exchange rate movements, our consolidated financial results may be adversely impacted.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Relating to Our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Could Continue to be Volatile.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stock price has been volatile, has fluctuated substantially in the past, may be volatile in the future and could experience substantial declines. The following factors, among others, could have a significant impact on the market for our Common Stock:</w:t>
      </w:r>
    </w:p>
    <w:p>
      <w:pPr>
        <w:spacing w:after="0" w:line="67" w:lineRule="exact"/>
        <w:rPr>
          <w:sz w:val="20"/>
          <w:szCs w:val="20"/>
          <w:color w:val="auto"/>
        </w:rPr>
      </w:pPr>
    </w:p>
    <w:p>
      <w:pPr>
        <w:ind w:left="1020" w:right="20" w:hanging="503"/>
        <w:spacing w:after="0" w:line="244"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performance of our business, including our efforts to increase sales of our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HIV, HCV and Molecular Solutions products and our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In-Home HIV test and HIV Self-Test;</w:t>
      </w:r>
    </w:p>
    <w:p>
      <w:pPr>
        <w:spacing w:after="0" w:line="2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efforts to expand sales of our genomic and microbiome laboratory service offerings;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efforts to produce and commercialize our InteliSwab Covid-19 Rapid Tests;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Future announcements concerning us and our products or services, including with respect to significant acquisitions, strategic collaborations and joint ventures;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Ability to achieve the expected benefits, enhanced revenue growth and synergies from strategic acquisitions;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Clinical results with respect to our products or services or those of our competitors;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status of clinical studies and pending submissions for required regulatory approvals;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announcement of regulatory or enforcement actions by the FDA or other agencies against us, our products or services, or one or more of our customers;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gain or loss of significant contracts and availability of funding for the purchase of our products and services;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in the development, regulatory approval or commercialization of new or enhanced products or services;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Legislative developments and industry or competitive trends;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Biological or medical discoveries;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Disputes or developments with key customers, distributors or suppliers;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Developments in patent or other proprietary rights;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Litigation or threatened litigation;</w:t>
      </w:r>
    </w:p>
    <w:p>
      <w:pPr>
        <w:spacing w:after="0" w:line="117"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Complaints or concerns about the performance or safety of our products and publicity about those issues, including publicity expressed through social media or otherwise over the internet;</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achieve, or changes in, financial estimates by securities analysts and comments or opinions about us by securities analysts or major stockholders;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Governmental regulation;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level of competition;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 of or declines in sales to major distributors or customers or changes in the mix of products sold;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Period-to-period fluctuations in our operating results;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market and economic conditions;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7" w:name="page48"/>
    <w:bookmarkEnd w:id="47"/>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Terrorist attacks, civil unrest, war and national disasters, including pandemics.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the stock market in general has experienced extreme price and volume fluctuations that have affected the market price of our Common Stock, as well as the stock of many companies in the diagnostics and life sciences industries. Often, price fluctuations are unrelated to the operating performance of the specific companies whose stock is affected.</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past, following periods of volatility in the market price of a company’s stock, securities class action litigation has occurred against the issuing company. If we were subject to this type of litigation in the future, we could incur substantial costs and experience a subsequent diversion of our management’s attention and resources, each of which could have a material adverse effect on our revenue and earnings. Any adverse determination in this type of litigation could also subject us to significant liabilities.</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Future Sales of Our Common Stock by Existing Stockholders, Executive Officers or Directors Could Depress the Market Price of Our Common Stock and Make It More Difficult For Us to Sell Stock in the Future.</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Sales of our Common Stock in the public market, or the perception that such sales may occur, could negatively impact the market price of our Common Stock. We are unable to estimate the number of shares of our Common Stock that may actually be resold in the public market since this will depend on the market price for our Common Stock, the individual circumstances of the sellers and other factors.</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a number of institutional stockholders that own significant blocks of our Common Stock. If one or more of these stockholders sell large portions of their holdings in a relatively short time, for liquidity or other reasons, the prevailing market price of our Common Stock could be negatively affected. In addition, it is possible that one or more of our executive officers or non-employee members of our Board of Directors could sell shares of our Common Stock during an open trading window or pursuant to a 10b5-1 sales plan under our Insider Trading Policy. These transactions and the perceived reasons for these transactions could have a negative effect on the prevailing market price of our Common Stock.</w:t>
      </w:r>
    </w:p>
    <w:p>
      <w:pPr>
        <w:spacing w:after="0" w:line="17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Because We Do Not Intend to Pay Cash Dividends on Our Common Stock, an Investor in Our Common Stock Will Benefit Only if Our Common Stock Appreciates in Value.</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currently intend to retain our current earnings and future earnings, if any, to finance the expansion of our business and do not expect to pay any cash dividends on our Common Stock in the foreseeable future. As a result, the success of an investment in our Common Stock will depend entirely upon any future appreciation. There is no guarantee that our Common Stock will appreciate in value or even maintain the price at which investors purchased their shares.</w:t>
      </w:r>
    </w:p>
    <w:p>
      <w:pPr>
        <w:spacing w:after="0" w:line="18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Certain Provisions in Our Certificate of Incorporation and Bylaws and Under Delaware Law Could Make a Third-Party Acquisition of Us Difficult.</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Certificate of Incorporation and Bylaws contain provisions that could make it more difficult for a third party to acquire us, even if doing so would be beneficial to our stockholders. We are also subject to certain provisions of Delaware law that could delay, deter or prevent a change in control of us. These provisions could limit the price investors might be willing to pay in the future for shares of our Common Stock.</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Face Product Liability Claims for Injuries Resulting From the Use of Our Products.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be held liable if any of our products, or any product which is made with the use or incorporation of any of our technologies, causes injury of any type or is found otherwise unsuitable during product testing, manufacturing, marketing, sale or usage. There is no assurance that we would be successful in defending any product liability lawsuits brought against us. Moreover, there is no assurance that our products will not be included in unethical, illegal or inappropriate research or applications, which may in turn put us at risk of litigation. Regardless of merit or eventual outcome, product liability claims could result in:</w:t>
      </w:r>
    </w:p>
    <w:p>
      <w:pPr>
        <w:spacing w:after="0" w:line="80" w:lineRule="exact"/>
        <w:rPr>
          <w:sz w:val="20"/>
          <w:szCs w:val="20"/>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Decreased demand for our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Lost revenues;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Damage to our image or reputation;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Costs related to litigation;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product liability insurance costs;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8" w:name="page49"/>
    <w:bookmarkEnd w:id="48"/>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Diversion of management time and attention;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Incurrence of damages payable to plaintiffs.</w:t>
      </w:r>
    </w:p>
    <w:p>
      <w:pPr>
        <w:spacing w:after="0" w:line="230"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We are selling the InteliSwab</w:t>
      </w:r>
      <w:r>
        <w:rPr>
          <w:rFonts w:ascii="Arial" w:cs="Arial" w:eastAsia="Arial" w:hAnsi="Arial"/>
          <w:sz w:val="21"/>
          <w:szCs w:val="21"/>
          <w:color w:val="auto"/>
          <w:vertAlign w:val="superscript"/>
        </w:rPr>
        <w:t>®</w:t>
      </w:r>
      <w:r>
        <w:rPr>
          <w:rFonts w:ascii="Arial" w:cs="Arial" w:eastAsia="Arial" w:hAnsi="Arial"/>
          <w:sz w:val="16"/>
          <w:szCs w:val="16"/>
          <w:color w:val="auto"/>
        </w:rPr>
        <w:t xml:space="preserve"> COVID-19 Rapid Test and the OraQuick</w:t>
      </w:r>
      <w:r>
        <w:rPr>
          <w:rFonts w:ascii="Arial" w:cs="Arial" w:eastAsia="Arial" w:hAnsi="Arial"/>
          <w:sz w:val="21"/>
          <w:szCs w:val="21"/>
          <w:color w:val="auto"/>
          <w:vertAlign w:val="superscript"/>
        </w:rPr>
        <w:t>®</w:t>
      </w:r>
      <w:r>
        <w:rPr>
          <w:rFonts w:ascii="Arial" w:cs="Arial" w:eastAsia="Arial" w:hAnsi="Arial"/>
          <w:sz w:val="16"/>
          <w:szCs w:val="16"/>
          <w:color w:val="auto"/>
        </w:rPr>
        <w:t xml:space="preserve"> In-Home HIV test in the United States OTC market, and we offer HIV Self-Tests to consumers internationally. We believe the sale of products for use by consumers increases our potential exposure to product liability and other claims.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of Our Products May Affect Our Revenues, Stock Price and Reputation.</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products are generally sold with labeling that contains performance claims approved or cleared by the FDA or other regulators. However, our products may not perform as expected. For example, a defect in one of our diagnostic or specimen collection products or a failure by a customer to follow proper testing procedures, may cause the product to report inaccurate information such as a false positive result or a false negative result. A false positive or negative result can also occur even when there is no apparent product defect and the customer has apparently used our product properly. Identifying the root cause of a product performance or quality issue can be difficult and time consuming.</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our products fail to perform in accordance with the applicable label claims or otherwise in accordance with the expectations or needs of our customers, customers may switch to a competing product or otherwise stop using our products, and our revenues could be adversely affected. Under such circumstances, we may be required to implement shipment holds or product recalls and incur warranty obligations, which would increase our costs. In addition, poor performance by one or more of our products and publicity surrounding such performance could have an adverse effect on our reputation, our continuing ability to sell products and the prevailing market price of our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Sell Products Could be Adversely Affected by Competition From New and Existing Products and Services.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markets we serve are highly competitive and rapidly changing and we expect competition to intensify as technological advances are made and become more widely known, and as new products and services reach the market. Many of our principal competitors have considerably greater financial, technical and marketing resources than we do. As new products and services enter the market, our products and services may become obsolete or a competitor’s products and services may be more effective or attractive or more effectively marketed and sold than ours. In addition, there can be no assurance that our competitors will not succeed in obtaining regulatory approval for new products and services that would render our technologies, products and services obsolete or otherwise commercially unattractive, or introduce or commercialize such products and services before we can do so. If we fail to convince our customers of the advantages and economic value of our products and services or otherwise maintain and enhance our competitive position, our customers may decide to use products and services developed by competitors which could result in a loss of revenues. These developments could have a material adverse effect on our business, financial condition and results of operations.</w:t>
      </w:r>
    </w:p>
    <w:p>
      <w:pPr>
        <w:spacing w:after="0" w:line="181"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We also face competition from products that are sold at a lower price. Where this occurs, customers may choose to buy lower cost products from third parties or we may be forced to sell our products at a lower price, both of which could result in a loss of revenues or a lower gross margin contribution from the sale of our products. We may also be required to increase our marketing efforts in order to compete effectively, which would increase our costs.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Achieve Our Financial and Strategic Objectives Could Have a Material Adverse Impact on Our Business Prospects.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a result of any number of risk factors identified in this Annual Report, no assurance can be given that we will be successful in implementing our financial and strategic objectives, including our efforts to increase sales of our products and services or continue growing our business. In addition, the funds for research, clinical development and other projects have in the past come primarily from our business operations. If our business slows and we have less money available to fund research and development and clinical programs, we will have to decide at that time which programs to cut, and by how much. Similarly, if adequate financial, personnel, equipment or other resources are not available, we may be required to delay or scale back our business. Our operations will be adversely affected if our total revenue and gross profits do not correspondingly increase or if our technology, product, service, clinical and market development efforts are unsuccessful or delayed. Furthermore, our failure to successfully introduce new or enhanced products and services and develop new markets could have a material adverse effect on our business and prospects.</w:t>
      </w:r>
    </w:p>
    <w:p>
      <w:pPr>
        <w:spacing w:after="0" w:line="17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If We Fail To Establish and Maintain Proper And Effective Internal Control Over Financial Reporting, Our Operating Results and Our Ability to Operate Our Business Could Be Harmed.</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Ensuring that we have adequate internal financial and accounting controls and procedures in place so that we can produce accurate financial statements on a timely basis is a costly and time-consuming effort that needs to be re-evaluated frequently. We are required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9" w:name="page50"/>
    <w:bookmarkEnd w:id="49"/>
    <w:p>
      <w:pPr>
        <w:jc w:val="both"/>
        <w:spacing w:after="0" w:line="268" w:lineRule="auto"/>
        <w:rPr>
          <w:sz w:val="20"/>
          <w:szCs w:val="20"/>
          <w:color w:val="auto"/>
        </w:rPr>
      </w:pPr>
      <w:r>
        <w:rPr>
          <w:rFonts w:ascii="Arial" w:cs="Arial" w:eastAsia="Arial" w:hAnsi="Arial"/>
          <w:sz w:val="17"/>
          <w:szCs w:val="17"/>
          <w:color w:val="auto"/>
        </w:rPr>
        <w:t>comply with the requirements of The Sarbanes-Oxley Act of 2002, or SOX, which requires that we maintain effective internal control over financial reporting and disclosure controls and procedures. In particular, we must perform system and process evaluation, document our controls and perform testing of our key control over financial reporting to allow management and our independent public accounting firm to report on the effectiveness of our internal control over financial reporting, as required by Section 404 of SOX. Our testing, or the subsequent testing by our independent public accounting firm, may reveal deficiencies in our internal control over financial reporting that are deemed to be material weaknesses. For instance, during the quarter ended December 31, 2022, management identified and remediated a material weakness in internal control over financial reporting related to user access controls to adequately restrict user and privileged access over certain information technology systems that support our financial reporting processes and to ensure appropriate segregation of duties. While no misstatement arose as a result of this deficiency, if we are not able to comply with the requirements of Section 404 in a timely manner, or if we or our accounting firm identify deficiencies in our internal control over financial reporting that are deemed to be material weaknesses, the market price of our stock would likely decline and we could be subject to lawsuits, sanctions or investigations by regulatory authorities, which would require additional financial and management resources. Additionally, any failure to maintain the adequacy of our internal controls could prevent us from accurately reporting our financial results, which could result in investors losing confidence in the accuracy of our financial statements and reporting systems and our stock price could decline.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Lose Our Key Personnel or Are Unable to Attract and Retain Qualified Personnel as Necessary, Our Business Could be Harmed.</w:t>
      </w:r>
    </w:p>
    <w:p>
      <w:pPr>
        <w:spacing w:after="0" w:line="2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success depends to a large extent upon the contributions of our executive officers, management and sales, marketing, operations and scientific staff. Our business may be harmed by the loss of a significant number of our executive officers or senior managers. We may not be able to attract or retain a sufficient number of qualified employees in the future due to the intense competition for qualified personnel among medical products, laboratory services and other life science businesses. Our ability to recruit such employees will depend on a number of factors, including compensation, benefits, work location, the prospects of our Company, and the possibility for advancement within our organization. We generally do not enter into employment agreements requiring our employees to work for us for any specified period.</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are not able to attract and retain the necessary personnel to accomplish our business objectives, we may experience constraints that will adversely affect our ability to effectively produce, market and sell our products and services, to meet the demands of our strategic partners in a timely fashion, or to support research, development and clinical programs. Although we believe we will be successful in attracting and retaining qualified personnel, competition for experienced scientists and other qualified personnel from numerous companies and academic and other research institutions may limit our ability to do so on acceptable terms.</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recently experienced significant changes in our senior leadership, including the appointment of a new Chief Financial Officer and Chief Product Officer, as well as a new Interim Chief Executive Officer, who was followed by a new President and Chief Executive Officer. Although we have endeavored to implement any management and director transition in a non-disruptive manner, such transitions might impact our business, and give rise to uncertainty among our customers, investors, vendors, employees and others concerning our future direction and performance, which may materially and adversely affect our business, financial condition, results of operations and cash flows, and our ability to execute our business model.</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because certain members of our management and board of directors have served in their respective capacities for only limited durations, we face the additional risks that these persons have limited familiarity with our past practices, our business and our industry and lack established track records in managing our business strategy.</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have recently experienced turnover in other key leadership roles. Any future changes to the executive management team, including hires or departures, could cause further disruption to the business and have a negative impact on operating performance, while these operational areas are in transition. We can provide no assurance that we will find suitable successors to key roles as transitions occur or that any identified successor will be successfully integrated into our management team.</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Our Essential Employees Who Are Unable To Telework Become Ill or Otherwise Incapacitated, Our Operations May Be Adversely Impacted.</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a medical device manufacturer, we fall within a “critical essential infrastructure” sector, specifically the “Healthcare/Public Health” sector, and are considered exempt under various stay at home/shelter in place orders. Accordingly, our employees may continue to work because of the importance of our operations to the health and well-being of citizens in the states in which we operate. Consistent with these Stay at Home Orders, we have implemented telework policies wherever possible for appropriate categories of “nonessential” employees. “Essential” employees that are unable to telework continue to work at our facilities, and we have implemented appropriate safety measures, including social distancing, face covering and increased sanitation standards. We are following guidance from the Center for Disease Control and the Occupational Safety and Health Administration regarding suspension of nonessential travel, self-isolation recommendations for employees returning from certain geographic areas, confirmed reports of any COVID-19 diagnosis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0" w:name="page51"/>
    <w:bookmarkEnd w:id="50"/>
    <w:p>
      <w:pPr>
        <w:jc w:val="both"/>
        <w:spacing w:after="0" w:line="272" w:lineRule="auto"/>
        <w:rPr>
          <w:sz w:val="20"/>
          <w:szCs w:val="20"/>
          <w:color w:val="auto"/>
        </w:rPr>
      </w:pPr>
      <w:r>
        <w:rPr>
          <w:rFonts w:ascii="Arial" w:cs="Arial" w:eastAsia="Arial" w:hAnsi="Arial"/>
          <w:sz w:val="17"/>
          <w:szCs w:val="17"/>
          <w:color w:val="auto"/>
        </w:rPr>
        <w:t>among our employees, and the return of such employees to our workplace. Pursuant to updated guidance from the Equal Employment Opportunity Commission, we are engaging in limited and appropriate inquiries of employees regarding potential COVID-19 exposure, based on the direct threat that such exposure may present to our workforce. We continue to address other unique situations that arise among our workforce due to the COVID-19 pandemic on a case-by-case basis. While we believe that we have taken appropriate measures to ensure the health and well-being of our “essential” employees, there can be no assurances that our measures will be sufficient to protect our employees in our workplace or that they may otherwise be exposed to COVID-19 outside of our workplace. If a number of our essential employees become ill, incapacitated or are otherwise unable to continue working during the current or any future epidemic, our operations may be adversely impacted.</w:t>
      </w:r>
    </w:p>
    <w:p>
      <w:pPr>
        <w:spacing w:after="0" w:line="17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Increases in Demand for Our Products and Services Could Require Us to Expend Considerable Resources or Harm Our Customer Relationships if We Are Unable to Meet That Demand.</w:t>
      </w:r>
    </w:p>
    <w:p>
      <w:pPr>
        <w:spacing w:after="0" w:line="1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If we experience significant or unexpected increases in the demand for our products and services, we and our suppliers may not be able to meet that demand without expending additional capital resources. These capital resources could involve the cost of new products, machinery or new manufacturing or laboratory facilities. This would increase our capital costs, which could adversely affect our earnings. Our suppliers may be unable or unwilling to expend the necessary capital resources or otherwise expand their capacity. In addition, new manufacturing or laboratory equipment and facilities may require FDA approval or government or industry certification before they can be used to manufacture our products or provide laboratory services. To the extent we are unable to obtain or are delayed in obtaining such approvals, our ability to meet the demand for our products and services could be adversely affected.</w:t>
      </w:r>
    </w:p>
    <w:p>
      <w:pPr>
        <w:spacing w:after="0" w:line="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we are unable to develop necessary manufacturing or laboratory capabilities in a timely manner, our sales could be adversely affected. If we fail to increase these capabilities in a cost effective manner or if we experience lower than anticipated yields or production or performance problems as a result of changes that we make in our manufacturing or laboratory processes to meet increased demand, we could experience delays or interruptions and increased costs, which could also have a material adverse effect on our revenues and profitability.</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Unexpected increases in demand for our products may require us to obtain additional raw materials in order to manufacture products to meet the demand. Some raw materials require significant ordering lead time and some are currently obtained from a sole supplier or a limited group of suppliers. We have long-term supply agreements with certain of these suppliers, but these long-term agreements involve risks for us, such as our potential inability to obtain an adequate supply of raw materials and components and our reduced control over pricing, quality and timely delivery. It is also possible that one or more of these suppliers may become unwilling or unable to deliver materials to us. Any shortfall in our supply of raw materials and components, or our inability to quickly and cost-effectively obtain alternative sources for this supply, could have a material adverse effect on our ability to meet increased demand for our products. This could negatively affect our total revenues or cost of sales and related profits.</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inability to meet customer demand for our products and services could also harm our customer relationships and impair our reputation within the industry. This, in turn, could have a material adverse effect on our business and prospects.</w:t>
      </w:r>
    </w:p>
    <w:p>
      <w:pPr>
        <w:spacing w:after="0" w:line="16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Rely on Information Technology in Our Operations and Any Material Failure, Inadequacy, Interruption or Security Breach of that Technology Could Harm Our Ability to Efficiently Operate Our Business.</w:t>
      </w:r>
    </w:p>
    <w:p>
      <w:pPr>
        <w:spacing w:after="0" w:line="16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rely heavily on enterprise resource planning and other complex information technology systems across our operations and on the internet, including for management of inventory, processing and analyzing laboratory specimens, purchase orders, invoices, shipping, revenue and expense accounting, online business, consumer call support, and various other processes and transactions. Our ability to effectively manage our business, coordinate the production, distribution and sale of our products, process and analyze specimens in our laboratories, respond to customer inquiries, and ensure the timely and accurate recording and disclosure of financial information depends significantly on the reliability and capacity of these systems and the internet.</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failure of any of the foregoing systems to operate effectively, problems with transitioning to upgraded or replacement systems, or disruptions in the operation of the internet, could cause delays in product sales or the provision of laboratory services and reduced efficiency of our operations. Significant expenditures could be required to remediate any such problem.</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Security Breaches and Other Disruptions Could Compromise Our Information, Expose Us To Liability and Harm Our Reputation and Business.</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the ordinary course of our business, we collect and store sensitive data, including intellectual property, personal information, our proprietary business information and that of our customers, suppliers and business partners, and personally identifiable information of our employees in our data centers and on our networks. Secure maintenance and transmission of this information is critical to our operations business strategy. We generally rely on commercially available systems, software, tools and domestically available monitoring to provide security for processing, transmitting and storing this sensitive date.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1" w:name="page52"/>
    <w:bookmarkEnd w:id="51"/>
    <w:p>
      <w:pPr>
        <w:jc w:val="both"/>
        <w:spacing w:after="0" w:line="279" w:lineRule="auto"/>
        <w:rPr>
          <w:sz w:val="20"/>
          <w:szCs w:val="20"/>
          <w:color w:val="auto"/>
        </w:rPr>
      </w:pPr>
      <w:r>
        <w:rPr>
          <w:rFonts w:ascii="Arial" w:cs="Arial" w:eastAsia="Arial" w:hAnsi="Arial"/>
          <w:sz w:val="17"/>
          <w:szCs w:val="17"/>
          <w:color w:val="auto"/>
        </w:rPr>
        <w:t>Cyber-attacks could result in unauthorized access to our computer systems or our third party IT service provider’s systems and, if successful, misappropriate personal or confidential information. We have been victimized by a spear phishing attack, and such attacks are an ongoing threat. If successful, these activities could lead to the disclosure of intellectual property or personally identifiable information, which could lead to financial harm and cause reputational damage. We have taken additional steps designed to improve the security of our networks and computer systems.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a contractor or other third party with whom we do business may attempt to circumvent our security measures or obtain such information, and may purposefully or inadvertently cause a breach involving sensitive information. While we will continue to evaluate and implement additional protective measures to reduce the risk and detect cyber incidents, cyberattacks are becoming more sophisticated and frequent and the techniques used in such attacks change rapidly. Despite our cybersecurity measures (including employee and third party training, monitoring of networks and systems and maintenance of back up of protective systems) which are continuously reviewed and upgraded, our information technology networks and infrastructure may still be vulnerable to damage, disruptions or shutdowns due to attack by hackers or breaches, voyeur or malfeasance.</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Even the most well protected IT networks, systems and facilities remain potentially vulnerable because the techniques used in attempted security breaches are continually evolving and generally are not recognized until launched against a target or, in some cases, are designed not to be detected and, in fact, may not be detected. Any such compromise of our or our third party’s IT service providers’ data security and access, public disclosure, or loss of personal or confidential business information, could result in legal claims and proceedings, liability under laws to protect privacy of personal information, and regulatory penalties, and could disrupt our operations, require significant management attention and resources to remedy any damages that result, and damage our reputation and customers willingness to transact business with us, any of which could adversely affect our business.</w:t>
      </w:r>
    </w:p>
    <w:p>
      <w:pPr>
        <w:spacing w:after="0" w:line="16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our activities continue to evolve and expand, we may be subject to additional laws which impose further restrictions on the transfer, access, use, and disclosure of health and other personal information which may impact our business either directly or indirectly. Our failure to comply with applicable privacy or security laws or significant changes in these laws could significantly impact our business and future business plans.</w:t>
      </w:r>
    </w:p>
    <w:p>
      <w:pPr>
        <w:spacing w:after="0" w:line="16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Federal and State Laws Pertaining to Healthcare Fraud and Abuse Could Adversely Affect Our Business, Financial Condition and Results of Operations.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subject to various federal and state laws targeting fraud and abuse in the healthcare industry, including anti-kickback laws, false claims laws, laws constraining the sales, marketing and promotion of medical devices by limiting the kinds of financial arrangements that manufacturers of these products may enter into with physicians, hospitals, laboratories and other potential purchasers of medical devices, and laws requiring the reporting of certain transactions between manufacturers and healthcare professionals. Violations of these laws are punishable by criminal or civil sanctions, including substantial fines, imprisonment and exclusion from participation in government healthcare programs such as Medicare and Medicaid. Many of the existing requirements have not been definitively interpreted by state authorities or courts, and available guidance is limited. Unless and until we are in full compliance with these laws, we could face enforcement action and fines and other penalties, and could receive adverse publicity, all of which could materially harm our business. In addition, changes in or evolving interpretations of these laws, regulations, or administrative or judicial interpretations, may require us to change our business practices or subject our business practices to legal challenges, which could have a material adverse effect on our business,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Fluctuations in Our Financial Results or Fail to Meet Our Financial Projections.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operating results can fluctuate from quarter to quarter and year to year, which could cause our growth or financial performance to fall below the expectations of investors and securities analysts. Our financial projections for future periods are based on a number of assumptions, including estimated demand for our products. However, sales to our distributors and other customers may fall short of expectations because of lower than estimated demand or other factors, including continued volatility and disruption in economic conditions, increasing competition, seasonal fluctuations, changes in ordering patterns or business strategy, reduced governmental funding and other circumstances described elsewhere in this Annual Report. Infrequent, unusual or unexpected changes in revenues or costs could also contribute to the variability of our financial results.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Customers in certain of the markets we serve often submit a high percentage of purchase orders in the third month of a calendar quarter. Although this can vary from quarter to quarter, many customers make purchase decisions late in a quarter due to budgetary or financial requirements. In addition, certain governmental customers must fully spend budgeted funds by the end of their fiscal year or risk losing these funds, which can contribute to fluctuations in our sales from year-to-year. This can make it difficult to accurately forecast whether we will achieve our quarterly sales forecasts and can cause variability in our operating results.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2" w:name="page53"/>
    <w:bookmarkEnd w:id="52"/>
    <w:p>
      <w:pPr>
        <w:jc w:val="both"/>
        <w:spacing w:after="0" w:line="286" w:lineRule="auto"/>
        <w:rPr>
          <w:sz w:val="20"/>
          <w:szCs w:val="20"/>
          <w:color w:val="auto"/>
        </w:rPr>
      </w:pPr>
      <w:r>
        <w:rPr>
          <w:rFonts w:ascii="Arial" w:cs="Arial" w:eastAsia="Arial" w:hAnsi="Arial"/>
          <w:sz w:val="17"/>
          <w:szCs w:val="17"/>
          <w:color w:val="auto"/>
        </w:rPr>
        <w:t>In addition, our products provide different contributions to our gross margin. Accordingly, our operating results could also fluctuate and be affected by the mix of products sold and the relative prices and gross margin contribution of those products. Failure to achieve operating results consistent with the expectations of investors and securities analysts could adversely affect our reputation and the price of our Common Stock.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Require Future Additional Capital.</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Our future liquidity and ability to meet our future capital requirements will depend on numerous factors, including, but not limited to, the following:</w:t>
      </w:r>
    </w:p>
    <w:p>
      <w:pPr>
        <w:spacing w:after="0" w:line="129" w:lineRule="exact"/>
        <w:rPr>
          <w:sz w:val="20"/>
          <w:szCs w:val="20"/>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costs, scope and timing of strategic acquisitions;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costs and timing of expansion of sales and marketing activities;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timing and success of the commercial launch of new products or services;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extent to which we gain or expand market acceptance for existing, new or enhanced products and services;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costs and timing of the expansion of our manufacturing and laboratory capacity;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success of our research and product development efforts;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time, cost and degree of success of conducting clinical trials and obtaining regulatory approvals;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magnitude of capital expenditures;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existing and potential relationships with distributors and other business partners;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costs involved in obtaining and enforcing patents, proprietary rights and necessary licenses;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costs and liability associated with patent infringement or other types of litigation;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Competing technological and market developments.</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If additional financing is needed, we may seek to raise funds through the sale of equity or other securities or through bank borrowings. There can be no assurance that financing through the sale of securities, bank borrowings or otherwise will be available to us on satisfactory terms, or at all.</w:t>
      </w:r>
    </w:p>
    <w:p>
      <w:pPr>
        <w:spacing w:after="0" w:line="14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Terrorist Attacks, Natural Disasters, Public Health Crises, Political Unrest or Other Catastrophic Events Outside of Our Control May Adversely Affect Our Business.</w:t>
      </w:r>
    </w:p>
    <w:p>
      <w:pPr>
        <w:spacing w:after="0" w:line="16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Terrorist attacks, natural disasters, including disasters attributable to climate change impacts, public health crises, political unrest or other catastrophic events outside of our control, including pandemics, and subsequent governmental responses to these events, could cause economic instability. These actions could adversely affect economic conditions both within and outside the United States and reduce demand for our products. For example, the COVID-19 outbreak has led to, and for an unknown period of time will continue to lead to, disruptions in local, regional, national and global markets and economies affected thereby, including the United States. This outbreak has resulted in, and until fully resolved is likely to continue to result in, among other things: (i) restrictions on travel, government mandated social distancing measures, and the temporary closure of many corporate offices, retail stores, and manufacturing facilities and factories; (ii) significant disruption to the business of many companies, including our customers and suppliers, as well as layoffs of employees; (iii) reduction or termination by public health and other customers of infectious disease testing programs, including for HIV and HCV, and a reallocation of personnel and monetary resources from these programs to programs intended to address COVID-19; (iv) reduction or termination of clinical and research studies by academic and other entities that use our molecular collection products and laboratory services; and (v) rapidly evolving proposals and actions by state and federal governments to address the problems being experienced by markets, businesses and the economy in general, which may have unintended consequences or may not adequately address such problems. These events have disrupted, and threaten to continue to disrupt, our normal operation, the operations of our customers and suppliers and eliminate, reduce or delay our customers’ ability to purchase and use our products and our suppliers’ ability to provide raw materials and finished products. Despite our efforts to manage and mitigate the impact of these events on us, it is impossible to predict the precise nature and consequences of these events, or of any political or policy decisions and regulatory changes occasioned by emerging events or uncertainty under applicable laws or regulations that impact us. It is clear that these types of events are impacting and will, for at least some time, continue to impact our product development and operation and in many instances the impact may be adverse and may be material. Any potential impact to our results of operations will depend to a large extent on future developments and new information that could emerge regarding the duration and severity of the COVID-19 pandemic and the actions taken by authorities and other entities to contain the spread or treat its impact, all of which are beyond our control. These potential impacts, while uncertain, could adversely affect our business and results of operation. In addition, the impacts of political unrest,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3" w:name="page54"/>
    <w:bookmarkEnd w:id="53"/>
    <w:p>
      <w:pPr>
        <w:jc w:val="both"/>
        <w:spacing w:after="0" w:line="259" w:lineRule="auto"/>
        <w:rPr>
          <w:sz w:val="20"/>
          <w:szCs w:val="20"/>
          <w:color w:val="auto"/>
        </w:rPr>
      </w:pPr>
      <w:r>
        <w:rPr>
          <w:rFonts w:ascii="Arial" w:cs="Arial" w:eastAsia="Arial" w:hAnsi="Arial"/>
          <w:sz w:val="18"/>
          <w:szCs w:val="18"/>
          <w:color w:val="auto"/>
        </w:rPr>
        <w:t>including as a result geopolitical tension, such as a deterioration in the relationship between the United States and China or escalation in conflict between Russia and Ukraine, including any resulting sanctions, export controls or other restrictive actions that may be imposed by the US and/or other countries against governmental or other entities in, for example, Russia, also could lead to disruption, instability and volatility in the global markets, which may have an adverse impact on our business or ability to access the capital markets.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Various types of disasters, including earthquakes, fires, floods, riots, acts of terrorism and pandemics, may also affect our manufacturing facilities and computer systems, and increase our cybersecurity risks. Although we have business interruption insurance, our facilities, including some pieces of manufacturing equipment and our computer systems, may be difficult to replace and could require substantial replacement lead-time. In the event our existing manufacturing facilities or computer systems are affected by man-made or natural disasters, including pandemics, we may have difficulty operating our business and may be unable to manufacture products for sale or meet customer demands or sales projections. If our manufacturing operations were curtailed or shut down entirely, it would seriously harm our business. Moreover, we may incur incremental costs following an unforeseen event which could adversely affect our results of operation.</w:t>
      </w:r>
    </w:p>
    <w:p>
      <w:pPr>
        <w:spacing w:after="0" w:line="191"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The Ongoing Conflict Between Russia And Ukraine And The Related Implications Could Have A Material Adverse Effect On Our Business And Results Of Operations.</w:t>
      </w:r>
    </w:p>
    <w:p>
      <w:pPr>
        <w:spacing w:after="0" w:line="2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the ongoing military conflict between Russia and Ukraine, the United States and other countries have imposed significant sanctions on Russia and could impose even wider sanctions. Such sanctions could damage or disrupt international commerce and the global economy. We cannot predict the broader or longer-term consequences of the conflict or of the sanctions imposed to date, which could include embargoes, regional instability, geopolitical shifts, exchange rate fluctuations, financial market disruptions and economic recession. Further, the conflict could exacerbate supply chain challenges, lead to an increase in cyberattacks from Russia, affect the global price and availability of key commodities, reduce our sales and earnings or otherwise have an adverse effect on our business and results of operations.</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addition, the conflict between Russia and Ukraine may have the effect of heightening other risks disclosed in this Annual Report, any of which could materially and adversely affect our business and results of operations. Such risks include but are not limited to interruptions in the transportation channels for the manufacture and global distribution of our products, heightened inflation, depressed levels of consumer and commercial spending, disruptions to our global technology infrastructure, adverse changes in international trade policies and relations, and the inability to implement and execute our business strategy. We are currently unable to predict the extent, nature or duration of any of these occurrences.</w:t>
      </w:r>
    </w:p>
    <w:p>
      <w:pPr>
        <w:spacing w:after="0" w:line="15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Future Sales of Shares of Our Common Stock Could Adversely Affect the Trading Price of Our Common Stock and Our Ability to Raise Funds in New Equity Offerings.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Future sales of a substantial number of our shares of Common Stock or equity-related securities in the public market or privately, or the perception that such sales may occur, could adversely affect prevailing trading prices of our Common Stock, and could impair our ability to raise capital through future offerings of equity or equity-related securities. No prediction can be made as to the effect, if any, that future sales of shares of Common Stock or the availability of shares of Common Stock for future sale will have on the trading price of our Common Stock.</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own a 31,700 square foot facility that houses our primary corporate office, our sales and marketing, research and development, human resources, and regulatory and quality offices, a 48,000 square foot facility and a 33,500 square foot facility which are used for manufacturing activities, and we lease an additional 139,000 square foot manufacturing facility, which is primarily dedicated to the production of our InteliSwab</w:t>
      </w:r>
      <w:r>
        <w:rPr>
          <w:rFonts w:ascii="Arial" w:cs="Arial" w:eastAsia="Arial" w:hAnsi="Arial"/>
          <w:sz w:val="18"/>
          <w:szCs w:val="18"/>
          <w:color w:val="212529"/>
          <w:vertAlign w:val="superscript"/>
        </w:rPr>
        <w:t>®</w:t>
      </w:r>
      <w:r>
        <w:rPr>
          <w:rFonts w:ascii="Arial" w:cs="Arial" w:eastAsia="Arial" w:hAnsi="Arial"/>
          <w:sz w:val="16"/>
          <w:szCs w:val="16"/>
          <w:color w:val="auto"/>
        </w:rPr>
        <w:t xml:space="preserve"> COVID-19 Rapid Tests. Each of these facilities is located in Bethlehem, Pennsylvania. We also rent additional warehouse and distribution space on an as-needed basis, including a 70,000 square foot warehouse in Bethlehem Township, Northampton County, Pennsylvania. In November 2022, we terminated our lease for a facility in York, Pennsylvania, which was intended for use in manufacturing activities. Given the improvements in manufacturing efficiency we were able to realize at our other facilities, we determined that this additional space was not necessary. We were not required to pay termination fees. Our subsidiary, DNAG, also leases a 35,883 square foot facility in Ottawa, Canada, which is used as its primary corporate office and houses sales and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4" w:name="page55"/>
    <w:bookmarkEnd w:id="54"/>
    <w:p>
      <w:pPr>
        <w:jc w:val="both"/>
        <w:spacing w:after="0" w:line="277" w:lineRule="auto"/>
        <w:rPr>
          <w:sz w:val="20"/>
          <w:szCs w:val="20"/>
          <w:color w:val="auto"/>
        </w:rPr>
      </w:pPr>
      <w:r>
        <w:rPr>
          <w:rFonts w:ascii="Arial" w:cs="Arial" w:eastAsia="Arial" w:hAnsi="Arial"/>
          <w:sz w:val="18"/>
          <w:szCs w:val="18"/>
          <w:color w:val="auto"/>
        </w:rPr>
        <w:t>marketing, manufacturing, distribution, research and development, and regulatory and quality operations. Our other subsidiaries, Diversigen and Novosanis, also lease facilities for their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facilities described above are adequate for our current requirements.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00" w:lineRule="exact"/>
        <w:rPr>
          <w:sz w:val="20"/>
          <w:szCs w:val="20"/>
          <w:color w:val="auto"/>
        </w:rPr>
      </w:pPr>
    </w:p>
    <w:p>
      <w:pPr>
        <w:spacing w:after="0" w:line="35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From time to time, we are involved in certain legal actions arising in the ordinary course of business. In management’s opinion, the outcomes of such actions, either individually or in the aggregate, are not expected to have a material adverse effect on our future financial position or results of operations.</w:t>
      </w:r>
    </w:p>
    <w:p>
      <w:pPr>
        <w:spacing w:after="0" w:line="12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March 2021, we filed a complaint against Spectrum Solutions, LLC ("Spectrum") in the United States District Court for the Southern District of California alleging that certain saliva collection devices manufactured and sold by Spectrum infringe a patent held by DNAG. Spectrum has filed an answer to the initial complaint, asserting that its device does not infringe our patent and that our patent is invalid. In August 2021, we amended our complaint to add a second patent to this litigation. Spectrum responded to our amended complaint and asserted counterclaims for inequitable conduct and antitrust violations with respect to one of the patents in the litigation and subsequently filed a request for review of the second patent at the Patent and Trademark Office. DNAG filed a motion to dismiss Spectrum’s counterclaims in October 2021, which was denied by the Court on March 30, 2022. Expert discovery is ongoing. On November 29, 2022, the district court issued a claim construction order. On January 30, 2023, Spectrum filed a motion for summary judgment of noninfringement. We opposed the motion. Briefing is complete and the motion remains pending. The final pretrial conference is set for September 7, 2023. The Patent and Trademark Office instituted review of the second patent on February 10, 2023, scheduling a hearing for November 14, 2023.</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5" w:name="page56"/>
    <w:bookmarkEnd w:id="55"/>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800"/>
        <w:spacing w:after="0" w:line="40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Common Stock is listed for trading on the Global Select Market tier of The Nasdaq Stock Market LLC (“Nasdaq”) under the symbol “OSUR”. On February 17, 2023, there were 290 holders of record and approximately 22,603 holders in street name of our Common Stock, and the closing price of our Common Stock was $5.95 per share.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never paid any cash dividends and our Board of Directors does not anticipate paying cash dividends in the foreseeable future. We intend to retain any future earnings to provide funds for the operation and expansion of our business.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 and Retirements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center"/>
              <w:ind w:left="117"/>
              <w:spacing w:after="0"/>
              <w:rPr>
                <w:sz w:val="20"/>
                <w:szCs w:val="20"/>
                <w:color w:val="auto"/>
              </w:rPr>
            </w:pPr>
            <w:r>
              <w:rPr>
                <w:rFonts w:ascii="Arial" w:cs="Arial" w:eastAsia="Arial" w:hAnsi="Arial"/>
                <w:sz w:val="13"/>
                <w:szCs w:val="13"/>
                <w:b w:val="1"/>
                <w:bCs w:val="1"/>
                <w:color w:val="auto"/>
                <w:w w:val="89"/>
              </w:rPr>
              <w:t>Total number of</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tcPr>
          <w:p>
            <w:pPr>
              <w:jc w:val="center"/>
              <w:spacing w:after="0"/>
              <w:rPr>
                <w:sz w:val="20"/>
                <w:szCs w:val="20"/>
                <w:color w:val="auto"/>
              </w:rPr>
            </w:pPr>
            <w:r>
              <w:rPr>
                <w:rFonts w:ascii="Arial" w:cs="Arial" w:eastAsia="Arial" w:hAnsi="Arial"/>
                <w:sz w:val="13"/>
                <w:szCs w:val="13"/>
                <w:b w:val="1"/>
                <w:bCs w:val="1"/>
                <w:color w:val="auto"/>
                <w:w w:val="92"/>
              </w:rPr>
              <w:t>Maximum number (or</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jc w:val="center"/>
              <w:ind w:left="117"/>
              <w:spacing w:after="0" w:line="135" w:lineRule="exact"/>
              <w:rPr>
                <w:sz w:val="20"/>
                <w:szCs w:val="20"/>
                <w:color w:val="auto"/>
              </w:rPr>
            </w:pPr>
            <w:r>
              <w:rPr>
                <w:rFonts w:ascii="Arial" w:cs="Arial" w:eastAsia="Arial" w:hAnsi="Arial"/>
                <w:sz w:val="13"/>
                <w:szCs w:val="13"/>
                <w:b w:val="1"/>
                <w:bCs w:val="1"/>
                <w:color w:val="auto"/>
                <w:w w:val="82"/>
              </w:rPr>
              <w:t>shares purchased</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approximate dollar value)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jc w:val="center"/>
              <w:ind w:left="137"/>
              <w:spacing w:after="0" w:line="135" w:lineRule="exact"/>
              <w:rPr>
                <w:sz w:val="20"/>
                <w:szCs w:val="20"/>
                <w:color w:val="auto"/>
              </w:rPr>
            </w:pPr>
            <w:r>
              <w:rPr>
                <w:rFonts w:ascii="Arial" w:cs="Arial" w:eastAsia="Arial" w:hAnsi="Arial"/>
                <w:sz w:val="13"/>
                <w:szCs w:val="13"/>
                <w:b w:val="1"/>
                <w:bCs w:val="1"/>
                <w:color w:val="auto"/>
                <w:w w:val="88"/>
              </w:rPr>
              <w:t>as part of publicly</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of shares that may yet be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4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tcPr>
          <w:p>
            <w:pPr>
              <w:jc w:val="right"/>
              <w:ind w:right="194"/>
              <w:spacing w:after="0" w:line="126" w:lineRule="exact"/>
              <w:rPr>
                <w:sz w:val="20"/>
                <w:szCs w:val="20"/>
                <w:color w:val="auto"/>
              </w:rPr>
            </w:pPr>
            <w:r>
              <w:rPr>
                <w:rFonts w:ascii="Arial" w:cs="Arial" w:eastAsia="Arial" w:hAnsi="Arial"/>
                <w:sz w:val="13"/>
                <w:szCs w:val="13"/>
                <w:b w:val="1"/>
                <w:bCs w:val="1"/>
                <w:color w:val="auto"/>
              </w:rPr>
              <w:t>Total number of</w:t>
            </w:r>
          </w:p>
        </w:tc>
        <w:tc>
          <w:tcPr>
            <w:tcW w:w="460" w:type="dxa"/>
            <w:vAlign w:val="bottom"/>
          </w:tcPr>
          <w:p>
            <w:pPr>
              <w:spacing w:after="0"/>
              <w:rPr>
                <w:sz w:val="10"/>
                <w:szCs w:val="10"/>
                <w:color w:val="auto"/>
              </w:rPr>
            </w:pPr>
          </w:p>
        </w:tc>
        <w:tc>
          <w:tcPr>
            <w:tcW w:w="1100" w:type="dxa"/>
            <w:vAlign w:val="bottom"/>
          </w:tcPr>
          <w:p>
            <w:pPr>
              <w:jc w:val="center"/>
              <w:ind w:left="214"/>
              <w:spacing w:after="0" w:line="126" w:lineRule="exact"/>
              <w:rPr>
                <w:sz w:val="20"/>
                <w:szCs w:val="20"/>
                <w:color w:val="auto"/>
              </w:rPr>
            </w:pPr>
            <w:r>
              <w:rPr>
                <w:rFonts w:ascii="Arial" w:cs="Arial" w:eastAsia="Arial" w:hAnsi="Arial"/>
                <w:sz w:val="13"/>
                <w:szCs w:val="13"/>
                <w:b w:val="1"/>
                <w:bCs w:val="1"/>
                <w:color w:val="auto"/>
                <w:w w:val="86"/>
              </w:rPr>
              <w:t>Average price</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jc w:val="center"/>
              <w:ind w:left="137"/>
              <w:spacing w:after="0" w:line="126" w:lineRule="exact"/>
              <w:rPr>
                <w:sz w:val="20"/>
                <w:szCs w:val="20"/>
                <w:color w:val="auto"/>
              </w:rPr>
            </w:pPr>
            <w:r>
              <w:rPr>
                <w:rFonts w:ascii="Arial" w:cs="Arial" w:eastAsia="Arial" w:hAnsi="Arial"/>
                <w:sz w:val="13"/>
                <w:szCs w:val="13"/>
                <w:b w:val="1"/>
                <w:bCs w:val="1"/>
                <w:color w:val="auto"/>
                <w:w w:val="84"/>
              </w:rPr>
              <w:t>announced plans</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6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6"/>
              </w:rPr>
              <w:t>repurchased under the plans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4040" w:type="dxa"/>
            <w:vAlign w:val="bottom"/>
            <w:tcBorders>
              <w:bottom w:val="single" w:sz="8" w:color="auto"/>
            </w:tcBorders>
          </w:tcPr>
          <w:p>
            <w:pPr>
              <w:ind w:left="1840"/>
              <w:spacing w:after="0"/>
              <w:rPr>
                <w:sz w:val="20"/>
                <w:szCs w:val="20"/>
                <w:color w:val="auto"/>
              </w:rPr>
            </w:pPr>
            <w:r>
              <w:rPr>
                <w:rFonts w:ascii="Arial" w:cs="Arial" w:eastAsia="Arial" w:hAnsi="Arial"/>
                <w:sz w:val="13"/>
                <w:szCs w:val="13"/>
                <w:b w:val="1"/>
                <w:bCs w:val="1"/>
                <w:color w:val="auto"/>
              </w:rPr>
              <w:t>Period</w:t>
            </w:r>
          </w:p>
        </w:tc>
        <w:tc>
          <w:tcPr>
            <w:tcW w:w="120" w:type="dxa"/>
            <w:vAlign w:val="bottom"/>
          </w:tcPr>
          <w:p>
            <w:pPr>
              <w:spacing w:after="0"/>
              <w:rPr>
                <w:sz w:val="15"/>
                <w:szCs w:val="15"/>
                <w:color w:val="auto"/>
              </w:rPr>
            </w:pPr>
          </w:p>
        </w:tc>
        <w:tc>
          <w:tcPr>
            <w:tcW w:w="1400" w:type="dxa"/>
            <w:vAlign w:val="bottom"/>
            <w:tcBorders>
              <w:bottom w:val="single" w:sz="8" w:color="auto"/>
            </w:tcBorders>
          </w:tcPr>
          <w:p>
            <w:pPr>
              <w:jc w:val="right"/>
              <w:ind w:right="174"/>
              <w:spacing w:after="0"/>
              <w:rPr>
                <w:sz w:val="20"/>
                <w:szCs w:val="20"/>
                <w:color w:val="auto"/>
              </w:rPr>
            </w:pPr>
            <w:r>
              <w:rPr>
                <w:rFonts w:ascii="Arial" w:cs="Arial" w:eastAsia="Arial" w:hAnsi="Arial"/>
                <w:sz w:val="13"/>
                <w:szCs w:val="13"/>
                <w:b w:val="1"/>
                <w:bCs w:val="1"/>
                <w:color w:val="auto"/>
              </w:rPr>
              <w:t>shares purchased</w:t>
            </w:r>
          </w:p>
        </w:tc>
        <w:tc>
          <w:tcPr>
            <w:tcW w:w="460" w:type="dxa"/>
            <w:vAlign w:val="bottom"/>
          </w:tcPr>
          <w:p>
            <w:pPr>
              <w:spacing w:after="0"/>
              <w:rPr>
                <w:sz w:val="15"/>
                <w:szCs w:val="15"/>
                <w:color w:val="auto"/>
              </w:rPr>
            </w:pPr>
          </w:p>
        </w:tc>
        <w:tc>
          <w:tcPr>
            <w:tcW w:w="1100" w:type="dxa"/>
            <w:vAlign w:val="bottom"/>
            <w:tcBorders>
              <w:bottom w:val="single" w:sz="8" w:color="auto"/>
            </w:tcBorders>
          </w:tcPr>
          <w:p>
            <w:pPr>
              <w:jc w:val="center"/>
              <w:ind w:left="194"/>
              <w:spacing w:after="0"/>
              <w:rPr>
                <w:sz w:val="20"/>
                <w:szCs w:val="20"/>
                <w:color w:val="auto"/>
              </w:rPr>
            </w:pPr>
            <w:r>
              <w:rPr>
                <w:rFonts w:ascii="Arial" w:cs="Arial" w:eastAsia="Arial" w:hAnsi="Arial"/>
                <w:sz w:val="13"/>
                <w:szCs w:val="13"/>
                <w:b w:val="1"/>
                <w:bCs w:val="1"/>
                <w:color w:val="auto"/>
                <w:w w:val="88"/>
              </w:rPr>
              <w:t>paid per Share</w:t>
            </w:r>
          </w:p>
        </w:tc>
        <w:tc>
          <w:tcPr>
            <w:tcW w:w="2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Borders>
              <w:bottom w:val="single" w:sz="8" w:color="auto"/>
            </w:tcBorders>
          </w:tcPr>
          <w:p>
            <w:pPr>
              <w:jc w:val="center"/>
              <w:ind w:left="117"/>
              <w:spacing w:after="0"/>
              <w:rPr>
                <w:sz w:val="20"/>
                <w:szCs w:val="20"/>
                <w:color w:val="auto"/>
              </w:rPr>
            </w:pPr>
            <w:r>
              <w:rPr>
                <w:rFonts w:ascii="Arial" w:cs="Arial" w:eastAsia="Arial" w:hAnsi="Arial"/>
                <w:sz w:val="13"/>
                <w:szCs w:val="13"/>
                <w:b w:val="1"/>
                <w:bCs w:val="1"/>
                <w:color w:val="auto"/>
                <w:w w:val="88"/>
              </w:rPr>
              <w:t>or programs</w:t>
            </w:r>
          </w:p>
        </w:tc>
        <w:tc>
          <w:tcPr>
            <w:tcW w:w="1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96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3"/>
                <w:szCs w:val="13"/>
                <w:b w:val="1"/>
                <w:bCs w:val="1"/>
                <w:color w:val="auto"/>
                <w:w w:val="85"/>
              </w:rPr>
              <w:t xml:space="preserve">or programs </w:t>
            </w:r>
            <w:r>
              <w:rPr>
                <w:rFonts w:ascii="Arial" w:cs="Arial" w:eastAsia="Arial" w:hAnsi="Arial"/>
                <w:sz w:val="16"/>
                <w:szCs w:val="16"/>
                <w:b w:val="1"/>
                <w:bCs w:val="1"/>
                <w:color w:val="auto"/>
                <w:w w:val="85"/>
                <w:vertAlign w:val="superscript"/>
              </w:rPr>
              <w:t>(1, 2)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040" w:type="dxa"/>
            <w:vAlign w:val="bottom"/>
            <w:tcBorders>
              <w:bottom w:val="single" w:sz="8" w:color="CFF0FC"/>
            </w:tcBorders>
            <w:shd w:val="clear" w:color="auto" w:fill="CFF0FC"/>
          </w:tcPr>
          <w:p>
            <w:pPr>
              <w:ind w:left="20"/>
              <w:spacing w:after="0" w:line="149" w:lineRule="exact"/>
              <w:rPr>
                <w:sz w:val="20"/>
                <w:szCs w:val="20"/>
                <w:color w:val="auto"/>
              </w:rPr>
            </w:pPr>
            <w:r>
              <w:rPr>
                <w:rFonts w:ascii="Arial" w:cs="Arial" w:eastAsia="Arial" w:hAnsi="Arial"/>
                <w:sz w:val="14"/>
                <w:szCs w:val="14"/>
                <w:color w:val="auto"/>
              </w:rPr>
              <w:t>October 1, 2022 - October 31, 2022</w:t>
            </w:r>
          </w:p>
        </w:tc>
        <w:tc>
          <w:tcPr>
            <w:tcW w:w="1520" w:type="dxa"/>
            <w:vAlign w:val="bottom"/>
            <w:tcBorders>
              <w:bottom w:val="single" w:sz="8" w:color="CFF0FC"/>
            </w:tcBorders>
            <w:gridSpan w:val="2"/>
            <w:shd w:val="clear" w:color="auto" w:fill="CFF0FC"/>
          </w:tcPr>
          <w:p>
            <w:pPr>
              <w:jc w:val="right"/>
              <w:spacing w:after="0" w:line="149" w:lineRule="exact"/>
              <w:rPr>
                <w:sz w:val="20"/>
                <w:szCs w:val="20"/>
                <w:color w:val="auto"/>
              </w:rPr>
            </w:pPr>
            <w:r>
              <w:rPr>
                <w:rFonts w:ascii="Arial" w:cs="Arial" w:eastAsia="Arial" w:hAnsi="Arial"/>
                <w:sz w:val="14"/>
                <w:szCs w:val="14"/>
                <w:color w:val="auto"/>
              </w:rPr>
              <w:t>1,110</w:t>
            </w:r>
          </w:p>
        </w:tc>
        <w:tc>
          <w:tcPr>
            <w:tcW w:w="460" w:type="dxa"/>
            <w:vAlign w:val="bottom"/>
            <w:tcBorders>
              <w:bottom w:val="single" w:sz="8" w:color="CFF0FC"/>
            </w:tcBorders>
            <w:shd w:val="clear" w:color="auto" w:fill="CFF0FC"/>
          </w:tcPr>
          <w:p>
            <w:pPr>
              <w:jc w:val="right"/>
              <w:ind w:right="152"/>
              <w:spacing w:after="0"/>
              <w:rPr>
                <w:sz w:val="20"/>
                <w:szCs w:val="20"/>
                <w:color w:val="auto"/>
              </w:rPr>
            </w:pPr>
            <w:r>
              <w:rPr>
                <w:rFonts w:ascii="Arial" w:cs="Arial" w:eastAsia="Arial" w:hAnsi="Arial"/>
                <w:sz w:val="10"/>
                <w:szCs w:val="10"/>
                <w:color w:val="auto"/>
              </w:rPr>
              <w:t>(3)</w:t>
            </w:r>
          </w:p>
        </w:tc>
        <w:tc>
          <w:tcPr>
            <w:tcW w:w="1100" w:type="dxa"/>
            <w:vAlign w:val="bottom"/>
            <w:tcBorders>
              <w:bottom w:val="single" w:sz="8" w:color="CFF0FC"/>
            </w:tcBorders>
            <w:shd w:val="clear" w:color="auto" w:fill="CFF0FC"/>
          </w:tcPr>
          <w:p>
            <w:pPr>
              <w:jc w:val="right"/>
              <w:ind w:right="954"/>
              <w:spacing w:after="0" w:line="149" w:lineRule="exact"/>
              <w:rPr>
                <w:sz w:val="20"/>
                <w:szCs w:val="20"/>
                <w:color w:val="auto"/>
              </w:rPr>
            </w:pPr>
            <w:r>
              <w:rPr>
                <w:rFonts w:ascii="Arial" w:cs="Arial" w:eastAsia="Arial" w:hAnsi="Arial"/>
                <w:sz w:val="14"/>
                <w:szCs w:val="14"/>
                <w:color w:val="auto"/>
                <w:w w:val="76"/>
              </w:rPr>
              <w:t>$</w:t>
            </w:r>
          </w:p>
        </w:tc>
        <w:tc>
          <w:tcPr>
            <w:tcW w:w="280" w:type="dxa"/>
            <w:vAlign w:val="bottom"/>
            <w:tcBorders>
              <w:bottom w:val="single" w:sz="8" w:color="CFF0FC"/>
            </w:tcBorders>
            <w:shd w:val="clear" w:color="auto" w:fill="CFF0FC"/>
          </w:tcPr>
          <w:p>
            <w:pPr>
              <w:jc w:val="right"/>
              <w:spacing w:after="0" w:line="149" w:lineRule="exact"/>
              <w:rPr>
                <w:sz w:val="20"/>
                <w:szCs w:val="20"/>
                <w:color w:val="auto"/>
              </w:rPr>
            </w:pPr>
            <w:r>
              <w:rPr>
                <w:rFonts w:ascii="Arial" w:cs="Arial" w:eastAsia="Arial" w:hAnsi="Arial"/>
                <w:sz w:val="14"/>
                <w:szCs w:val="14"/>
                <w:color w:val="auto"/>
                <w:w w:val="87"/>
              </w:rPr>
              <w:t>3.97</w:t>
            </w:r>
          </w:p>
        </w:tc>
        <w:tc>
          <w:tcPr>
            <w:tcW w:w="200" w:type="dxa"/>
            <w:vAlign w:val="bottom"/>
            <w:tcBorders>
              <w:bottom w:val="single" w:sz="8" w:color="CFF0FC"/>
            </w:tcBorders>
            <w:shd w:val="clear" w:color="auto" w:fill="CFF0FC"/>
          </w:tcPr>
          <w:p>
            <w:pPr>
              <w:spacing w:after="0"/>
              <w:rPr>
                <w:sz w:val="12"/>
                <w:szCs w:val="12"/>
                <w:color w:val="auto"/>
              </w:rPr>
            </w:pPr>
          </w:p>
        </w:tc>
        <w:tc>
          <w:tcPr>
            <w:tcW w:w="118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ind w:left="20"/>
              <w:spacing w:after="0" w:line="149" w:lineRule="exact"/>
              <w:rPr>
                <w:sz w:val="20"/>
                <w:szCs w:val="20"/>
                <w:color w:val="auto"/>
              </w:rPr>
            </w:pPr>
            <w:r>
              <w:rPr>
                <w:rFonts w:ascii="Arial" w:cs="Arial" w:eastAsia="Arial" w:hAnsi="Arial"/>
                <w:sz w:val="14"/>
                <w:szCs w:val="14"/>
                <w:color w:val="auto"/>
                <w:w w:val="99"/>
              </w:rPr>
              <w:t>—</w:t>
            </w:r>
          </w:p>
        </w:tc>
        <w:tc>
          <w:tcPr>
            <w:tcW w:w="2180" w:type="dxa"/>
            <w:vAlign w:val="bottom"/>
            <w:tcBorders>
              <w:bottom w:val="single" w:sz="8" w:color="CFF0FC"/>
            </w:tcBorders>
            <w:gridSpan w:val="2"/>
            <w:shd w:val="clear" w:color="auto" w:fill="CFF0FC"/>
          </w:tcPr>
          <w:p>
            <w:pPr>
              <w:jc w:val="right"/>
              <w:spacing w:after="0" w:line="149" w:lineRule="exact"/>
              <w:rPr>
                <w:sz w:val="20"/>
                <w:szCs w:val="20"/>
                <w:color w:val="auto"/>
              </w:rPr>
            </w:pPr>
            <w:r>
              <w:rPr>
                <w:rFonts w:ascii="Arial" w:cs="Arial" w:eastAsia="Arial" w:hAnsi="Arial"/>
                <w:sz w:val="14"/>
                <w:szCs w:val="14"/>
                <w:color w:val="auto"/>
              </w:rPr>
              <w:t>11,984,720</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4040" w:type="dxa"/>
            <w:vAlign w:val="bottom"/>
            <w:vMerge w:val="restart"/>
          </w:tcPr>
          <w:p>
            <w:pPr>
              <w:ind w:left="20"/>
              <w:spacing w:after="0"/>
              <w:rPr>
                <w:sz w:val="20"/>
                <w:szCs w:val="20"/>
                <w:color w:val="auto"/>
              </w:rPr>
            </w:pPr>
            <w:r>
              <w:rPr>
                <w:rFonts w:ascii="Arial" w:cs="Arial" w:eastAsia="Arial" w:hAnsi="Arial"/>
                <w:sz w:val="14"/>
                <w:szCs w:val="14"/>
                <w:color w:val="auto"/>
              </w:rPr>
              <w:t>November 1, 2022 - November 30, 2022</w:t>
            </w:r>
          </w:p>
        </w:tc>
        <w:tc>
          <w:tcPr>
            <w:tcW w:w="1520" w:type="dxa"/>
            <w:vAlign w:val="bottom"/>
            <w:gridSpan w:val="2"/>
            <w:vMerge w:val="restart"/>
          </w:tcPr>
          <w:p>
            <w:pPr>
              <w:jc w:val="right"/>
              <w:spacing w:after="0"/>
              <w:rPr>
                <w:sz w:val="20"/>
                <w:szCs w:val="20"/>
                <w:color w:val="auto"/>
              </w:rPr>
            </w:pPr>
            <w:r>
              <w:rPr>
                <w:rFonts w:ascii="Arial" w:cs="Arial" w:eastAsia="Arial" w:hAnsi="Arial"/>
                <w:sz w:val="14"/>
                <w:szCs w:val="14"/>
                <w:color w:val="auto"/>
              </w:rPr>
              <w:t>47,823</w:t>
            </w:r>
          </w:p>
        </w:tc>
        <w:tc>
          <w:tcPr>
            <w:tcW w:w="460" w:type="dxa"/>
            <w:vAlign w:val="bottom"/>
          </w:tcPr>
          <w:p>
            <w:pPr>
              <w:jc w:val="right"/>
              <w:ind w:right="152"/>
              <w:spacing w:after="0"/>
              <w:rPr>
                <w:sz w:val="20"/>
                <w:szCs w:val="20"/>
                <w:color w:val="auto"/>
              </w:rPr>
            </w:pPr>
            <w:r>
              <w:rPr>
                <w:rFonts w:ascii="Arial" w:cs="Arial" w:eastAsia="Arial" w:hAnsi="Arial"/>
                <w:sz w:val="10"/>
                <w:szCs w:val="10"/>
                <w:color w:val="auto"/>
              </w:rPr>
              <w:t>(3)</w:t>
            </w:r>
          </w:p>
        </w:tc>
        <w:tc>
          <w:tcPr>
            <w:tcW w:w="1100" w:type="dxa"/>
            <w:vAlign w:val="bottom"/>
          </w:tcPr>
          <w:p>
            <w:pPr>
              <w:spacing w:after="0"/>
              <w:rPr>
                <w:sz w:val="10"/>
                <w:szCs w:val="10"/>
                <w:color w:val="auto"/>
              </w:rPr>
            </w:pP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w w:val="87"/>
              </w:rPr>
              <w:t>4.81</w:t>
            </w:r>
          </w:p>
        </w:tc>
        <w:tc>
          <w:tcPr>
            <w:tcW w:w="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80" w:type="dxa"/>
            <w:vAlign w:val="bottom"/>
            <w:vMerge w:val="restart"/>
          </w:tcPr>
          <w:p>
            <w:pPr>
              <w:ind w:left="20"/>
              <w:spacing w:after="0"/>
              <w:rPr>
                <w:sz w:val="20"/>
                <w:szCs w:val="20"/>
                <w:color w:val="auto"/>
              </w:rPr>
            </w:pPr>
            <w:r>
              <w:rPr>
                <w:rFonts w:ascii="Arial" w:cs="Arial" w:eastAsia="Arial" w:hAnsi="Arial"/>
                <w:sz w:val="14"/>
                <w:szCs w:val="14"/>
                <w:color w:val="auto"/>
                <w:w w:val="99"/>
              </w:rPr>
              <w:t>—</w:t>
            </w:r>
          </w:p>
        </w:tc>
        <w:tc>
          <w:tcPr>
            <w:tcW w:w="2180" w:type="dxa"/>
            <w:vAlign w:val="bottom"/>
            <w:gridSpan w:val="2"/>
            <w:vMerge w:val="restart"/>
          </w:tcPr>
          <w:p>
            <w:pPr>
              <w:jc w:val="right"/>
              <w:spacing w:after="0"/>
              <w:rPr>
                <w:sz w:val="20"/>
                <w:szCs w:val="20"/>
                <w:color w:val="auto"/>
              </w:rPr>
            </w:pPr>
            <w:r>
              <w:rPr>
                <w:rFonts w:ascii="Arial" w:cs="Arial" w:eastAsia="Arial" w:hAnsi="Arial"/>
                <w:sz w:val="14"/>
                <w:szCs w:val="14"/>
                <w:color w:val="auto"/>
              </w:rPr>
              <w:t>11,984,720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4040" w:type="dxa"/>
            <w:vAlign w:val="bottom"/>
            <w:vMerge w:val="continue"/>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4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21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4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December 1, 2022 - December 31, 2022</w:t>
            </w:r>
          </w:p>
        </w:tc>
        <w:tc>
          <w:tcPr>
            <w:tcW w:w="15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1,707</w:t>
            </w:r>
          </w:p>
        </w:tc>
        <w:tc>
          <w:tcPr>
            <w:tcW w:w="460" w:type="dxa"/>
            <w:vAlign w:val="bottom"/>
            <w:tcBorders>
              <w:bottom w:val="single" w:sz="8" w:color="CFF0FC"/>
            </w:tcBorders>
            <w:shd w:val="clear" w:color="auto" w:fill="CFF0FC"/>
          </w:tcPr>
          <w:p>
            <w:pPr>
              <w:jc w:val="right"/>
              <w:ind w:right="152"/>
              <w:spacing w:after="0"/>
              <w:rPr>
                <w:sz w:val="20"/>
                <w:szCs w:val="20"/>
                <w:color w:val="auto"/>
              </w:rPr>
            </w:pPr>
            <w:r>
              <w:rPr>
                <w:rFonts w:ascii="Arial" w:cs="Arial" w:eastAsia="Arial" w:hAnsi="Arial"/>
                <w:sz w:val="10"/>
                <w:szCs w:val="10"/>
                <w:color w:val="auto"/>
              </w:rPr>
              <w:t>(3)</w:t>
            </w:r>
          </w:p>
        </w:tc>
        <w:tc>
          <w:tcPr>
            <w:tcW w:w="110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7"/>
              </w:rPr>
              <w:t>4.96</w:t>
            </w:r>
          </w:p>
        </w:tc>
        <w:tc>
          <w:tcPr>
            <w:tcW w:w="200" w:type="dxa"/>
            <w:vAlign w:val="bottom"/>
            <w:tcBorders>
              <w:bottom w:val="single" w:sz="8" w:color="CFF0FC"/>
            </w:tcBorders>
            <w:shd w:val="clear" w:color="auto" w:fill="CFF0FC"/>
          </w:tcPr>
          <w:p>
            <w:pPr>
              <w:spacing w:after="0"/>
              <w:rPr>
                <w:sz w:val="15"/>
                <w:szCs w:val="15"/>
                <w:color w:val="auto"/>
              </w:rPr>
            </w:pPr>
          </w:p>
        </w:tc>
        <w:tc>
          <w:tcPr>
            <w:tcW w:w="11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w w:val="99"/>
              </w:rPr>
              <w:t>—</w:t>
            </w:r>
          </w:p>
        </w:tc>
        <w:tc>
          <w:tcPr>
            <w:tcW w:w="21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11,984,720</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50,640</w:t>
            </w:r>
          </w:p>
        </w:tc>
        <w:tc>
          <w:tcPr>
            <w:tcW w:w="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hanging="492"/>
        <w:spacing w:after="0" w:line="221" w:lineRule="auto"/>
        <w:tabs>
          <w:tab w:leader="none" w:pos="500" w:val="left"/>
        </w:tabs>
        <w:numPr>
          <w:ilvl w:val="0"/>
          <w:numId w:val="33"/>
        </w:numPr>
        <w:rPr>
          <w:rFonts w:ascii="Arial" w:cs="Arial" w:eastAsia="Arial" w:hAnsi="Arial"/>
          <w:sz w:val="24"/>
          <w:szCs w:val="24"/>
          <w:color w:val="auto"/>
          <w:vertAlign w:val="superscript"/>
        </w:rPr>
      </w:pPr>
      <w:r>
        <w:rPr>
          <w:rFonts w:ascii="Arial" w:cs="Arial" w:eastAsia="Arial" w:hAnsi="Arial"/>
          <w:sz w:val="18"/>
          <w:szCs w:val="18"/>
          <w:color w:val="auto"/>
        </w:rPr>
        <w:t>On August 5, 2008, our Board of Directors approved a share repurchase program pursuant to which we are permitted to acquire up to $25.0 million of outstanding shares. This share repurchase program may be discontinued at any time.</w:t>
      </w:r>
    </w:p>
    <w:p>
      <w:pPr>
        <w:spacing w:after="0" w:line="1" w:lineRule="exact"/>
        <w:rPr>
          <w:rFonts w:ascii="Arial" w:cs="Arial" w:eastAsia="Arial" w:hAnsi="Arial"/>
          <w:sz w:val="24"/>
          <w:szCs w:val="24"/>
          <w:color w:val="auto"/>
          <w:vertAlign w:val="superscript"/>
        </w:rPr>
      </w:pPr>
    </w:p>
    <w:p>
      <w:pPr>
        <w:ind w:left="500" w:hanging="492"/>
        <w:spacing w:after="0" w:line="214" w:lineRule="auto"/>
        <w:tabs>
          <w:tab w:leader="none" w:pos="500" w:val="left"/>
        </w:tabs>
        <w:numPr>
          <w:ilvl w:val="0"/>
          <w:numId w:val="33"/>
        </w:numPr>
        <w:rPr>
          <w:rFonts w:ascii="Arial" w:cs="Arial" w:eastAsia="Arial" w:hAnsi="Arial"/>
          <w:sz w:val="24"/>
          <w:szCs w:val="24"/>
          <w:color w:val="auto"/>
          <w:vertAlign w:val="superscript"/>
        </w:rPr>
      </w:pPr>
      <w:r>
        <w:rPr>
          <w:rFonts w:ascii="Arial" w:cs="Arial" w:eastAsia="Arial" w:hAnsi="Arial"/>
          <w:sz w:val="18"/>
          <w:szCs w:val="18"/>
          <w:color w:val="auto"/>
        </w:rPr>
        <w:t>This column represents the amount that remains available under the $25.0 million repurchase plan, as of the period indicated. We have made no commitment to purchase any shares under this plan.</w:t>
      </w:r>
    </w:p>
    <w:p>
      <w:pPr>
        <w:spacing w:after="0" w:line="1" w:lineRule="exact"/>
        <w:rPr>
          <w:rFonts w:ascii="Arial" w:cs="Arial" w:eastAsia="Arial" w:hAnsi="Arial"/>
          <w:sz w:val="24"/>
          <w:szCs w:val="24"/>
          <w:color w:val="auto"/>
          <w:vertAlign w:val="superscript"/>
        </w:rPr>
      </w:pPr>
    </w:p>
    <w:p>
      <w:pPr>
        <w:ind w:left="500" w:hanging="492"/>
        <w:spacing w:after="0" w:line="214" w:lineRule="auto"/>
        <w:tabs>
          <w:tab w:leader="none" w:pos="500" w:val="left"/>
        </w:tabs>
        <w:numPr>
          <w:ilvl w:val="0"/>
          <w:numId w:val="33"/>
        </w:numPr>
        <w:rPr>
          <w:rFonts w:ascii="Arial" w:cs="Arial" w:eastAsia="Arial" w:hAnsi="Arial"/>
          <w:sz w:val="24"/>
          <w:szCs w:val="24"/>
          <w:color w:val="auto"/>
          <w:vertAlign w:val="superscript"/>
        </w:rPr>
      </w:pPr>
      <w:r>
        <w:rPr>
          <w:rFonts w:ascii="Arial" w:cs="Arial" w:eastAsia="Arial" w:hAnsi="Arial"/>
          <w:sz w:val="18"/>
          <w:szCs w:val="18"/>
          <w:color w:val="auto"/>
        </w:rPr>
        <w:t>Pursuant to the OraSure Technologies, Inc. Stock Award Plan, and in connection with the vesting of restricted and performance shares, these shares were retired to satisfy minimum tax withholdings</w:t>
      </w:r>
    </w:p>
    <w:p>
      <w:pPr>
        <w:spacing w:after="0" w:line="30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performance graph set forth below shall not be deemed “soliciting material” or “filed” for purposes of Section 18 of the Securities Exchange Act of 1934, as amended (the “Exchange Act”), or otherwise subject to liability under that Section. This graph will not be deemed “incorporated by reference” into any filing under the Securities Act of 1933, as amended, or the Exchange Act, whether such filing occurs before or after the date hereof, regardless of any general incorporation language in such filing</w:t>
      </w:r>
      <w:r>
        <w:rPr>
          <w:rFonts w:ascii="Arial" w:cs="Arial" w:eastAsia="Arial" w:hAnsi="Arial"/>
          <w:sz w:val="18"/>
          <w:szCs w:val="18"/>
          <w:color w:val="auto"/>
        </w:rPr>
        <w: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graph compares the cumulative total returns to investors in the Company’s Common Stock, the Nasdaq Composite Index, the Nasdaq Biotechnology Index, and the Nasdaq Health Care Index for the period from December 31, 2017 through December 31, 2022. The graph assumes that $100 was invested on December 31, 2017 in the Company’s Common Stock and in each of the above-mentioned indices, and that all dividends, if any, were reinvested.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6" w:name="page57"/>
    <w:bookmarkEnd w:id="56"/>
    <w:p>
      <w:pPr>
        <w:jc w:val="both"/>
        <w:spacing w:after="0" w:line="254" w:lineRule="auto"/>
        <w:rPr>
          <w:sz w:val="20"/>
          <w:szCs w:val="20"/>
          <w:color w:val="auto"/>
        </w:rPr>
      </w:pPr>
      <w:r>
        <w:rPr>
          <w:rFonts w:ascii="Arial" w:cs="Arial" w:eastAsia="Arial" w:hAnsi="Arial"/>
          <w:sz w:val="18"/>
          <w:szCs w:val="18"/>
          <w:color w:val="auto"/>
        </w:rPr>
        <w:t>The Nasdaq Composite Index was chosen because it is a broad index of companies whose equity securities are traded on Nasdaq. The Nasdaq Biotechnology Index (old peer group) was historically chosen because it includes a number of our competitors. We have chosen to replace the Nasdaq Biotechnology Index with the Nasdaq Health Care Index (new peer group) because we believe it better reflects companies relevant to our current business, and we utilize the Nasdaq Health Care Index as a benchmark for compensation decisions. Furthermore, many healthcare investors look to the Nasdaq Health Care Index as an appropriate benchmark for stock performance. We will discontinue using the Nasdaq Biotechnology Index after this Annual Report. Stockholders are cautioned that the graph shows the returns to investors only as of the dates noted and may not be representative of the returns for any other past or future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149860</wp:posOffset>
            </wp:positionV>
            <wp:extent cx="5374640" cy="4465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374640" cy="4465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Fiscal year ending December 31,</w:t>
      </w:r>
    </w:p>
    <w:p>
      <w:pPr>
        <w:spacing w:after="0" w:line="27" w:lineRule="exact"/>
        <w:rPr>
          <w:sz w:val="20"/>
          <w:szCs w:val="20"/>
          <w:color w:val="auto"/>
        </w:rPr>
      </w:pPr>
    </w:p>
    <w:tbl>
      <w:tblPr>
        <w:tblLayout w:type="fixed"/>
        <w:tblInd w:w="1140" w:type="dxa"/>
        <w:tblCellMar>
          <w:top w:w="0" w:type="dxa"/>
          <w:left w:w="0" w:type="dxa"/>
          <w:bottom w:w="0" w:type="dxa"/>
          <w:right w:w="0" w:type="dxa"/>
        </w:tblCellMar>
      </w:tblPr>
      <w:tr>
        <w:trPr>
          <w:trHeight w:val="182"/>
        </w:trPr>
        <w:tc>
          <w:tcPr>
            <w:tcW w:w="3760" w:type="dxa"/>
            <w:vAlign w:val="bottom"/>
          </w:tcPr>
          <w:p>
            <w:pPr>
              <w:spacing w:after="0"/>
              <w:rPr>
                <w:sz w:val="15"/>
                <w:szCs w:val="15"/>
                <w:color w:val="auto"/>
              </w:rPr>
            </w:pPr>
          </w:p>
        </w:tc>
        <w:tc>
          <w:tcPr>
            <w:tcW w:w="700" w:type="dxa"/>
            <w:vAlign w:val="bottom"/>
            <w:tcBorders>
              <w:top w:val="single" w:sz="8" w:color="auto"/>
            </w:tcBorders>
          </w:tcPr>
          <w:p>
            <w:pPr>
              <w:ind w:left="200"/>
              <w:spacing w:after="0"/>
              <w:rPr>
                <w:sz w:val="20"/>
                <w:szCs w:val="20"/>
                <w:color w:val="auto"/>
              </w:rPr>
            </w:pPr>
            <w:r>
              <w:rPr>
                <w:rFonts w:ascii="Arial" w:cs="Arial" w:eastAsia="Arial" w:hAnsi="Arial"/>
                <w:sz w:val="14"/>
                <w:szCs w:val="14"/>
                <w:b w:val="1"/>
                <w:bCs w:val="1"/>
                <w:color w:val="auto"/>
              </w:rPr>
              <w:t>2017</w:t>
            </w:r>
          </w:p>
        </w:tc>
        <w:tc>
          <w:tcPr>
            <w:tcW w:w="880" w:type="dxa"/>
            <w:vAlign w:val="bottom"/>
            <w:tcBorders>
              <w:top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2018</w:t>
            </w:r>
          </w:p>
        </w:tc>
        <w:tc>
          <w:tcPr>
            <w:tcW w:w="900" w:type="dxa"/>
            <w:vAlign w:val="bottom"/>
            <w:tcBorders>
              <w:top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2019</w:t>
            </w:r>
          </w:p>
        </w:tc>
        <w:tc>
          <w:tcPr>
            <w:tcW w:w="880" w:type="dxa"/>
            <w:vAlign w:val="bottom"/>
            <w:tcBorders>
              <w:top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2020</w:t>
            </w:r>
          </w:p>
        </w:tc>
        <w:tc>
          <w:tcPr>
            <w:tcW w:w="880" w:type="dxa"/>
            <w:vAlign w:val="bottom"/>
            <w:tcBorders>
              <w:top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2021</w:t>
            </w:r>
          </w:p>
        </w:tc>
        <w:tc>
          <w:tcPr>
            <w:tcW w:w="900" w:type="dxa"/>
            <w:vAlign w:val="bottom"/>
            <w:tcBorders>
              <w:top w:val="single" w:sz="8" w:color="auto"/>
            </w:tcBorders>
            <w:gridSpan w:val="2"/>
          </w:tcPr>
          <w:p>
            <w:pPr>
              <w:jc w:val="right"/>
              <w:ind w:right="150"/>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r>
      <w:tr>
        <w:trPr>
          <w:trHeight w:val="237"/>
        </w:trPr>
        <w:tc>
          <w:tcPr>
            <w:tcW w:w="3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OraSure Technologies, Inc.</w:t>
            </w:r>
          </w:p>
        </w:tc>
        <w:tc>
          <w:tcPr>
            <w:tcW w:w="700" w:type="dxa"/>
            <w:vAlign w:val="bottom"/>
            <w:tcBorders>
              <w:top w:val="single" w:sz="8" w:color="auto"/>
            </w:tcBorders>
            <w:shd w:val="clear" w:color="auto" w:fill="CFF0FC"/>
          </w:tcPr>
          <w:p>
            <w:pPr>
              <w:ind w:left="180"/>
              <w:spacing w:after="0"/>
              <w:rPr>
                <w:sz w:val="20"/>
                <w:szCs w:val="20"/>
                <w:color w:val="auto"/>
              </w:rPr>
            </w:pPr>
            <w:r>
              <w:rPr>
                <w:rFonts w:ascii="Arial" w:cs="Arial" w:eastAsia="Arial" w:hAnsi="Arial"/>
                <w:sz w:val="18"/>
                <w:szCs w:val="18"/>
                <w:b w:val="1"/>
                <w:bCs w:val="1"/>
                <w:color w:val="auto"/>
                <w:w w:val="90"/>
              </w:rPr>
              <w:t>100.00</w:t>
            </w:r>
          </w:p>
        </w:tc>
        <w:tc>
          <w:tcPr>
            <w:tcW w:w="180" w:type="dxa"/>
            <w:vAlign w:val="bottom"/>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61.93</w:t>
            </w:r>
          </w:p>
        </w:tc>
        <w:tc>
          <w:tcPr>
            <w:tcW w:w="200" w:type="dxa"/>
            <w:vAlign w:val="bottom"/>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42.58</w:t>
            </w:r>
          </w:p>
        </w:tc>
        <w:tc>
          <w:tcPr>
            <w:tcW w:w="180" w:type="dxa"/>
            <w:vAlign w:val="bottom"/>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56.12</w:t>
            </w:r>
          </w:p>
        </w:tc>
        <w:tc>
          <w:tcPr>
            <w:tcW w:w="200" w:type="dxa"/>
            <w:vAlign w:val="bottom"/>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46.08</w:t>
            </w:r>
          </w:p>
        </w:tc>
        <w:tc>
          <w:tcPr>
            <w:tcW w:w="160" w:type="dxa"/>
            <w:vAlign w:val="bottom"/>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25.56</w:t>
            </w:r>
          </w:p>
        </w:tc>
        <w:tc>
          <w:tcPr>
            <w:tcW w:w="80" w:type="dxa"/>
            <w:vAlign w:val="bottom"/>
            <w:shd w:val="clear" w:color="auto" w:fill="CFF0FC"/>
          </w:tcPr>
          <w:p>
            <w:pPr>
              <w:spacing w:after="0"/>
              <w:rPr>
                <w:sz w:val="20"/>
                <w:szCs w:val="20"/>
                <w:color w:val="auto"/>
              </w:rPr>
            </w:pPr>
          </w:p>
        </w:tc>
      </w:tr>
      <w:tr>
        <w:trPr>
          <w:trHeight w:val="239"/>
        </w:trPr>
        <w:tc>
          <w:tcPr>
            <w:tcW w:w="3760" w:type="dxa"/>
            <w:vAlign w:val="bottom"/>
          </w:tcPr>
          <w:p>
            <w:pPr>
              <w:spacing w:after="0"/>
              <w:rPr>
                <w:sz w:val="20"/>
                <w:szCs w:val="20"/>
                <w:color w:val="auto"/>
              </w:rPr>
            </w:pPr>
            <w:r>
              <w:rPr>
                <w:rFonts w:ascii="Arial" w:cs="Arial" w:eastAsia="Arial" w:hAnsi="Arial"/>
                <w:sz w:val="18"/>
                <w:szCs w:val="18"/>
                <w:b w:val="1"/>
                <w:bCs w:val="1"/>
                <w:color w:val="auto"/>
              </w:rPr>
              <w:t>NASDAQ Composite</w:t>
            </w:r>
          </w:p>
        </w:tc>
        <w:tc>
          <w:tcPr>
            <w:tcW w:w="700" w:type="dxa"/>
            <w:vAlign w:val="bottom"/>
          </w:tcPr>
          <w:p>
            <w:pPr>
              <w:ind w:left="180"/>
              <w:spacing w:after="0"/>
              <w:rPr>
                <w:sz w:val="20"/>
                <w:szCs w:val="20"/>
                <w:color w:val="auto"/>
              </w:rPr>
            </w:pPr>
            <w:r>
              <w:rPr>
                <w:rFonts w:ascii="Arial" w:cs="Arial" w:eastAsia="Arial" w:hAnsi="Arial"/>
                <w:sz w:val="18"/>
                <w:szCs w:val="18"/>
                <w:b w:val="1"/>
                <w:bCs w:val="1"/>
                <w:color w:val="auto"/>
                <w:w w:val="90"/>
              </w:rPr>
              <w:t>100.00</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97.16</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132.81</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192.47</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235.15</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158.65</w:t>
            </w:r>
          </w:p>
        </w:tc>
        <w:tc>
          <w:tcPr>
            <w:tcW w:w="80" w:type="dxa"/>
            <w:vAlign w:val="bottom"/>
          </w:tcPr>
          <w:p>
            <w:pPr>
              <w:spacing w:after="0"/>
              <w:rPr>
                <w:sz w:val="20"/>
                <w:szCs w:val="20"/>
                <w:color w:val="auto"/>
              </w:rPr>
            </w:pPr>
          </w:p>
        </w:tc>
      </w:tr>
      <w:tr>
        <w:trPr>
          <w:trHeight w:val="247"/>
        </w:trPr>
        <w:tc>
          <w:tcPr>
            <w:tcW w:w="3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NASDAQ Biotechnology</w:t>
            </w:r>
          </w:p>
        </w:tc>
        <w:tc>
          <w:tcPr>
            <w:tcW w:w="700" w:type="dxa"/>
            <w:vAlign w:val="bottom"/>
            <w:shd w:val="clear" w:color="auto" w:fill="CFF0FC"/>
          </w:tcPr>
          <w:p>
            <w:pPr>
              <w:ind w:left="180"/>
              <w:spacing w:after="0"/>
              <w:rPr>
                <w:sz w:val="20"/>
                <w:szCs w:val="20"/>
                <w:color w:val="auto"/>
              </w:rPr>
            </w:pPr>
            <w:r>
              <w:rPr>
                <w:rFonts w:ascii="Arial" w:cs="Arial" w:eastAsia="Arial" w:hAnsi="Arial"/>
                <w:sz w:val="18"/>
                <w:szCs w:val="18"/>
                <w:b w:val="1"/>
                <w:bCs w:val="1"/>
                <w:color w:val="auto"/>
                <w:w w:val="90"/>
              </w:rPr>
              <w:t>100.00</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91.14</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114.02</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144.15</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144.18</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129.59</w:t>
            </w:r>
          </w:p>
        </w:tc>
        <w:tc>
          <w:tcPr>
            <w:tcW w:w="80" w:type="dxa"/>
            <w:vAlign w:val="bottom"/>
            <w:shd w:val="clear" w:color="auto" w:fill="CFF0FC"/>
          </w:tcPr>
          <w:p>
            <w:pPr>
              <w:spacing w:after="0"/>
              <w:rPr>
                <w:sz w:val="21"/>
                <w:szCs w:val="21"/>
                <w:color w:val="auto"/>
              </w:rPr>
            </w:pPr>
          </w:p>
        </w:tc>
      </w:tr>
      <w:tr>
        <w:trPr>
          <w:trHeight w:val="234"/>
        </w:trPr>
        <w:tc>
          <w:tcPr>
            <w:tcW w:w="3760" w:type="dxa"/>
            <w:vAlign w:val="bottom"/>
          </w:tcPr>
          <w:p>
            <w:pPr>
              <w:spacing w:after="0"/>
              <w:rPr>
                <w:sz w:val="20"/>
                <w:szCs w:val="20"/>
                <w:color w:val="auto"/>
              </w:rPr>
            </w:pPr>
            <w:r>
              <w:rPr>
                <w:rFonts w:ascii="Arial" w:cs="Arial" w:eastAsia="Arial" w:hAnsi="Arial"/>
                <w:sz w:val="18"/>
                <w:szCs w:val="18"/>
                <w:b w:val="1"/>
                <w:bCs w:val="1"/>
                <w:color w:val="auto"/>
              </w:rPr>
              <w:t>NASDAQ Health Care</w:t>
            </w:r>
          </w:p>
        </w:tc>
        <w:tc>
          <w:tcPr>
            <w:tcW w:w="700" w:type="dxa"/>
            <w:vAlign w:val="bottom"/>
          </w:tcPr>
          <w:p>
            <w:pPr>
              <w:ind w:left="180"/>
              <w:spacing w:after="0"/>
              <w:rPr>
                <w:sz w:val="20"/>
                <w:szCs w:val="20"/>
                <w:color w:val="auto"/>
              </w:rPr>
            </w:pPr>
            <w:r>
              <w:rPr>
                <w:rFonts w:ascii="Arial" w:cs="Arial" w:eastAsia="Arial" w:hAnsi="Arial"/>
                <w:sz w:val="18"/>
                <w:szCs w:val="18"/>
                <w:b w:val="1"/>
                <w:bCs w:val="1"/>
                <w:color w:val="auto"/>
                <w:w w:val="90"/>
              </w:rPr>
              <w:t>100.00</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83.86</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92.88</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118.12</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106.27</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79.91</w:t>
            </w:r>
          </w:p>
        </w:tc>
        <w:tc>
          <w:tcPr>
            <w:tcW w:w="80" w:type="dxa"/>
            <w:vAlign w:val="bottom"/>
          </w:tcPr>
          <w:p>
            <w:pPr>
              <w:spacing w:after="0"/>
              <w:rPr>
                <w:sz w:val="20"/>
                <w:szCs w:val="20"/>
                <w:color w:val="auto"/>
              </w:rPr>
            </w:pPr>
          </w:p>
        </w:tc>
      </w:tr>
    </w:tbl>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certain information concerning securities authorized for issuance under our equity compensation plan, see Item 12, “Security Ownership of Certain Beneficial Owners and Management and Related Stockholder Matters.”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Statements below regarding future events or performance are “forward-looking statements” within the meaning of the Private Securities Litigation Reform Act of 1995. Our actual results could be quite different from those expressed or implied by the forward-looking statements. Factors that could affect results are discussed more fully under the Item 1A, entitled “Risk Factors,” and elsewhere in this Annual Report. Although forward-looking statements help to provide complete information about us, readers should keep in mind that forward-looking statements may not be reliable. Readers are cautioned not to place undue reliance on the forward-looking statements. We undertake no duty to update any forward-looking statements made herein after the date of this Annual Report.</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discussion should be read in conjunction with the consolidated financial statements contained herein and the notes thereto, along with the Section entitled “Critical Accounting Policies and Estimates,” set forth below. This section of this Annual Report on Form 10-K for the year ended December 31, 2022 (this "Annual Report") generally discusses 2022 and 2021 items and year-to-year comparisons between 2022 and 2021. Discussion of 2020 items and year-to-year comparisons between 2021 and 2020 that are not included in this Annual Report can be found in “Management’s Discussion and Analysis of Financial Condition and Results of Operations” in Part II, Item 7 of the Company’s Annual Report on Form 10-K for the year ended December 31, 2021.</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primary goal is to empower the global community to improve health and wellness by providing access to accurate essential information through effortless tests, collection kits and services. Through December 31, 2022 our business consisted of two segments: our “Diagnostics” segment and our “Molecular Solutions" segment.</w:t>
      </w:r>
    </w:p>
    <w:p>
      <w:pPr>
        <w:spacing w:after="0" w:line="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February 2023, we announced a corporate restructuring to combine the commercial and innovation teams across the two segments into one business unit, with sales, marketing, product development and research teams covering multiple product lines. This change is intended to accelerate innovation, enhance customer experience and result in operational synergies. Beginning with the first quarter of 2023, we will report financial results on a non-segmented basis.</w:t>
      </w:r>
    </w:p>
    <w:p>
      <w:pPr>
        <w:spacing w:after="0" w:line="41"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Our Diagnostics business primarily consists of the development, manufacture, marketing and sale of simple, easy to use diagnostic products and specimen collection devices using our proprietary technologies, as well as other diagnostic products including immunoassays and other in vitro diagnostic tests that are used on other specimen types. The Diagnostics business includes tests for diseases including COVID-19, HIV and Hepatitis C that are performed on a rapid basis at the point of care, and tests for drugs of abuse that are processed in a laboratory. These products are sold in the United States and internationally to various clinical laboratories, hospitals, clinics, community-based organizations, and other public health organizations, distributors, government agencies, physicians’ offices, and commercial and industrial entities. Our COVID-19 and HIV products are also sold in a consumer-friendly format in the over-the-counter (“OTC”) market in the U.S. and, in the case of the HIV product, as a self-test to individuals in a number of other countries. In 2022, after obtaining a CE mark, we launched our OraQuick</w:t>
      </w:r>
      <w:r>
        <w:rPr>
          <w:rFonts w:ascii="Arial" w:cs="Arial" w:eastAsia="Arial" w:hAnsi="Arial"/>
          <w:sz w:val="23"/>
          <w:szCs w:val="23"/>
          <w:color w:val="auto"/>
          <w:vertAlign w:val="superscript"/>
        </w:rPr>
        <w:t>®</w:t>
      </w:r>
      <w:r>
        <w:rPr>
          <w:rFonts w:ascii="Arial" w:cs="Arial" w:eastAsia="Arial" w:hAnsi="Arial"/>
          <w:sz w:val="17"/>
          <w:szCs w:val="17"/>
          <w:color w:val="auto"/>
        </w:rPr>
        <w:t xml:space="preserve"> HIV Self-Test, an oral swab in-home test for HIV-1 and HIV-2, in Europe, making it available in several European countries. Through our Diagnostics business we are also developing and commercializing diagnostic products that measure adherence to HIV medications including pre-exposure prophylaxis ("PrEP"). In September 2022, we entered into an agreement with the Biomedical Advanced Research Development Authority ("BARDA"), pursuant to which BARDA will provide up to $8.6 million in funding to us to develop a 2nd generation Ebola test on the OraQuick</w:t>
      </w:r>
      <w:r>
        <w:rPr>
          <w:rFonts w:ascii="Arial" w:cs="Arial" w:eastAsia="Arial" w:hAnsi="Arial"/>
          <w:sz w:val="23"/>
          <w:szCs w:val="23"/>
          <w:color w:val="auto"/>
          <w:vertAlign w:val="superscript"/>
        </w:rPr>
        <w:t>®</w:t>
      </w:r>
      <w:r>
        <w:rPr>
          <w:rFonts w:ascii="Arial" w:cs="Arial" w:eastAsia="Arial" w:hAnsi="Arial"/>
          <w:sz w:val="17"/>
          <w:szCs w:val="17"/>
          <w:color w:val="auto"/>
        </w:rPr>
        <w:t xml:space="preserve"> testing platform, with the objective of developing increased sensitivity and shelf life, with new chemistry and higher degrees of automation in the test's manufacturing process.</w:t>
      </w:r>
    </w:p>
    <w:p>
      <w:pPr>
        <w:spacing w:after="0" w:line="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Molecular Solutions business is operated by our wholly-owned subsidiaries, DNA Genotek Inc. ("DNAG"), Diversigen, Inc. ("Diversigen"), and Novosanis NV ("Novosanis"). Our Molecular Solutions business sells its products and services directly to its customers, primarily through its internal sales force in the U.S. domestic market, and in many international markets, also through distributors. Our products primarily consist of collection kits and services used by clinical laboratories, direct-to-consumer laboratories, researchers, pharmaceutical companies, and animal health service and product providers. Most of our Molecular Solutions revenues are derived from product sales to commercial customers and sales into the academic and research markets. A significant portion of our total sales is from repeat customers in both markets. Molecular Solutions customers span the disease risk management, diagnostics, pharmaceutical, biotech, nutrition, companion animal and environmental markets.</w:t>
      </w:r>
    </w:p>
    <w:p>
      <w:pPr>
        <w:spacing w:after="0" w:line="200" w:lineRule="exact"/>
        <w:rPr>
          <w:sz w:val="20"/>
          <w:szCs w:val="20"/>
          <w:color w:val="auto"/>
        </w:rPr>
      </w:pPr>
    </w:p>
    <w:p>
      <w:pPr>
        <w:spacing w:after="0" w:line="30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2020, we expanded the market focus of our Molecular Solutions business by selling existing collection products for use with COVID-19 tests. In 2022, demand for COVID-19 PCR testing declined, which was primarily driven by the availability of antigen tests, the reduction in the number of COVID-19 cases, and the wider availability of vaccines which negatively impacted the sales of the collection products. We have also developed additional collection devices for the emerging microbiome market, which focuses on studying microbiomes and their effect on human and animal health. In 2022, we launched the OMNIgene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 GUT Dx collection device (OMD-200), which was granted De Novo authorization from the FDA for collection of human fecal samples and the stabilization of DNA from the bacterial community for subsequent assessment of the microbiome profile by an assay validated for use with OMNIgene</w:t>
      </w:r>
      <w:r>
        <w:rPr>
          <w:rFonts w:ascii="Arial" w:cs="Arial" w:eastAsia="Arial" w:hAnsi="Arial"/>
          <w:sz w:val="24"/>
          <w:szCs w:val="24"/>
          <w:color w:val="auto"/>
          <w:vertAlign w:val="superscript"/>
        </w:rPr>
        <w:t>®</w:t>
      </w:r>
      <w:r>
        <w:rPr>
          <w:rFonts w:ascii="Arial" w:cs="Arial" w:eastAsia="Arial" w:hAnsi="Arial"/>
          <w:sz w:val="18"/>
          <w:szCs w:val="18"/>
          <w:color w:val="auto"/>
        </w:rPr>
        <w:t>·GUT Dx</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8" w:name="page59"/>
    <w:bookmarkEnd w:id="58"/>
    <w:p>
      <w:pPr>
        <w:jc w:val="both"/>
        <w:spacing w:after="0" w:line="231" w:lineRule="auto"/>
        <w:rPr>
          <w:sz w:val="20"/>
          <w:szCs w:val="20"/>
          <w:color w:val="auto"/>
        </w:rPr>
      </w:pPr>
      <w:r>
        <w:rPr>
          <w:rFonts w:ascii="Arial" w:cs="Arial" w:eastAsia="Arial" w:hAnsi="Arial"/>
          <w:sz w:val="18"/>
          <w:szCs w:val="18"/>
          <w:color w:val="auto"/>
        </w:rPr>
        <w:t>device. Additionally, our OMNIgene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 GUT DNA and RNA collection device (OMR-205), became available to gut microbiome researchers, allowing for self-collection, stabilization, storage and transportation of microbial DNA and RNA at ambient temperature for gut microbiome profiling. We leverage our existing sales force and global research connections to engage microbiome customers worldwide to establish ourselves among the leaders in ease-of-collection, stabilization, and transport of this challenging sample type. Through our partnership with Grifols, we received FDA clearance for our ORAcollect</w:t>
      </w:r>
      <w:r>
        <w:rPr>
          <w:rFonts w:ascii="Arial" w:cs="Arial" w:eastAsia="Arial" w:hAnsi="Arial"/>
          <w:sz w:val="24"/>
          <w:szCs w:val="24"/>
          <w:color w:val="auto"/>
          <w:vertAlign w:val="superscript"/>
        </w:rPr>
        <w:t>®</w:t>
      </w:r>
      <w:r>
        <w:rPr>
          <w:rFonts w:ascii="Arial" w:cs="Arial" w:eastAsia="Arial" w:hAnsi="Arial"/>
          <w:sz w:val="18"/>
          <w:szCs w:val="18"/>
          <w:color w:val="auto"/>
        </w:rPr>
        <w:t>•Dx saliva collection device for OTC use, which allows our commercial partners to use and market the device with their therapeutics or devices.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Our Molecular Solutions products include the Colli-Pee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device, developed and sold by our Novosanis subsidiary, for the volumetric collection of first void urine. This product is in its early stages, and initial sales are occurring primarily through distributors and collaborations in the liquid biopsy and sexually transmitted disease markets. In 2022, Novosanis obtained a CE mark for its Colli-Pee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device containing a prefilled tube with UAS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chemistry, which is designed to stabilize urinary analytes. Our Diversigen subsidiary, also offers laboratory and analytical services for both genomics and microbiome customers to more fully meet their needs. These services are primarily provided to pharmaceutical, biotech companies, and research institutions.</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2022, Diversigen launched its metatranscriptomics sequencing and analysis services for gut microbiome samples, which generate a microbial community's gene expression profile to provide information about the interactions between an individual and their microbiome, creating a holistic picture of a sample's microbial functions and expression levels.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Restructuring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February 2023, we announced a corporate restructuring to combine the commercial and innovation teams across the Molecular and Diagnostics segments into one business unit with sales, marketing, product development and research teams covering multiple product lines. This change is intended to accelerate innovation, enhance customer experience and result in operation synergies.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Impact of COVID-19</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COVID-19 continues to impact the economy of the United States and other countries around the world, we are committed to being a part of the response to this unprecedented challenge. We have made substantial investments to expand our operations in order to manufacture product used for COVID-19 testing in the United States.</w:t>
      </w:r>
    </w:p>
    <w:p>
      <w:pPr>
        <w:spacing w:after="0" w:line="200" w:lineRule="exact"/>
        <w:rPr>
          <w:sz w:val="20"/>
          <w:szCs w:val="20"/>
          <w:color w:val="auto"/>
        </w:rPr>
      </w:pPr>
    </w:p>
    <w:p>
      <w:pPr>
        <w:spacing w:after="0" w:line="3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Due to COVID-19, we have experienced volatility, including periods of material decline compared to prior year periods in testing volume of our base business (which excludes COVID-19 testing) and periods of significant demand for our COVID-19 testing product, with demand generally fluctuating in line with changes in prevalence of the virus and related variants. It is difficult for us to predict the duration or magnitude of the outbreak’s effects on our business or results of operations.</w:t>
      </w:r>
    </w:p>
    <w:p>
      <w:pPr>
        <w:spacing w:after="0" w:line="18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expect that, if and when the current COVID-19 pandemic subsides, there could be significantly reduced demand for testing, and thus, for our InteliSwab® COVID-19 Rapid Tests. Further, if the COVID-19 pandemic becomes a seasonal virus or experiences fluctuations in prevalence, we could experience fluctuations in our revenues associated with our InteliSwab</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COVID-19 Rapid Tests For additional information on COVID-19 related risks we face, see the “Risk Factors - Risks Relating to Products, Marketing and Sales - The COVID-19 pandemic continues to cast uncertainty over our consolidated results of operations, financial position and cash flows, while the consequences of COVID-19 and the governmental response to the pandemic and pandemic-related macroeconomic impacts could negatively affect our operations and share price.” section of this Annual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Appointment of New CEO</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Carrie Eglinton Manner was appointed President and Chief Executive Officer ("CEO"), effective June 4, 2022. Ms. Eglinton Manner also joined the OraSure Board of Directors (the "Board"). She succeeded Dr. Nancy Gagliano, who was appointed Interim CEO in March 2022. Dr. Gagliano continues to serve on the OraSure Board.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Exploration of Strategic Alternatives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2022 our Board of Directors explored and evaluated a broad range of strategic alternatives with the goal of maximizing value for stockholders. Ms. Eglinton Manner’s appointment as CEO came in tandem with a decision by the OraSure Board to conclude its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59" w:name="page60"/>
    <w:bookmarkEnd w:id="59"/>
    <w:p>
      <w:pPr>
        <w:jc w:val="both"/>
        <w:spacing w:after="0" w:line="277" w:lineRule="auto"/>
        <w:rPr>
          <w:sz w:val="20"/>
          <w:szCs w:val="20"/>
          <w:color w:val="auto"/>
        </w:rPr>
      </w:pPr>
      <w:r>
        <w:rPr>
          <w:rFonts w:ascii="Arial" w:cs="Arial" w:eastAsia="Arial" w:hAnsi="Arial"/>
          <w:sz w:val="18"/>
          <w:szCs w:val="18"/>
          <w:color w:val="auto"/>
        </w:rPr>
        <w:t>review of the strategic alternatives and for the Company to move forward under her leadership. Market conditions and the Board of Directors' belief in our ability to further build upon recent operational successes with Ms. Eglinton Manner’s leadership were factors in the decision.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BARDA Funding for Ebola Product</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September 2022, we entered into an agreement with BARDA, which is part of the office of the Assistant Secretary for Preparedness and Response, pursuant to which BARDA will provide up to $8.6 million in funding to us to develop a 2nd generation Ebola test on the OraQuick® testing platform. Our current OraQuick® Ebola Rapid Antigen Test is de novo authorized for use with whole blood or cadaveric oral fluid. The test received de novo authorization from the FDA in 2019, making it the first and only rapid antigen test to receive authorization for the detection of Ebola virus.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New Contract for In-Home HIV Tests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September 2022, we were selected to provide our OraQuick® In-Home HIV tests in support of the CDC's “Together Take Me Home,” HIV self-test program. Under the program, the CDC will provide $41.5 million over a five-year period to support community testing. Emory University will manage the program and closely collaborate with a number of partner organizations, including OraSure, to supply tests to communities not equitably reached by HIV testing services across the United States. Under the "Together Take Me Home" HIV self-test program, we will provide up to 1 million OraQuick® In-Home HIV tests over a five-year period. A free HIV self-test will be mailed in discreet packages to people who enroll through its website. The program will target populations that are disproportionately affected by HIV and less likely to have access to key prevention services.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 Government Contract Awards</w:t>
      </w:r>
    </w:p>
    <w:p>
      <w:pPr>
        <w:spacing w:after="0" w:line="230"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In September 2021, we entered into a contract with the DLA for the procurement of our InteliSwab</w:t>
      </w:r>
      <w:r>
        <w:rPr>
          <w:rFonts w:ascii="Arial" w:cs="Arial" w:eastAsia="Arial" w:hAnsi="Arial"/>
          <w:sz w:val="24"/>
          <w:szCs w:val="24"/>
          <w:color w:val="auto"/>
          <w:vertAlign w:val="superscript"/>
        </w:rPr>
        <w:t>®</w:t>
      </w:r>
      <w:r>
        <w:rPr>
          <w:rFonts w:ascii="Arial" w:cs="Arial" w:eastAsia="Arial" w:hAnsi="Arial"/>
          <w:sz w:val="18"/>
          <w:szCs w:val="18"/>
          <w:color w:val="auto"/>
        </w:rPr>
        <w:t xml:space="preserve"> COVID-19 Rapid Test for OTC use, which the DLA estimated to have a value of $205 million. Under the terms of the contract, we are providing our InteliSwab</w:t>
      </w:r>
      <w:r>
        <w:rPr>
          <w:rFonts w:ascii="Arial" w:cs="Arial" w:eastAsia="Arial" w:hAnsi="Arial"/>
          <w:sz w:val="24"/>
          <w:szCs w:val="24"/>
          <w:color w:val="auto"/>
          <w:vertAlign w:val="superscript"/>
        </w:rPr>
        <w:t>®</w:t>
      </w:r>
      <w:r>
        <w:rPr>
          <w:rFonts w:ascii="Arial" w:cs="Arial" w:eastAsia="Arial" w:hAnsi="Arial"/>
          <w:sz w:val="18"/>
          <w:szCs w:val="18"/>
          <w:color w:val="auto"/>
        </w:rPr>
        <w:t xml:space="preserve"> COVID-19 Rapid Tests to up to 20,000 sites throughout the United States. The contract period was October 2021 through September 2022, however the DLA has provided delivery orders against which it can continue to issue shipping instructions into 2023.</w:t>
      </w:r>
    </w:p>
    <w:p>
      <w:pPr>
        <w:spacing w:after="0" w:line="209"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In November 2022, the DLA awarded us a second procurement contract for our InteliSwab</w:t>
      </w:r>
      <w:r>
        <w:rPr>
          <w:rFonts w:ascii="Arial" w:cs="Arial" w:eastAsia="Arial" w:hAnsi="Arial"/>
          <w:sz w:val="24"/>
          <w:szCs w:val="24"/>
          <w:color w:val="auto"/>
          <w:vertAlign w:val="superscript"/>
        </w:rPr>
        <w:t>®</w:t>
      </w:r>
      <w:r>
        <w:rPr>
          <w:rFonts w:ascii="Arial" w:cs="Arial" w:eastAsia="Arial" w:hAnsi="Arial"/>
          <w:sz w:val="18"/>
          <w:szCs w:val="18"/>
          <w:color w:val="auto"/>
        </w:rPr>
        <w:t xml:space="preserve"> COVID-19 Rapid Test for OTC use. Under the terms of this award, the contract estimate is 18 million InteliSwab</w:t>
      </w:r>
      <w:r>
        <w:rPr>
          <w:rFonts w:ascii="Arial" w:cs="Arial" w:eastAsia="Arial" w:hAnsi="Arial"/>
          <w:sz w:val="24"/>
          <w:szCs w:val="24"/>
          <w:color w:val="auto"/>
          <w:vertAlign w:val="superscript"/>
        </w:rPr>
        <w:t>®</w:t>
      </w:r>
      <w:r>
        <w:rPr>
          <w:rFonts w:ascii="Arial" w:cs="Arial" w:eastAsia="Arial" w:hAnsi="Arial"/>
          <w:sz w:val="18"/>
          <w:szCs w:val="18"/>
          <w:color w:val="auto"/>
        </w:rPr>
        <w:t xml:space="preserve"> COVID-19 Rapid Tests; with a maximum award of 36 million tests and a guaranteed minimum award of 3.6 million tests. The contract will run from November 2022 through November 2023.</w:t>
      </w:r>
    </w:p>
    <w:p>
      <w:pPr>
        <w:spacing w:after="0" w:line="208"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In December 2022, the HHS awarded a third procurement contract for our InteliSwab</w:t>
      </w:r>
      <w:r>
        <w:rPr>
          <w:rFonts w:ascii="Arial" w:cs="Arial" w:eastAsia="Arial" w:hAnsi="Arial"/>
          <w:sz w:val="23"/>
          <w:szCs w:val="23"/>
          <w:color w:val="auto"/>
          <w:vertAlign w:val="superscript"/>
        </w:rPr>
        <w:t>®</w:t>
      </w:r>
      <w:r>
        <w:rPr>
          <w:rFonts w:ascii="Arial" w:cs="Arial" w:eastAsia="Arial" w:hAnsi="Arial"/>
          <w:sz w:val="17"/>
          <w:szCs w:val="17"/>
          <w:color w:val="auto"/>
        </w:rPr>
        <w:t xml:space="preserve"> COVID-19 Rapid Test for OTC use. Under the terms of this contract we were awarded a fully funded firm fixed price contract for a total of 3.2 million tests to be delivered in the first quarter of 2023.</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DOD Manufacturing Capacity Funding</w:t>
      </w:r>
    </w:p>
    <w:p>
      <w:pPr>
        <w:spacing w:after="0" w:line="22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September 2021, we entered into an agreement for $109 million in funding from the DOD, in coordination with the Department of Health and Human Services, to build additional manufacturing capacity in the United States for our InteliSwab</w:t>
      </w:r>
      <w:r>
        <w:rPr>
          <w:rFonts w:ascii="Arial" w:cs="Arial" w:eastAsia="Arial" w:hAnsi="Arial"/>
          <w:sz w:val="24"/>
          <w:szCs w:val="24"/>
          <w:color w:val="auto"/>
          <w:vertAlign w:val="superscript"/>
        </w:rPr>
        <w:t>®</w:t>
      </w:r>
      <w:r>
        <w:rPr>
          <w:rFonts w:ascii="Arial" w:cs="Arial" w:eastAsia="Arial" w:hAnsi="Arial"/>
          <w:sz w:val="18"/>
          <w:szCs w:val="18"/>
          <w:color w:val="auto"/>
        </w:rPr>
        <w:t xml:space="preserve"> COVID-19 Rapid Test as part of the nation's pandemic preparedness plan. Under this agreement, the funding will be used to expand our production capacity by 100 million tests annually. Funding is received based on the achievement of milestones for the design, acquisition, installation, housing, qualification and acceptance of the manufacturing equipment as set forth in the agreement. We continue to invest time and money to build the additional manufacturing capacity as required under this agreement. We anticipate that we will complete the requirements of the contract by the end of 2023. Since the inception of the contract, we have received $60.3 million in funding.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Consolidated Financial Results</w:t>
      </w:r>
    </w:p>
    <w:p>
      <w:pPr>
        <w:spacing w:after="0" w:line="12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During the year ended December 31, 2022, our consolidated net revenues increased 66% to $387.5 million, compared to $233.7 million for the year ended December 31, 2021. Net product and services revenues during the year ended December 31, 2022 increased 67% when compared to the same period of 2021, largely due to $233.7 million of InteliSwab</w:t>
      </w:r>
      <w:r>
        <w:rPr>
          <w:rFonts w:ascii="Arial" w:cs="Arial" w:eastAsia="Arial" w:hAnsi="Arial"/>
          <w:sz w:val="23"/>
          <w:szCs w:val="23"/>
          <w:color w:val="auto"/>
          <w:vertAlign w:val="superscript"/>
        </w:rPr>
        <w:t>®</w:t>
      </w:r>
      <w:r>
        <w:rPr>
          <w:rFonts w:ascii="Arial" w:cs="Arial" w:eastAsia="Arial" w:hAnsi="Arial"/>
          <w:sz w:val="17"/>
          <w:szCs w:val="17"/>
          <w:color w:val="auto"/>
        </w:rPr>
        <w:t xml:space="preserve"> COVID-19 Rapid Test revenue recorded in 2022, compared to $22.7 million in 2021</w:t>
      </w:r>
      <w:r>
        <w:rPr>
          <w:rFonts w:ascii="Arial" w:cs="Arial" w:eastAsia="Arial" w:hAnsi="Arial"/>
          <w:sz w:val="17"/>
          <w:szCs w:val="17"/>
          <w:color w:val="212529"/>
        </w:rPr>
        <w:t>. We first began</w:t>
      </w:r>
      <w:r>
        <w:rPr>
          <w:rFonts w:ascii="Arial" w:cs="Arial" w:eastAsia="Arial" w:hAnsi="Arial"/>
          <w:sz w:val="17"/>
          <w:szCs w:val="17"/>
          <w:color w:val="auto"/>
        </w:rPr>
        <w:t xml:space="preserve"> </w:t>
      </w:r>
      <w:r>
        <w:rPr>
          <w:rFonts w:ascii="Arial" w:cs="Arial" w:eastAsia="Arial" w:hAnsi="Arial"/>
          <w:sz w:val="17"/>
          <w:szCs w:val="17"/>
          <w:color w:val="212529"/>
        </w:rPr>
        <w:t xml:space="preserve">selling this product in August of 2021. Also contributing to the increased revenues were higher sales of our hepatitis C ("HCV") and substance abuse testing products. Declines in sales of our molecular sample collection kits for COVID-19 testing, lower genomics product revenue, lower laboratory services revenues and a decline in international sales of our HIV products offset these positive drivers of revenue. </w:t>
      </w:r>
      <w:r>
        <w:rPr>
          <w:rFonts w:ascii="Arial" w:cs="Arial" w:eastAsia="Arial" w:hAnsi="Arial"/>
          <w:sz w:val="17"/>
          <w:szCs w:val="17"/>
          <w:color w:val="000000"/>
        </w:rPr>
        <w:t>Other revenues for the year ended</w:t>
      </w:r>
      <w:r>
        <w:rPr>
          <w:rFonts w:ascii="Arial" w:cs="Arial" w:eastAsia="Arial" w:hAnsi="Arial"/>
          <w:sz w:val="17"/>
          <w:szCs w:val="17"/>
          <w:color w:val="212529"/>
        </w:rPr>
        <w:t xml:space="preserve"> </w:t>
      </w:r>
      <w:r>
        <w:rPr>
          <w:rFonts w:ascii="Arial" w:cs="Arial" w:eastAsia="Arial" w:hAnsi="Arial"/>
          <w:sz w:val="17"/>
          <w:szCs w:val="17"/>
          <w:color w:val="000000"/>
        </w:rPr>
        <w:t>December 31, 2022 were $9.4 million compared to $6.8 million in the same period of 2021. This increase was largely due to increased research and development funding associated with our InteliSwab® COVID-19 rapid test offset by a decrease in royalty income.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0" w:name="page61"/>
    <w:bookmarkEnd w:id="60"/>
    <w:p>
      <w:pPr>
        <w:jc w:val="both"/>
        <w:spacing w:after="0" w:line="257" w:lineRule="auto"/>
        <w:rPr>
          <w:sz w:val="20"/>
          <w:szCs w:val="20"/>
          <w:color w:val="auto"/>
        </w:rPr>
      </w:pPr>
      <w:r>
        <w:rPr>
          <w:rFonts w:ascii="Arial" w:cs="Arial" w:eastAsia="Arial" w:hAnsi="Arial"/>
          <w:sz w:val="18"/>
          <w:szCs w:val="18"/>
          <w:color w:val="auto"/>
        </w:rPr>
        <w:t>Our consolidated net loss for the year ended December 31, 2022 was $17.9 million, or $0.25 per share on a fully diluted basis, compared to a consolidated net loss of $23.0 million, or $0.32 per share on a fully diluted basis, for the year ended December 31, 2021. Results for the full-year 2022 benefited from the increased revenues in 2022 compared to 2021. The benefit of the higher revenues was offset by the negative impact of $17.1 million of impairment charges taken for idle manufacturing lines and goodwill. There were no similar charges in the 2021. 2022 results also included higher spending in operating expenses across all categories.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used in operating activities during the year ended December 31, 2022 was $47.2 million compared to $35.4 million used in the year ended December 31, 2021. The use of cash in 2022 reflected the significant investment in inventory purchases in anticipation of future demand of our COVID-19 testing products as well the increase in our accounts receivable balances resulting largely from COVID-19 shipments made toward the end of the fourth quarter of 2022. As of December 31, 2022, we had $110.8 million in cash, cash equivalents, and available-for-sale securities, compared to $170.1 million at December 31,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2022 COMPARED TO DECEMBER 31,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NET REVENUES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a breakdown of total net revenues (dollars in thousands) generated by each of our business segments.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6"/>
          </w:tcPr>
          <w:p>
            <w:pPr>
              <w:jc w:val="right"/>
              <w:ind w:right="495"/>
              <w:spacing w:after="0"/>
              <w:rPr>
                <w:sz w:val="20"/>
                <w:szCs w:val="20"/>
                <w:color w:val="auto"/>
              </w:rPr>
            </w:pPr>
            <w:r>
              <w:rPr>
                <w:rFonts w:ascii="Arial" w:cs="Arial" w:eastAsia="Arial" w:hAnsi="Arial"/>
                <w:sz w:val="14"/>
                <w:szCs w:val="14"/>
                <w:b w:val="1"/>
                <w:bCs w:val="1"/>
                <w:color w:val="auto"/>
              </w:rPr>
              <w:t>For the Year Ended December 31,</w:t>
            </w: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r>
      <w:tr>
        <w:trPr>
          <w:trHeight w:val="169"/>
        </w:trPr>
        <w:tc>
          <w:tcPr>
            <w:tcW w:w="50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Dollars</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Percentage of Total Net Revenues</w:t>
            </w:r>
          </w:p>
        </w:tc>
        <w:tc>
          <w:tcPr>
            <w:tcW w:w="280" w:type="dxa"/>
            <w:vAlign w:val="bottom"/>
          </w:tcPr>
          <w:p>
            <w:pPr>
              <w:spacing w:after="0"/>
              <w:rPr>
                <w:sz w:val="14"/>
                <w:szCs w:val="14"/>
                <w:color w:val="auto"/>
              </w:rPr>
            </w:pPr>
          </w:p>
        </w:tc>
      </w:tr>
      <w:tr>
        <w:trPr>
          <w:trHeight w:val="169"/>
        </w:trPr>
        <w:tc>
          <w:tcPr>
            <w:tcW w:w="5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255"/>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3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 Change</w:t>
            </w:r>
          </w:p>
        </w:tc>
        <w:tc>
          <w:tcPr>
            <w:tcW w:w="280" w:type="dxa"/>
            <w:vAlign w:val="bottom"/>
          </w:tcPr>
          <w:p>
            <w:pPr>
              <w:spacing w:after="0"/>
              <w:rPr>
                <w:sz w:val="14"/>
                <w:szCs w:val="14"/>
                <w:color w:val="auto"/>
              </w:rPr>
            </w:pPr>
          </w:p>
        </w:tc>
        <w:tc>
          <w:tcPr>
            <w:tcW w:w="900" w:type="dxa"/>
            <w:vAlign w:val="bottom"/>
          </w:tcPr>
          <w:p>
            <w:pPr>
              <w:jc w:val="right"/>
              <w:ind w:right="215"/>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4"/>
                <w:szCs w:val="14"/>
                <w:color w:val="auto"/>
              </w:rPr>
            </w:pPr>
          </w:p>
        </w:tc>
        <w:tc>
          <w:tcPr>
            <w:tcW w:w="960" w:type="dxa"/>
            <w:vAlign w:val="bottom"/>
          </w:tcPr>
          <w:p>
            <w:pPr>
              <w:jc w:val="right"/>
              <w:ind w:right="253"/>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r>
      <w:tr>
        <w:trPr>
          <w:trHeight w:val="237"/>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Diagnostics</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296,663</w:t>
            </w:r>
          </w:p>
        </w:tc>
        <w:tc>
          <w:tcPr>
            <w:tcW w:w="26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87,030</w:t>
            </w:r>
          </w:p>
        </w:tc>
        <w:tc>
          <w:tcPr>
            <w:tcW w:w="220" w:type="dxa"/>
            <w:vAlign w:val="bottom"/>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7"/>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3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Molecular Solutions</w:t>
            </w: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81,384</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139,867</w:t>
            </w: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(42 )</w:t>
            </w:r>
          </w:p>
        </w:tc>
        <w:tc>
          <w:tcPr>
            <w:tcW w:w="280" w:type="dxa"/>
            <w:vAlign w:val="bottom"/>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38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21"/>
                <w:szCs w:val="21"/>
                <w:color w:val="auto"/>
              </w:rPr>
            </w:pPr>
          </w:p>
        </w:tc>
      </w:tr>
      <w:tr>
        <w:trPr>
          <w:trHeight w:val="236"/>
        </w:trPr>
        <w:tc>
          <w:tcPr>
            <w:tcW w:w="5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product and services revenues</w:t>
            </w: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378,047</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226,897</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3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280" w:type="dxa"/>
            <w:vAlign w:val="bottom"/>
            <w:shd w:val="clear" w:color="auto" w:fill="CFF0FC"/>
          </w:tcPr>
          <w:p>
            <w:pPr>
              <w:spacing w:after="0"/>
              <w:rPr>
                <w:sz w:val="20"/>
                <w:szCs w:val="20"/>
                <w:color w:val="auto"/>
              </w:rPr>
            </w:pP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9,432</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1"/>
                <w:szCs w:val="21"/>
                <w:color w:val="auto"/>
              </w:rPr>
            </w:pPr>
          </w:p>
        </w:tc>
      </w:tr>
      <w:tr>
        <w:trPr>
          <w:trHeight w:val="276"/>
        </w:trPr>
        <w:tc>
          <w:tcPr>
            <w:tcW w:w="50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387,479</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233,674</w:t>
            </w:r>
          </w:p>
        </w:tc>
        <w:tc>
          <w:tcPr>
            <w:tcW w:w="11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87"/>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-24765</wp:posOffset>
            </wp:positionV>
            <wp:extent cx="768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-7620</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-24765</wp:posOffset>
            </wp:positionV>
            <wp:extent cx="774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-7620</wp:posOffset>
            </wp:positionV>
            <wp:extent cx="77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-24765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-7620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-24765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-7620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Consolidated net product and services revenues increased 67% to $378.0 million for the year ended December 31, 2022 from $226.9 million for 2021. This increase was largely driven by higher sales of our InteliSwab</w:t>
      </w:r>
      <w:r>
        <w:rPr>
          <w:rFonts w:ascii="Arial" w:cs="Arial" w:eastAsia="Arial" w:hAnsi="Arial"/>
          <w:sz w:val="24"/>
          <w:szCs w:val="24"/>
          <w:color w:val="auto"/>
          <w:vertAlign w:val="superscript"/>
        </w:rPr>
        <w:t>®</w:t>
      </w:r>
      <w:r>
        <w:rPr>
          <w:rFonts w:ascii="Arial" w:cs="Arial" w:eastAsia="Arial" w:hAnsi="Arial"/>
          <w:sz w:val="18"/>
          <w:szCs w:val="18"/>
          <w:color w:val="auto"/>
        </w:rPr>
        <w:t xml:space="preserve"> COVID-19 Rapid Tests, and our HCV and substance abuse testing products. The increase was partially offset by declines in revenues of our molecular product use for COVID-19 testing, our molecular product used for genomic testing, and lower laboratory services revenues. Other revenues for the year ended December 31, 2022 were $9.4 million compared to $6.8 million in 2021. This increase was largely due to increased research and development funding associated with our InteliSwab® COVID-19 rapid test offset by a decrease in royalty income.</w:t>
      </w:r>
    </w:p>
    <w:p>
      <w:pPr>
        <w:spacing w:after="0" w:line="9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Consolidated net revenues derived from products sold to customers outside of the United States were $37.3 million and $45.3 million, or 10% and 19% of total net revenues, during the years ended December 31, 2022 and 2021, respectively. Because the majority of our international sales are denominated in U.S. dollars, the impact of fluctuating foreign currency exchange rates was not material to our total consolidated net revenues.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Revenues by Segment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Diagnostics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amount of total net revenues (dollars in thousands) generated by our Diagnostics segment.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6"/>
          </w:tcPr>
          <w:p>
            <w:pPr>
              <w:jc w:val="right"/>
              <w:ind w:right="534"/>
              <w:spacing w:after="0"/>
              <w:rPr>
                <w:sz w:val="20"/>
                <w:szCs w:val="20"/>
                <w:color w:val="auto"/>
              </w:rPr>
            </w:pPr>
            <w:r>
              <w:rPr>
                <w:rFonts w:ascii="Arial" w:cs="Arial" w:eastAsia="Arial" w:hAnsi="Arial"/>
                <w:sz w:val="14"/>
                <w:szCs w:val="14"/>
                <w:b w:val="1"/>
                <w:bCs w:val="1"/>
                <w:color w:val="auto"/>
              </w:rPr>
              <w:t>For years ended December 31,</w:t>
            </w: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Dollars</w:t>
            </w: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w w:val="94"/>
              </w:rPr>
              <w:t>Percentage of Total Net Revenues</w:t>
            </w:r>
          </w:p>
        </w:tc>
        <w:tc>
          <w:tcPr>
            <w:tcW w:w="280" w:type="dxa"/>
            <w:vAlign w:val="bottom"/>
          </w:tcPr>
          <w:p>
            <w:pPr>
              <w:spacing w:after="0"/>
              <w:rPr>
                <w:sz w:val="14"/>
                <w:szCs w:val="14"/>
                <w:color w:val="auto"/>
              </w:rPr>
            </w:pPr>
          </w:p>
        </w:tc>
      </w:tr>
      <w:tr>
        <w:trPr>
          <w:trHeight w:val="155"/>
        </w:trPr>
        <w:tc>
          <w:tcPr>
            <w:tcW w:w="20" w:type="dxa"/>
            <w:vAlign w:val="bottom"/>
          </w:tcPr>
          <w:p>
            <w:pPr>
              <w:spacing w:after="0"/>
              <w:rPr>
                <w:sz w:val="13"/>
                <w:szCs w:val="13"/>
                <w:color w:val="auto"/>
              </w:rPr>
            </w:pPr>
          </w:p>
        </w:tc>
        <w:tc>
          <w:tcPr>
            <w:tcW w:w="51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Market</w:t>
            </w:r>
          </w:p>
        </w:tc>
        <w:tc>
          <w:tcPr>
            <w:tcW w:w="220" w:type="dxa"/>
            <w:vAlign w:val="bottom"/>
          </w:tcPr>
          <w:p>
            <w:pPr>
              <w:spacing w:after="0"/>
              <w:rPr>
                <w:sz w:val="13"/>
                <w:szCs w:val="13"/>
                <w:color w:val="auto"/>
              </w:rPr>
            </w:pPr>
          </w:p>
        </w:tc>
        <w:tc>
          <w:tcPr>
            <w:tcW w:w="760" w:type="dxa"/>
            <w:vAlign w:val="bottom"/>
          </w:tcPr>
          <w:p>
            <w:pPr>
              <w:jc w:val="right"/>
              <w:ind w:right="254"/>
              <w:spacing w:after="0" w:line="155" w:lineRule="exact"/>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254"/>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3"/>
                <w:szCs w:val="13"/>
                <w:color w:val="auto"/>
              </w:rPr>
            </w:pPr>
          </w:p>
        </w:tc>
        <w:tc>
          <w:tcPr>
            <w:tcW w:w="900" w:type="dxa"/>
            <w:vAlign w:val="bottom"/>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 Change</w:t>
            </w:r>
          </w:p>
        </w:tc>
        <w:tc>
          <w:tcPr>
            <w:tcW w:w="280" w:type="dxa"/>
            <w:vAlign w:val="bottom"/>
          </w:tcPr>
          <w:p>
            <w:pPr>
              <w:spacing w:after="0"/>
              <w:rPr>
                <w:sz w:val="13"/>
                <w:szCs w:val="13"/>
                <w:color w:val="auto"/>
              </w:rPr>
            </w:pPr>
          </w:p>
        </w:tc>
        <w:tc>
          <w:tcPr>
            <w:tcW w:w="900" w:type="dxa"/>
            <w:vAlign w:val="bottom"/>
          </w:tcPr>
          <w:p>
            <w:pPr>
              <w:jc w:val="right"/>
              <w:ind w:right="214"/>
              <w:spacing w:after="0" w:line="155" w:lineRule="exact"/>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3"/>
                <w:szCs w:val="13"/>
                <w:color w:val="auto"/>
              </w:rPr>
            </w:pPr>
          </w:p>
        </w:tc>
        <w:tc>
          <w:tcPr>
            <w:tcW w:w="980" w:type="dxa"/>
            <w:vAlign w:val="bottom"/>
          </w:tcPr>
          <w:p>
            <w:pPr>
              <w:jc w:val="right"/>
              <w:ind w:right="272"/>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5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Infectious disease testing:</w:t>
            </w: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5120" w:type="dxa"/>
            <w:vAlign w:val="bottom"/>
            <w:gridSpan w:val="2"/>
          </w:tcPr>
          <w:p>
            <w:pPr>
              <w:ind w:left="180"/>
              <w:spacing w:after="0"/>
              <w:rPr>
                <w:sz w:val="20"/>
                <w:szCs w:val="20"/>
                <w:color w:val="auto"/>
              </w:rPr>
            </w:pPr>
            <w:r>
              <w:rPr>
                <w:rFonts w:ascii="Arial" w:cs="Arial" w:eastAsia="Arial" w:hAnsi="Arial"/>
                <w:sz w:val="18"/>
                <w:szCs w:val="18"/>
                <w:color w:val="auto"/>
              </w:rPr>
              <w:t>COVID-19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233,666</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22,707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929</w:t>
            </w:r>
          </w:p>
        </w:tc>
        <w:tc>
          <w:tcPr>
            <w:tcW w:w="100" w:type="dxa"/>
            <w:vAlign w:val="bottom"/>
          </w:tcPr>
          <w:p>
            <w:pPr>
              <w:spacing w:after="0"/>
              <w:rPr>
                <w:sz w:val="20"/>
                <w:szCs w:val="20"/>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77</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9"/>
        </w:trPr>
        <w:tc>
          <w:tcPr>
            <w:tcW w:w="20" w:type="dxa"/>
            <w:vAlign w:val="bottom"/>
            <w:tcBorders>
              <w:bottom w:val="single" w:sz="8" w:color="CFF0FC"/>
            </w:tcBorders>
            <w:shd w:val="clear" w:color="auto" w:fill="CFF0FC"/>
          </w:tcPr>
          <w:p>
            <w:pPr>
              <w:spacing w:after="0"/>
              <w:rPr>
                <w:sz w:val="21"/>
                <w:szCs w:val="21"/>
                <w:color w:val="auto"/>
              </w:rPr>
            </w:pPr>
          </w:p>
        </w:tc>
        <w:tc>
          <w:tcPr>
            <w:tcW w:w="512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52,728</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54,645</w:t>
            </w:r>
          </w:p>
        </w:tc>
        <w:tc>
          <w:tcPr>
            <w:tcW w:w="1100" w:type="dxa"/>
            <w:vAlign w:val="bottom"/>
            <w:tcBorders>
              <w:bottom w:val="single" w:sz="8" w:color="CFF0FC"/>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(4 )</w:t>
            </w:r>
          </w:p>
        </w:tc>
        <w:tc>
          <w:tcPr>
            <w:tcW w:w="28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38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80" w:type="dxa"/>
            <w:vAlign w:val="bottom"/>
            <w:tcBorders>
              <w:bottom w:val="single" w:sz="8" w:color="CFF0FC"/>
            </w:tcBorders>
            <w:shd w:val="clear" w:color="auto" w:fill="CFF0FC"/>
          </w:tcPr>
          <w:p>
            <w:pPr>
              <w:spacing w:after="0"/>
              <w:rPr>
                <w:sz w:val="21"/>
                <w:szCs w:val="21"/>
                <w:color w:val="auto"/>
              </w:rPr>
            </w:pPr>
          </w:p>
        </w:tc>
      </w:tr>
      <w:tr>
        <w:trPr>
          <w:trHeight w:val="230"/>
        </w:trPr>
        <w:tc>
          <w:tcPr>
            <w:tcW w:w="5140" w:type="dxa"/>
            <w:vAlign w:val="bottom"/>
            <w:gridSpan w:val="3"/>
          </w:tcPr>
          <w:p>
            <w:pPr>
              <w:ind w:left="20"/>
              <w:spacing w:after="0"/>
              <w:rPr>
                <w:sz w:val="20"/>
                <w:szCs w:val="20"/>
                <w:color w:val="auto"/>
              </w:rPr>
            </w:pPr>
            <w:r>
              <w:rPr>
                <w:rFonts w:ascii="Arial" w:cs="Arial" w:eastAsia="Arial" w:hAnsi="Arial"/>
                <w:sz w:val="18"/>
                <w:szCs w:val="18"/>
                <w:color w:val="auto"/>
              </w:rPr>
              <w:t>Total infectious disease testing</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286,394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77,352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w:t>
            </w: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w:t>
            </w:r>
          </w:p>
        </w:tc>
        <w:tc>
          <w:tcPr>
            <w:tcW w:w="280" w:type="dxa"/>
            <w:vAlign w:val="bottom"/>
          </w:tcPr>
          <w:p>
            <w:pPr>
              <w:spacing w:after="0"/>
              <w:rPr>
                <w:sz w:val="20"/>
                <w:szCs w:val="20"/>
                <w:color w:val="auto"/>
              </w:rPr>
            </w:pPr>
          </w:p>
        </w:tc>
      </w:tr>
      <w:tr>
        <w:trPr>
          <w:trHeight w:val="249"/>
        </w:trPr>
        <w:tc>
          <w:tcPr>
            <w:tcW w:w="514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Substance abuse testing</w:t>
            </w:r>
          </w:p>
        </w:tc>
        <w:tc>
          <w:tcPr>
            <w:tcW w:w="22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10,269</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9,678</w:t>
            </w:r>
          </w:p>
        </w:tc>
        <w:tc>
          <w:tcPr>
            <w:tcW w:w="10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8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bottom w:val="single" w:sz="8" w:color="CFF0FC"/>
            </w:tcBorders>
            <w:shd w:val="clear" w:color="auto" w:fill="CFF0FC"/>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5120" w:type="dxa"/>
            <w:vAlign w:val="bottom"/>
            <w:gridSpan w:val="2"/>
          </w:tcPr>
          <w:p>
            <w:pPr>
              <w:ind w:left="180"/>
              <w:spacing w:after="0"/>
              <w:rPr>
                <w:sz w:val="20"/>
                <w:szCs w:val="20"/>
                <w:color w:val="auto"/>
              </w:rPr>
            </w:pPr>
            <w:r>
              <w:rPr>
                <w:rFonts w:ascii="Arial" w:cs="Arial" w:eastAsia="Arial" w:hAnsi="Arial"/>
                <w:sz w:val="18"/>
                <w:szCs w:val="18"/>
                <w:color w:val="auto"/>
              </w:rPr>
              <w:t>Net product revenues</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296,663</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87,030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w:t>
            </w: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w:t>
            </w:r>
          </w:p>
        </w:tc>
        <w:tc>
          <w:tcPr>
            <w:tcW w:w="280" w:type="dxa"/>
            <w:vAlign w:val="bottom"/>
          </w:tcPr>
          <w:p>
            <w:pPr>
              <w:spacing w:after="0"/>
              <w:rPr>
                <w:sz w:val="20"/>
                <w:szCs w:val="20"/>
                <w:color w:val="auto"/>
              </w:rPr>
            </w:pPr>
          </w:p>
        </w:tc>
      </w:tr>
      <w:tr>
        <w:trPr>
          <w:trHeight w:val="249"/>
        </w:trPr>
        <w:tc>
          <w:tcPr>
            <w:tcW w:w="514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7,010</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3,010</w:t>
            </w:r>
          </w:p>
        </w:tc>
        <w:tc>
          <w:tcPr>
            <w:tcW w:w="10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8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bottom w:val="single" w:sz="8" w:color="CFF0FC"/>
            </w:tcBorders>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5120" w:type="dxa"/>
            <w:vAlign w:val="bottom"/>
            <w:gridSpan w:val="2"/>
          </w:tcPr>
          <w:p>
            <w:pPr>
              <w:ind w:left="180"/>
              <w:spacing w:after="0"/>
              <w:rPr>
                <w:sz w:val="20"/>
                <w:szCs w:val="20"/>
                <w:color w:val="auto"/>
              </w:rPr>
            </w:pPr>
            <w:r>
              <w:rPr>
                <w:rFonts w:ascii="Arial" w:cs="Arial" w:eastAsia="Arial" w:hAnsi="Arial"/>
                <w:sz w:val="18"/>
                <w:szCs w:val="18"/>
                <w:color w:val="auto"/>
              </w:rPr>
              <w:t>Net revenues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303,673</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90,040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0"/>
                <w:szCs w:val="20"/>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314"/>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6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-1319530</wp:posOffset>
            </wp:positionV>
            <wp:extent cx="77470" cy="1625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-1319530</wp:posOffset>
            </wp:positionV>
            <wp:extent cx="77470" cy="1625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-1319530</wp:posOffset>
            </wp:positionV>
            <wp:extent cx="68580" cy="1625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-1319530</wp:posOffset>
            </wp:positionV>
            <wp:extent cx="68580" cy="1625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-1002030</wp:posOffset>
            </wp:positionV>
            <wp:extent cx="77470" cy="1625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-1002030</wp:posOffset>
            </wp:positionV>
            <wp:extent cx="77470" cy="1625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-1002030</wp:posOffset>
            </wp:positionV>
            <wp:extent cx="68580" cy="1625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-1002030</wp:posOffset>
            </wp:positionV>
            <wp:extent cx="68580" cy="1625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-685165</wp:posOffset>
            </wp:positionV>
            <wp:extent cx="77470" cy="1885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-685165</wp:posOffset>
            </wp:positionV>
            <wp:extent cx="77470" cy="1885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-685165</wp:posOffset>
            </wp:positionV>
            <wp:extent cx="68580" cy="1885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-685165</wp:posOffset>
            </wp:positionV>
            <wp:extent cx="68580" cy="1885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Infectious Disease Testing Market</w:t>
      </w:r>
    </w:p>
    <w:p>
      <w:pPr>
        <w:spacing w:after="0" w:line="12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COVID-19 revenues were $233.7 million and $22.7 million for the years ended December 31, 2022 and 2021, respectively. This growth was driven largely through fulfillment of our government procurement contracts for InteliSwab</w:t>
      </w:r>
      <w:r>
        <w:rPr>
          <w:rFonts w:ascii="Arial" w:cs="Arial" w:eastAsia="Arial" w:hAnsi="Arial"/>
          <w:sz w:val="24"/>
          <w:szCs w:val="24"/>
          <w:color w:val="auto"/>
          <w:vertAlign w:val="superscript"/>
        </w:rPr>
        <w:t>®</w:t>
      </w:r>
      <w:r>
        <w:rPr>
          <w:rFonts w:ascii="Arial" w:cs="Arial" w:eastAsia="Arial" w:hAnsi="Arial"/>
          <w:sz w:val="18"/>
          <w:szCs w:val="18"/>
          <w:color w:val="auto"/>
        </w:rPr>
        <w:t xml:space="preserve"> tests. We first began selling this product in August 2021. We are anticipating higher COVID-19 revenues in the first half of 2023 followed by lower revenues in the second half of 2023, as we work down our government InteliSwab</w:t>
      </w:r>
      <w:r>
        <w:rPr>
          <w:rFonts w:ascii="Arial" w:cs="Arial" w:eastAsia="Arial" w:hAnsi="Arial"/>
          <w:sz w:val="24"/>
          <w:szCs w:val="24"/>
          <w:color w:val="auto"/>
          <w:vertAlign w:val="superscript"/>
        </w:rPr>
        <w:t>®</w:t>
      </w:r>
      <w:r>
        <w:rPr>
          <w:rFonts w:ascii="Arial" w:cs="Arial" w:eastAsia="Arial" w:hAnsi="Arial"/>
          <w:sz w:val="18"/>
          <w:szCs w:val="18"/>
          <w:color w:val="auto"/>
        </w:rPr>
        <w:t xml:space="preserve"> COVID-19 rapid test contracts.</w:t>
      </w:r>
    </w:p>
    <w:p>
      <w:pPr>
        <w:spacing w:after="0" w:line="9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Sales to other infectious disease testing markets decreased 4% to $52.7 million for the year ended December 31, 2022 from $54.6 million for the year ended December 31, 2021. This decline resulted from lower world-wide sales of our OraQuick® HIV product offset by increased world-wide sales of our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HCV products.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a breakdown of our total net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HIV and HCV product revenues (dollars in thousands) during 2022 and 2021.</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4"/>
              </w:rPr>
              <w:t>Years ended December 31,</w:t>
            </w:r>
          </w:p>
        </w:tc>
        <w:tc>
          <w:tcPr>
            <w:tcW w:w="126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65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Market</w:t>
            </w:r>
          </w:p>
        </w:tc>
        <w:tc>
          <w:tcPr>
            <w:tcW w:w="300" w:type="dxa"/>
            <w:vAlign w:val="bottom"/>
          </w:tcPr>
          <w:p>
            <w:pPr>
              <w:spacing w:after="0"/>
              <w:rPr>
                <w:sz w:val="13"/>
                <w:szCs w:val="13"/>
                <w:color w:val="auto"/>
              </w:rPr>
            </w:pPr>
          </w:p>
        </w:tc>
        <w:tc>
          <w:tcPr>
            <w:tcW w:w="980" w:type="dxa"/>
            <w:vAlign w:val="bottom"/>
          </w:tcPr>
          <w:p>
            <w:pPr>
              <w:jc w:val="right"/>
              <w:ind w:right="412"/>
              <w:spacing w:after="0" w:line="155" w:lineRule="exact"/>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ind w:right="412"/>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3"/>
                <w:szCs w:val="13"/>
                <w:color w:val="auto"/>
              </w:rPr>
            </w:pPr>
          </w:p>
        </w:tc>
        <w:tc>
          <w:tcPr>
            <w:tcW w:w="1260" w:type="dxa"/>
            <w:vAlign w:val="bottom"/>
          </w:tcPr>
          <w:p>
            <w:pPr>
              <w:jc w:val="right"/>
              <w:ind w:right="212"/>
              <w:spacing w:after="0" w:line="155" w:lineRule="exact"/>
              <w:rPr>
                <w:sz w:val="20"/>
                <w:szCs w:val="20"/>
                <w:color w:val="auto"/>
              </w:rPr>
            </w:pPr>
            <w:r>
              <w:rPr>
                <w:rFonts w:ascii="Arial" w:cs="Arial" w:eastAsia="Arial" w:hAnsi="Arial"/>
                <w:sz w:val="14"/>
                <w:szCs w:val="14"/>
                <w:b w:val="1"/>
                <w:bCs w:val="1"/>
                <w:color w:val="auto"/>
              </w:rPr>
              <w:t>% Change</w:t>
            </w:r>
          </w:p>
        </w:tc>
        <w:tc>
          <w:tcPr>
            <w:tcW w:w="340" w:type="dxa"/>
            <w:vAlign w:val="bottom"/>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6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Domestic HIV</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16,241</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16,641</w:t>
            </w: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 %</w:t>
            </w:r>
          </w:p>
        </w:tc>
      </w:tr>
      <w:tr>
        <w:trPr>
          <w:trHeight w:val="243"/>
        </w:trPr>
        <w:tc>
          <w:tcPr>
            <w:tcW w:w="6580" w:type="dxa"/>
            <w:vAlign w:val="bottom"/>
            <w:gridSpan w:val="3"/>
          </w:tcPr>
          <w:p>
            <w:pPr>
              <w:ind w:left="20"/>
              <w:spacing w:after="0"/>
              <w:rPr>
                <w:sz w:val="20"/>
                <w:szCs w:val="20"/>
                <w:color w:val="auto"/>
              </w:rPr>
            </w:pPr>
            <w:r>
              <w:rPr>
                <w:rFonts w:ascii="Arial" w:cs="Arial" w:eastAsia="Arial" w:hAnsi="Arial"/>
                <w:sz w:val="18"/>
                <w:szCs w:val="18"/>
                <w:color w:val="auto"/>
              </w:rPr>
              <w:t>International HIV</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22,571</w:t>
            </w:r>
          </w:p>
        </w:tc>
        <w:tc>
          <w:tcPr>
            <w:tcW w:w="2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25,503</w:t>
            </w:r>
          </w:p>
        </w:tc>
        <w:tc>
          <w:tcPr>
            <w:tcW w:w="220" w:type="dxa"/>
            <w:vAlign w:val="bottom"/>
          </w:tcPr>
          <w:p>
            <w:pPr>
              <w:spacing w:after="0"/>
              <w:rPr>
                <w:sz w:val="21"/>
                <w:szCs w:val="21"/>
                <w:color w:val="auto"/>
              </w:rPr>
            </w:pPr>
          </w:p>
        </w:tc>
        <w:tc>
          <w:tcPr>
            <w:tcW w:w="1600" w:type="dxa"/>
            <w:vAlign w:val="bottom"/>
            <w:gridSpan w:val="2"/>
          </w:tcPr>
          <w:p>
            <w:pPr>
              <w:jc w:val="right"/>
              <w:ind w:right="170"/>
              <w:spacing w:after="0"/>
              <w:rPr>
                <w:sz w:val="20"/>
                <w:szCs w:val="20"/>
                <w:color w:val="auto"/>
              </w:rPr>
            </w:pPr>
            <w:r>
              <w:rPr>
                <w:rFonts w:ascii="Arial" w:cs="Arial" w:eastAsia="Arial" w:hAnsi="Arial"/>
                <w:sz w:val="18"/>
                <w:szCs w:val="18"/>
                <w:color w:val="auto"/>
              </w:rPr>
              <w:t>(11 )</w:t>
            </w:r>
          </w:p>
        </w:tc>
      </w:tr>
      <w:tr>
        <w:trPr>
          <w:trHeight w:val="237"/>
        </w:trPr>
        <w:tc>
          <w:tcPr>
            <w:tcW w:w="20" w:type="dxa"/>
            <w:vAlign w:val="bottom"/>
            <w:tcBorders>
              <w:bottom w:val="single" w:sz="8" w:color="CFF0FC"/>
            </w:tcBorders>
            <w:shd w:val="clear" w:color="auto" w:fill="CFF0FC"/>
          </w:tcPr>
          <w:p>
            <w:pPr>
              <w:spacing w:after="0"/>
              <w:rPr>
                <w:sz w:val="20"/>
                <w:szCs w:val="20"/>
                <w:color w:val="auto"/>
              </w:rPr>
            </w:pPr>
          </w:p>
        </w:tc>
        <w:tc>
          <w:tcPr>
            <w:tcW w:w="656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Net HIV revenues</w:t>
            </w:r>
          </w:p>
        </w:tc>
        <w:tc>
          <w:tcPr>
            <w:tcW w:w="30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38,812</w:t>
            </w:r>
          </w:p>
        </w:tc>
        <w:tc>
          <w:tcPr>
            <w:tcW w:w="2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42,144</w:t>
            </w:r>
          </w:p>
        </w:tc>
        <w:tc>
          <w:tcPr>
            <w:tcW w:w="220" w:type="dxa"/>
            <w:vAlign w:val="bottom"/>
            <w:tcBorders>
              <w:bottom w:val="single" w:sz="8" w:color="CFF0FC"/>
            </w:tcBorders>
            <w:shd w:val="clear" w:color="auto" w:fill="CFF0FC"/>
          </w:tcPr>
          <w:p>
            <w:pPr>
              <w:spacing w:after="0"/>
              <w:rPr>
                <w:sz w:val="20"/>
                <w:szCs w:val="20"/>
                <w:color w:val="auto"/>
              </w:rPr>
            </w:pPr>
          </w:p>
        </w:tc>
        <w:tc>
          <w:tcPr>
            <w:tcW w:w="1600" w:type="dxa"/>
            <w:vAlign w:val="bottom"/>
            <w:tcBorders>
              <w:bottom w:val="single" w:sz="8" w:color="CFF0FC"/>
            </w:tcBorders>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(8 )</w:t>
            </w:r>
          </w:p>
        </w:tc>
      </w:tr>
      <w:tr>
        <w:trPr>
          <w:trHeight w:val="230"/>
        </w:trPr>
        <w:tc>
          <w:tcPr>
            <w:tcW w:w="6580" w:type="dxa"/>
            <w:vAlign w:val="bottom"/>
            <w:gridSpan w:val="3"/>
          </w:tcPr>
          <w:p>
            <w:pPr>
              <w:ind w:left="20"/>
              <w:spacing w:after="0"/>
              <w:rPr>
                <w:sz w:val="20"/>
                <w:szCs w:val="20"/>
                <w:color w:val="auto"/>
              </w:rPr>
            </w:pPr>
            <w:r>
              <w:rPr>
                <w:rFonts w:ascii="Arial" w:cs="Arial" w:eastAsia="Arial" w:hAnsi="Arial"/>
                <w:sz w:val="18"/>
                <w:szCs w:val="18"/>
                <w:color w:val="auto"/>
              </w:rPr>
              <w:t>Domestic HCV</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8,353</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6,881</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20"/>
                <w:szCs w:val="20"/>
                <w:color w:val="auto"/>
              </w:rPr>
            </w:pPr>
          </w:p>
        </w:tc>
      </w:tr>
      <w:tr>
        <w:trPr>
          <w:trHeight w:val="249"/>
        </w:trPr>
        <w:tc>
          <w:tcPr>
            <w:tcW w:w="658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International HCV</w:t>
            </w:r>
          </w:p>
        </w:tc>
        <w:tc>
          <w:tcPr>
            <w:tcW w:w="3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5,016</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4,902</w:t>
            </w: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40" w:type="dxa"/>
            <w:vAlign w:val="bottom"/>
            <w:tcBorders>
              <w:bottom w:val="single" w:sz="8" w:color="CFF0FC"/>
            </w:tcBorders>
            <w:shd w:val="clear" w:color="auto" w:fill="CFF0FC"/>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560" w:type="dxa"/>
            <w:vAlign w:val="bottom"/>
            <w:gridSpan w:val="2"/>
          </w:tcPr>
          <w:p>
            <w:pPr>
              <w:ind w:left="180"/>
              <w:spacing w:after="0"/>
              <w:rPr>
                <w:sz w:val="20"/>
                <w:szCs w:val="20"/>
                <w:color w:val="auto"/>
              </w:rPr>
            </w:pPr>
            <w:r>
              <w:rPr>
                <w:rFonts w:ascii="Arial" w:cs="Arial" w:eastAsia="Arial" w:hAnsi="Arial"/>
                <w:sz w:val="18"/>
                <w:szCs w:val="18"/>
                <w:color w:val="auto"/>
              </w:rPr>
              <w:t>Net HCV revenues</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13,369</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11,783</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20"/>
                <w:szCs w:val="20"/>
                <w:color w:val="auto"/>
              </w:rPr>
            </w:pPr>
          </w:p>
        </w:tc>
      </w:tr>
      <w:tr>
        <w:trPr>
          <w:trHeight w:val="277"/>
        </w:trPr>
        <w:tc>
          <w:tcPr>
            <w:tcW w:w="658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Net OraQuick® revenues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52,181</w:t>
            </w:r>
          </w:p>
        </w:tc>
        <w:tc>
          <w:tcPr>
            <w:tcW w:w="2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53,927</w:t>
            </w:r>
          </w:p>
        </w:tc>
        <w:tc>
          <w:tcPr>
            <w:tcW w:w="220" w:type="dxa"/>
            <w:vAlign w:val="bottom"/>
            <w:tcBorders>
              <w:bottom w:val="single" w:sz="8" w:color="CFF0FC"/>
            </w:tcBorders>
            <w:shd w:val="clear" w:color="auto" w:fill="CFF0FC"/>
          </w:tcPr>
          <w:p>
            <w:pPr>
              <w:spacing w:after="0"/>
              <w:rPr>
                <w:sz w:val="24"/>
                <w:szCs w:val="24"/>
                <w:color w:val="auto"/>
              </w:rPr>
            </w:pPr>
          </w:p>
        </w:tc>
        <w:tc>
          <w:tcPr>
            <w:tcW w:w="16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(3 )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-668020</wp:posOffset>
            </wp:positionV>
            <wp:extent cx="76835" cy="1631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-668020</wp:posOffset>
            </wp:positionV>
            <wp:extent cx="68580" cy="1631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-350520</wp:posOffset>
            </wp:positionV>
            <wp:extent cx="76835"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-350520</wp:posOffset>
            </wp:positionV>
            <wp:extent cx="6858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-24765</wp:posOffset>
            </wp:positionV>
            <wp:extent cx="768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-7620</wp:posOffset>
            </wp:positionV>
            <wp:extent cx="76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4"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Domestic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HIV sales decreased 2% to $16.2 million for the year ended December 31, 2022 from $16.6 million for the year ended December 31, 2021. The decline is primarily a result of a large order fulfilled in the first half of 2021 for our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In-Home HIV tests shipped to the CDC and use in an initiative to drive increased in-home HIV testing, which was not repeated in 2022. This negative impact to sales was partially offset by improved distribution strategy with our distribution partners.</w:t>
      </w:r>
    </w:p>
    <w:p>
      <w:pPr>
        <w:spacing w:after="0" w:line="209" w:lineRule="exact"/>
        <w:rPr>
          <w:sz w:val="20"/>
          <w:szCs w:val="20"/>
          <w:color w:val="auto"/>
        </w:rPr>
      </w:pPr>
    </w:p>
    <w:p>
      <w:pPr>
        <w:jc w:val="both"/>
        <w:ind w:right="20"/>
        <w:spacing w:after="0" w:line="236" w:lineRule="auto"/>
        <w:rPr>
          <w:sz w:val="20"/>
          <w:szCs w:val="20"/>
          <w:color w:val="auto"/>
        </w:rPr>
      </w:pPr>
      <w:r>
        <w:rPr>
          <w:rFonts w:ascii="Arial" w:cs="Arial" w:eastAsia="Arial" w:hAnsi="Arial"/>
          <w:sz w:val="18"/>
          <w:szCs w:val="18"/>
          <w:color w:val="auto"/>
        </w:rPr>
        <w:t>International sales of our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HIV products during 2022 decreased 11% to $22.6 million from $25.5 million in 2021. </w:t>
      </w:r>
      <w:r>
        <w:rPr>
          <w:rFonts w:ascii="Arial" w:cs="Arial" w:eastAsia="Arial" w:hAnsi="Arial"/>
          <w:sz w:val="18"/>
          <w:szCs w:val="18"/>
          <w:color w:val="212529"/>
        </w:rPr>
        <w:t>This decrease was largely due</w:t>
      </w:r>
      <w:r>
        <w:rPr>
          <w:rFonts w:ascii="Arial" w:cs="Arial" w:eastAsia="Arial" w:hAnsi="Arial"/>
          <w:sz w:val="18"/>
          <w:szCs w:val="18"/>
          <w:color w:val="auto"/>
        </w:rPr>
        <w:t xml:space="preserve"> </w:t>
      </w:r>
      <w:r>
        <w:rPr>
          <w:rFonts w:ascii="Arial" w:cs="Arial" w:eastAsia="Arial" w:hAnsi="Arial"/>
          <w:sz w:val="18"/>
          <w:szCs w:val="18"/>
          <w:color w:val="212529"/>
        </w:rPr>
        <w:t xml:space="preserve">to customer order timing. This was partially offset by Our </w:t>
      </w:r>
      <w:r>
        <w:rPr>
          <w:rFonts w:ascii="Arial" w:cs="Arial" w:eastAsia="Arial" w:hAnsi="Arial"/>
          <w:sz w:val="18"/>
          <w:szCs w:val="18"/>
          <w:color w:val="000000"/>
        </w:rPr>
        <w:t>OraQuick</w:t>
      </w:r>
      <w:r>
        <w:rPr>
          <w:rFonts w:ascii="Arial" w:cs="Arial" w:eastAsia="Arial" w:hAnsi="Arial"/>
          <w:sz w:val="24"/>
          <w:szCs w:val="24"/>
          <w:color w:val="000000"/>
          <w:vertAlign w:val="superscript"/>
        </w:rPr>
        <w:t>®</w:t>
      </w:r>
      <w:r>
        <w:rPr>
          <w:rFonts w:ascii="Arial" w:cs="Arial" w:eastAsia="Arial" w:hAnsi="Arial"/>
          <w:sz w:val="18"/>
          <w:szCs w:val="18"/>
          <w:color w:val="212529"/>
        </w:rPr>
        <w:t xml:space="preserve"> </w:t>
      </w:r>
      <w:r>
        <w:rPr>
          <w:rFonts w:ascii="Arial" w:cs="Arial" w:eastAsia="Arial" w:hAnsi="Arial"/>
          <w:sz w:val="18"/>
          <w:szCs w:val="18"/>
          <w:color w:val="000000"/>
        </w:rPr>
        <w:t>HIV Self-Test</w:t>
      </w:r>
      <w:r>
        <w:rPr>
          <w:rFonts w:ascii="Arial" w:cs="Arial" w:eastAsia="Arial" w:hAnsi="Arial"/>
          <w:sz w:val="18"/>
          <w:szCs w:val="18"/>
          <w:color w:val="212529"/>
        </w:rPr>
        <w:t xml:space="preserve"> expansion into Europe.</w:t>
      </w:r>
    </w:p>
    <w:p>
      <w:pPr>
        <w:spacing w:after="0" w:line="24"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Domestic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HCV sales increased 21% to $8.4 million in 2022 from $6.9 million in 2021, driven by new funding granted by certain state governments, increased legislation regarding drug testing and a rise in drug use requiring more testing. Furthermore this part of our business also benefited from an improved distribution strategy with our distribution partners.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International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HCV sales remained largely flat at $5.0 million in 2022 compared to $4.9 million in 2021.</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Substance Abuse Testing Market</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Sales to the substance abuse testing markets increased 6% to $10.3 million for the year ended December 31, 2022 from $9.7 million for the year ended December 31, 2021 due to market share gains.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revenues</w:t>
      </w:r>
    </w:p>
    <w:p>
      <w:pPr>
        <w:spacing w:after="0" w:line="12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Other revenues for the year ended December 31, 2022 increased 133% to $7.0 million from $3.0 million for the year ended December 31, 2021 largely due to higher research and development funding for 510(k) clearance and CLIA waiver of our InteliSwab</w:t>
      </w:r>
      <w:r>
        <w:rPr>
          <w:rFonts w:ascii="Arial" w:cs="Arial" w:eastAsia="Arial" w:hAnsi="Arial"/>
          <w:sz w:val="21"/>
          <w:szCs w:val="21"/>
          <w:color w:val="auto"/>
          <w:vertAlign w:val="superscript"/>
        </w:rPr>
        <w:t>®</w:t>
      </w:r>
      <w:r>
        <w:rPr>
          <w:rFonts w:ascii="Arial" w:cs="Arial" w:eastAsia="Arial" w:hAnsi="Arial"/>
          <w:sz w:val="16"/>
          <w:szCs w:val="16"/>
          <w:color w:val="auto"/>
        </w:rPr>
        <w:t xml:space="preserve"> COVID-19 rapid test. This was offset by lower royalty income from a licensing agreement related to our proprietary buffer solution used for the preservation and stabilization of oral fluid specimens.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62" w:name="page63"/>
    <w:bookmarkEnd w:id="62"/>
    <w:p>
      <w:pPr>
        <w:ind w:left="520"/>
        <w:spacing w:after="0"/>
        <w:rPr>
          <w:sz w:val="20"/>
          <w:szCs w:val="20"/>
          <w:color w:val="auto"/>
        </w:rPr>
      </w:pPr>
      <w:r>
        <w:rPr>
          <w:rFonts w:ascii="Arial" w:cs="Arial" w:eastAsia="Arial" w:hAnsi="Arial"/>
          <w:sz w:val="18"/>
          <w:szCs w:val="18"/>
          <w:b w:val="1"/>
          <w:bCs w:val="1"/>
          <w:i w:val="1"/>
          <w:iCs w:val="1"/>
          <w:color w:val="auto"/>
        </w:rPr>
        <w:t>Molecular Solutions Segment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212529"/>
        </w:rPr>
        <w:t>The table below shows a breakdown of total net revenues (dollars in thousands) generated by our Molecular Solutions segment for the year ended December 31, 2022 and 2021.</w:t>
      </w:r>
    </w:p>
    <w:p>
      <w:pPr>
        <w:spacing w:after="0" w:line="20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8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7"/>
              </w:rPr>
              <w:t>Years ended December 31,</w:t>
            </w:r>
          </w:p>
        </w:tc>
        <w:tc>
          <w:tcPr>
            <w:tcW w:w="10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3"/>
        </w:trPr>
        <w:tc>
          <w:tcPr>
            <w:tcW w:w="4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Market</w:t>
            </w:r>
          </w:p>
        </w:tc>
        <w:tc>
          <w:tcPr>
            <w:tcW w:w="54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43"/>
        </w:trPr>
        <w:tc>
          <w:tcPr>
            <w:tcW w:w="5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Genomics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54,335</w:t>
            </w: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63,350</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 %</w:t>
            </w:r>
          </w:p>
        </w:tc>
        <w:tc>
          <w:tcPr>
            <w:tcW w:w="20" w:type="dxa"/>
            <w:vAlign w:val="bottom"/>
          </w:tcPr>
          <w:p>
            <w:pPr>
              <w:spacing w:after="0"/>
              <w:rPr>
                <w:sz w:val="21"/>
                <w:szCs w:val="21"/>
                <w:color w:val="auto"/>
              </w:rPr>
            </w:pPr>
          </w:p>
        </w:tc>
      </w:tr>
      <w:tr>
        <w:trPr>
          <w:trHeight w:val="237"/>
        </w:trPr>
        <w:tc>
          <w:tcPr>
            <w:tcW w:w="5880" w:type="dxa"/>
            <w:vAlign w:val="bottom"/>
            <w:gridSpan w:val="2"/>
          </w:tcPr>
          <w:p>
            <w:pPr>
              <w:spacing w:after="0"/>
              <w:rPr>
                <w:sz w:val="20"/>
                <w:szCs w:val="20"/>
                <w:color w:val="auto"/>
              </w:rPr>
            </w:pPr>
            <w:r>
              <w:rPr>
                <w:rFonts w:ascii="Arial" w:cs="Arial" w:eastAsia="Arial" w:hAnsi="Arial"/>
                <w:sz w:val="18"/>
                <w:szCs w:val="18"/>
                <w:color w:val="auto"/>
              </w:rPr>
              <w:t>Microbiome</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7,503</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7,944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90"/>
              <w:spacing w:after="0"/>
              <w:rPr>
                <w:sz w:val="20"/>
                <w:szCs w:val="20"/>
                <w:color w:val="auto"/>
              </w:rPr>
            </w:pPr>
            <w:r>
              <w:rPr>
                <w:rFonts w:ascii="Arial" w:cs="Arial" w:eastAsia="Arial" w:hAnsi="Arial"/>
                <w:sz w:val="18"/>
                <w:szCs w:val="18"/>
                <w:color w:val="auto"/>
              </w:rPr>
              <w:t>(6 )</w:t>
            </w:r>
          </w:p>
        </w:tc>
        <w:tc>
          <w:tcPr>
            <w:tcW w:w="20" w:type="dxa"/>
            <w:vAlign w:val="bottom"/>
          </w:tcPr>
          <w:p>
            <w:pPr>
              <w:spacing w:after="0"/>
              <w:rPr>
                <w:sz w:val="20"/>
                <w:szCs w:val="20"/>
                <w:color w:val="auto"/>
              </w:rPr>
            </w:pPr>
          </w:p>
        </w:tc>
      </w:tr>
      <w:tr>
        <w:trPr>
          <w:trHeight w:val="249"/>
        </w:trPr>
        <w:tc>
          <w:tcPr>
            <w:tcW w:w="5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COVID-19</w:t>
            </w: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9,659</w:t>
            </w: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54,167</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(82 )</w:t>
            </w:r>
          </w:p>
        </w:tc>
        <w:tc>
          <w:tcPr>
            <w:tcW w:w="20" w:type="dxa"/>
            <w:vAlign w:val="bottom"/>
          </w:tcPr>
          <w:p>
            <w:pPr>
              <w:spacing w:after="0"/>
              <w:rPr>
                <w:sz w:val="21"/>
                <w:szCs w:val="21"/>
                <w:color w:val="auto"/>
              </w:rPr>
            </w:pPr>
          </w:p>
        </w:tc>
      </w:tr>
      <w:tr>
        <w:trPr>
          <w:trHeight w:val="237"/>
        </w:trPr>
        <w:tc>
          <w:tcPr>
            <w:tcW w:w="5880" w:type="dxa"/>
            <w:vAlign w:val="bottom"/>
            <w:gridSpan w:val="2"/>
          </w:tcPr>
          <w:p>
            <w:pPr>
              <w:spacing w:after="0"/>
              <w:rPr>
                <w:sz w:val="20"/>
                <w:szCs w:val="20"/>
                <w:color w:val="auto"/>
              </w:rPr>
            </w:pPr>
            <w:r>
              <w:rPr>
                <w:rFonts w:ascii="Arial" w:cs="Arial" w:eastAsia="Arial" w:hAnsi="Arial"/>
                <w:sz w:val="18"/>
                <w:szCs w:val="18"/>
                <w:color w:val="auto"/>
              </w:rPr>
              <w:t>Laboratory services</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7,296</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11,840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90"/>
              <w:spacing w:after="0"/>
              <w:rPr>
                <w:sz w:val="20"/>
                <w:szCs w:val="20"/>
                <w:color w:val="auto"/>
              </w:rPr>
            </w:pPr>
            <w:r>
              <w:rPr>
                <w:rFonts w:ascii="Arial" w:cs="Arial" w:eastAsia="Arial" w:hAnsi="Arial"/>
                <w:sz w:val="18"/>
                <w:szCs w:val="18"/>
                <w:color w:val="auto"/>
              </w:rPr>
              <w:t>(38 )</w:t>
            </w:r>
          </w:p>
        </w:tc>
        <w:tc>
          <w:tcPr>
            <w:tcW w:w="20" w:type="dxa"/>
            <w:vAlign w:val="bottom"/>
          </w:tcPr>
          <w:p>
            <w:pPr>
              <w:spacing w:after="0"/>
              <w:rPr>
                <w:sz w:val="20"/>
                <w:szCs w:val="20"/>
                <w:color w:val="auto"/>
              </w:rPr>
            </w:pPr>
          </w:p>
        </w:tc>
      </w:tr>
      <w:tr>
        <w:trPr>
          <w:trHeight w:val="249"/>
        </w:trPr>
        <w:tc>
          <w:tcPr>
            <w:tcW w:w="58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Other product and service revenues</w:t>
            </w:r>
          </w:p>
        </w:tc>
        <w:tc>
          <w:tcPr>
            <w:tcW w:w="2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2,591</w:t>
            </w:r>
          </w:p>
        </w:tc>
        <w:tc>
          <w:tcPr>
            <w:tcW w:w="2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2,566</w:t>
            </w:r>
          </w:p>
        </w:tc>
        <w:tc>
          <w:tcPr>
            <w:tcW w:w="1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5880" w:type="dxa"/>
            <w:vAlign w:val="bottom"/>
            <w:gridSpan w:val="2"/>
          </w:tcPr>
          <w:p>
            <w:pPr>
              <w:ind w:left="180"/>
              <w:spacing w:after="0"/>
              <w:rPr>
                <w:sz w:val="20"/>
                <w:szCs w:val="20"/>
                <w:color w:val="auto"/>
              </w:rPr>
            </w:pPr>
            <w:r>
              <w:rPr>
                <w:rFonts w:ascii="Arial" w:cs="Arial" w:eastAsia="Arial" w:hAnsi="Arial"/>
                <w:sz w:val="18"/>
                <w:szCs w:val="18"/>
                <w:color w:val="auto"/>
              </w:rPr>
              <w:t>Net molecular product and services revenues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81,384</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139,867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90"/>
              <w:spacing w:after="0"/>
              <w:rPr>
                <w:sz w:val="20"/>
                <w:szCs w:val="20"/>
                <w:color w:val="auto"/>
              </w:rPr>
            </w:pPr>
            <w:r>
              <w:rPr>
                <w:rFonts w:ascii="Arial" w:cs="Arial" w:eastAsia="Arial" w:hAnsi="Arial"/>
                <w:sz w:val="18"/>
                <w:szCs w:val="18"/>
                <w:color w:val="auto"/>
              </w:rPr>
              <w:t>(42 )</w:t>
            </w:r>
          </w:p>
        </w:tc>
        <w:tc>
          <w:tcPr>
            <w:tcW w:w="20" w:type="dxa"/>
            <w:vAlign w:val="bottom"/>
          </w:tcPr>
          <w:p>
            <w:pPr>
              <w:spacing w:after="0"/>
              <w:rPr>
                <w:sz w:val="20"/>
                <w:szCs w:val="20"/>
                <w:color w:val="auto"/>
              </w:rPr>
            </w:pPr>
          </w:p>
        </w:tc>
      </w:tr>
      <w:tr>
        <w:trPr>
          <w:trHeight w:val="249"/>
        </w:trPr>
        <w:tc>
          <w:tcPr>
            <w:tcW w:w="58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2,422</w:t>
            </w:r>
          </w:p>
        </w:tc>
        <w:tc>
          <w:tcPr>
            <w:tcW w:w="2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3,767</w:t>
            </w:r>
          </w:p>
        </w:tc>
        <w:tc>
          <w:tcPr>
            <w:tcW w:w="1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(36 )</w:t>
            </w:r>
          </w:p>
        </w:tc>
        <w:tc>
          <w:tcPr>
            <w:tcW w:w="20" w:type="dxa"/>
            <w:vAlign w:val="bottom"/>
          </w:tcPr>
          <w:p>
            <w:pPr>
              <w:spacing w:after="0"/>
              <w:rPr>
                <w:sz w:val="21"/>
                <w:szCs w:val="21"/>
                <w:color w:val="auto"/>
              </w:rPr>
            </w:pPr>
          </w:p>
        </w:tc>
      </w:tr>
      <w:tr>
        <w:trPr>
          <w:trHeight w:val="237"/>
        </w:trPr>
        <w:tc>
          <w:tcPr>
            <w:tcW w:w="5880" w:type="dxa"/>
            <w:vAlign w:val="bottom"/>
            <w:gridSpan w:val="2"/>
          </w:tcPr>
          <w:p>
            <w:pPr>
              <w:ind w:left="180"/>
              <w:spacing w:after="0"/>
              <w:rPr>
                <w:sz w:val="20"/>
                <w:szCs w:val="20"/>
                <w:color w:val="auto"/>
              </w:rPr>
            </w:pPr>
            <w:r>
              <w:rPr>
                <w:rFonts w:ascii="Arial" w:cs="Arial" w:eastAsia="Arial" w:hAnsi="Arial"/>
                <w:sz w:val="18"/>
                <w:szCs w:val="18"/>
                <w:color w:val="auto"/>
              </w:rPr>
              <w:t>Net molecular product and services revenues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83,806</w:t>
            </w:r>
          </w:p>
        </w:tc>
        <w:tc>
          <w:tcPr>
            <w:tcW w:w="5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143,634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(42 ) %</w:t>
            </w:r>
          </w:p>
        </w:tc>
      </w:tr>
      <w:tr>
        <w:trPr>
          <w:trHeight w:val="20"/>
        </w:trPr>
        <w:tc>
          <w:tcPr>
            <w:tcW w:w="4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-505460</wp:posOffset>
            </wp:positionV>
            <wp:extent cx="68580" cy="1631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-505460</wp:posOffset>
            </wp:positionV>
            <wp:extent cx="60325" cy="1631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-187960</wp:posOffset>
            </wp:positionV>
            <wp:extent cx="68580" cy="1885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-187960</wp:posOffset>
            </wp:positionV>
            <wp:extent cx="60325" cy="1885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2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Sales of our genomics products decreased 14% to $54.3 million in 2022 compared to $63.4 million in 2021, largely as a result of a shift in market prioritization at our larger commercial customers and a reduction in demand in the animal genetics market.</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Microbiome revenues decreased 6% to $7.5 million in 2022 compared to $7.9 million in 2021, due to decreased sales in the commercial microbiome market. This was partially offset by the onboarding of new customers in the academic market.</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Sales of our molecular sample collection kits for COVID-19 testing decreased 82% to $9.7 million in 2022 compared to $54.2 million in 2021 due to lower COVID-19 PCR testing sales to our core customers, driven by the availability of antigen tests, the wider availability of vaccines, lower public funding for PCR testing, and high inventory levels held by some of those customers.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Laboratory services revenues decreased 38% to $7.3 million in 2022 compared to $11.8 million in 2021, as a result of a large customer ceasing its operations and the timing of clinical trials activity.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revenues decreased 36% to $2.4 million in 2022 compared to $3.8 million in 2021 due to lower royalty income received under a litigation settlement agreement.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OPERATING RESULTS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Consolidated gross profit percentage was 38% for the year ended December 31, 2022 compared to 50% for 2021. The decrease in gross margins rates was caused by an unfavorable product mix of higher sales of lower margin products driven by the decline in molecular COVID-19 revenues offset by an increase in InteliSwab® revenues. In addition, 2021 margins benefited from lower payroll taxes as result of applying for an Employee Retention Credit under the Coronavirus Aid, Relief and Economic Security Act, which increased gross profit by $2.5 million.</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Consolidated operating loss in 2022 was $23.0 million, which was a $12.8 million increase from the $10.2 million of operating loss reported in 2021. Results in 2022 were negatively impacted by the decline in gross margin described above coupled with impairment charges of $17.1 million and the increased operating expenses described below.</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BY SEGMENT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Diagnostic Segment</w:t>
      </w:r>
    </w:p>
    <w:p>
      <w:pPr>
        <w:spacing w:after="0" w:line="11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gross profit percentage of the Diagnostics business was 36% in 2022 compared to 29% in 2021. This increase was driven by an improved product mix associated with the higher sales of InteliSwab</w:t>
      </w:r>
      <w:r>
        <w:rPr>
          <w:rFonts w:ascii="Arial" w:cs="Arial" w:eastAsia="Arial" w:hAnsi="Arial"/>
          <w:sz w:val="24"/>
          <w:szCs w:val="24"/>
          <w:color w:val="auto"/>
          <w:vertAlign w:val="superscript"/>
        </w:rPr>
        <w:t>®</w:t>
      </w:r>
      <w:r>
        <w:rPr>
          <w:rFonts w:ascii="Arial" w:cs="Arial" w:eastAsia="Arial" w:hAnsi="Arial"/>
          <w:sz w:val="18"/>
          <w:szCs w:val="18"/>
          <w:color w:val="auto"/>
        </w:rPr>
        <w:t xml:space="preserve"> COVID-19 Rapid Tests. This was partially offset by lower payroll taxes in 2021 as result of applying for the Employee Retention Credit which increased gross profit by $2.5 million in that year.</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Research and development expenses increased 8% to $26.0 million in 2022 from $24.1 million in 2021, due to higher staffing costs associated with increased head count, cost incurred under our DOD expansion contract which did not occur in 2021, and increased clinical study activities related to obtaining CE mark for our InteliSwab® rapid test, partially offset by lower product development activities related to our InteliSwab® rapid test as we received EUA authorization in June 2021. Also contributing to the higher spend are consulting fees required under our DOD expansion contract. Similar fees did not occur in 2021.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3" w:name="page64"/>
    <w:bookmarkEnd w:id="63"/>
    <w:p>
      <w:pPr>
        <w:jc w:val="both"/>
        <w:spacing w:after="0" w:line="301" w:lineRule="auto"/>
        <w:rPr>
          <w:sz w:val="20"/>
          <w:szCs w:val="20"/>
          <w:color w:val="auto"/>
        </w:rPr>
      </w:pPr>
      <w:r>
        <w:rPr>
          <w:rFonts w:ascii="Arial" w:cs="Arial" w:eastAsia="Arial" w:hAnsi="Arial"/>
          <w:sz w:val="16"/>
          <w:szCs w:val="16"/>
          <w:color w:val="auto"/>
        </w:rPr>
        <w:t>Sales and marketing expenses increased 18% to $33.5 million in 2022 from $28.5 million in 2021, due to increased staffing costs associated with higher head count, increased severance costs, and the inclusion of the Employee Retention Credit in 2021 results, which did not repeat in 2022. Furthermore, travel and annual meeting expenses increased as travel and in person events have resumed as COVID-19 restrictions have been lifted. In addition, we also recorded an increase in our reserve for uncollectible accounts. These higher spend items were partially offset by a decrease in consulting fees.</w:t>
      </w:r>
    </w:p>
    <w:p>
      <w:pPr>
        <w:spacing w:after="0" w:line="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General and administrative expenses increased 31% to $42.8 million in 2022 from $32.6 million in 2021 largely due to higher stock compensation expense associated with accelerated vesting of shares under our former CEO's and general counsel's employment agreements, higher staffing costs associated with increased head count and severance costs, increased legal costs, and increased consulting and accounting fees.</w:t>
      </w:r>
    </w:p>
    <w:p>
      <w:pPr>
        <w:spacing w:after="0" w:line="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Operating expenses for the Diagnostic segment also include an impairment charge of $4.9 million associated with an idle manufacturing line for which it has no projected cash flows and minimal resale or salvage value. Diagnostic operating expenses also included a goodwill impairment charge of $3.6 million. The decline in the Company's stock price was identified as a triggering event which required the Company to perform a quantitative goodwill impairment analysis. The results of this analysis indicated the Diagnostic segment's goodwill was impaired and was written down to $0.</w:t>
      </w:r>
    </w:p>
    <w:p>
      <w:pPr>
        <w:spacing w:after="0" w:line="6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All of the above contributed to the Diagnostics segment’s operating loss of $0.6 million for the year ended December 31, 2022, which included non-cash charges of $8.1 million for depreciation and amortization, impairment charges of $8.5 million, and $9.3 million for stock-based compensation.</w:t>
      </w:r>
    </w:p>
    <w:p>
      <w:pPr>
        <w:spacing w:after="0" w:line="25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Molecular Solutions Segment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gross profit percentage of the Molecular Solutions segment was 46% in 2022 compared to 63% in 2021. This decrease was due to a less favorable product mix and an increase in reserves for excess inventory as result of a forecasted decline in demand.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remained relatively flat at $10.3 million in 2022 compared to $10.1 million in 2021.</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Sales and marketing expenses decreased 4% to $15.7 million in 2022 compared to $16.3 million in 2021 largely due to lower amortization expense associated with an intangible asset that was fully amortized at the end of 2021, lower commission expense associated with the decline in sales, lower consulting costs, and a decrease in expense related to the cancellation of a marketing loyalty program. These decreases in spend were partially offset by higher staffing costs related to increased head count.</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General and administrative expenses increased 44% to $25.4 million in 2022 compared to $17.7 million in 2021, due primarily to higher legal fees.</w:t>
      </w:r>
    </w:p>
    <w:p>
      <w:pPr>
        <w:spacing w:after="0" w:line="2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Operating expenses for the Molecular Solutions segment also includes impairment charges of $8.6 million in 2022 associated with several idle manufacturing lines for which there are no projected cash flows and minimal resale or salvage value.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of the above contributed to an operating loss of $22.4 million for 2022, which included non-cash charges of $7.2 million for depreciation and amortization, the impairment charges of $8.6 million, and $2.3 million for stock-based compensation.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INCOME TAXES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continue to believe the full valuation allowance established in 2008 against our total U.S. deferred tax asset is appropriate as the facts and circumstances necessitating the allowance have not changed. For the year ended December 31, 2022 and 2021, we recorded income tax expense of $1.5 million and $13.7 million, respectively. 2022 income tax expense is comprised of $1.7 million of Canadian withholding taxes paid on the repatriation of Canadian earnings which occurred in the first quarter of 2022, $0.9 million of U.S. state income taxes, and a foreign income tax benefit of $1.2 million associated with our Canadian subsidiary. Our 2021 expense is comprised of U.S. state income taxes of $0.2 million and foreign tax expense associated with our Canadian subsidiary of $13.5 million.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70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December 31,</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94"/>
              </w:rPr>
              <w:t>December 31,</w:t>
            </w: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85"/>
        </w:trPr>
        <w:tc>
          <w:tcPr>
            <w:tcW w:w="17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69"/>
        </w:trPr>
        <w:tc>
          <w:tcPr>
            <w:tcW w:w="17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3"/>
          </w:tcPr>
          <w:p>
            <w:pPr>
              <w:jc w:val="right"/>
              <w:ind w:right="428"/>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3"/>
        </w:trPr>
        <w:tc>
          <w:tcPr>
            <w:tcW w:w="1700" w:type="dxa"/>
            <w:vAlign w:val="bottom"/>
          </w:tcPr>
          <w:p>
            <w:pPr>
              <w:spacing w:after="0"/>
              <w:rPr>
                <w:sz w:val="21"/>
                <w:szCs w:val="21"/>
                <w:color w:val="auto"/>
              </w:rPr>
            </w:pPr>
          </w:p>
        </w:tc>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316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83,980</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116,762</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7"/>
        </w:trPr>
        <w:tc>
          <w:tcPr>
            <w:tcW w:w="1700" w:type="dxa"/>
            <w:vAlign w:val="bottom"/>
          </w:tcPr>
          <w:p>
            <w:pPr>
              <w:spacing w:after="0"/>
              <w:rPr>
                <w:sz w:val="20"/>
                <w:szCs w:val="20"/>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Available for sale securities</w:t>
            </w:r>
          </w:p>
        </w:tc>
        <w:tc>
          <w:tcPr>
            <w:tcW w:w="2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26,867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53,288</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9"/>
        </w:trPr>
        <w:tc>
          <w:tcPr>
            <w:tcW w:w="1700" w:type="dxa"/>
            <w:vAlign w:val="bottom"/>
          </w:tcPr>
          <w:p>
            <w:pPr>
              <w:spacing w:after="0"/>
              <w:rPr>
                <w:sz w:val="21"/>
                <w:szCs w:val="21"/>
                <w:color w:val="auto"/>
              </w:rPr>
            </w:pPr>
          </w:p>
        </w:tc>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w:t>
            </w:r>
          </w:p>
        </w:tc>
        <w:tc>
          <w:tcPr>
            <w:tcW w:w="29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255,326</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231,242</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648"/>
        </w:trPr>
        <w:tc>
          <w:tcPr>
            <w:tcW w:w="17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940" w:type="dxa"/>
            <w:vAlign w:val="bottom"/>
          </w:tcPr>
          <w:p>
            <w:pPr>
              <w:jc w:val="right"/>
              <w:ind w:right="1750"/>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292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4" w:name="page65"/>
    <w:bookmarkEnd w:id="64"/>
    <w:p>
      <w:pPr>
        <w:jc w:val="both"/>
        <w:spacing w:after="0" w:line="277" w:lineRule="auto"/>
        <w:rPr>
          <w:sz w:val="20"/>
          <w:szCs w:val="20"/>
          <w:color w:val="auto"/>
        </w:rPr>
      </w:pPr>
      <w:r>
        <w:rPr>
          <w:rFonts w:ascii="Arial" w:cs="Arial" w:eastAsia="Arial" w:hAnsi="Arial"/>
          <w:sz w:val="18"/>
          <w:szCs w:val="18"/>
          <w:color w:val="auto"/>
        </w:rPr>
        <w:t>Our cash and cash equivalents and available-for-sale securities decreased to $110.8 million at December 31, 2022 from $170.0 million at December 31, 2021. Our working capital increased to $255.3 million at December 31, 2022 from $231.2 million at December 31, 2021.</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the year ended December 31, 2022, net cash used in operating activities was $47.2 million. Our net loss of $17.9 million included non-cash charges of $17.1 million associated with impairment charges taken for idle manufacturing lines and goodwill, depreciation and amortization expense of $15.3 million, stock-based compensation expense of $11.6 million, deferred income tax benefit of $1.7 million, a decrease in reserve for uncollectible accounts of $1.0 million, and a decrease in inventory reserves of $0.8 million. Cash used to fund our working capital accounts included an increase in inventory of $43.0 million to meet anticipated demand to support COVID-19 testing programs, an increase in accounts receivable of $25.2 million due to orders placed in the fourth quarter, an increase in prepaid expenses and other assets of $7.1 million associated with tax installments made to the Canadian Revenue Agency and a decrease in deferred revenue of $0.6 million due to the recognition of revenue from customer prepayments. Offsetting these uses of cash was a $4.0 million increase in accounts payable due to the timing of invoices received and payments made and a decrease in accrued expenses and other liabilities of $1.4 million.</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investing activities was $21.1 million for the year ended December 31, 2022, which reflects proceeds from the maturities and redemptions of investments of $47.4 million, offset by $22.9 million used to purchase investments. Investing activities also included $6.8 million to acquire property and equipment and $57.1 million used to build additional manufacturing capacity as required by the $109 million agreement with the DOD. This is offset by $60.3 million received from the DOD as reimbursement under that contract.</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used in financing activities was $3.8 million for the year ended December 31, 2022, which reflects $2.3 million used for the repurchase of common stock to satisfy withholding taxes related to the vesting of restricted shares and performance stock units awarded to our employees, payments of lease liabilities of $1.4 and payment of our contingent consideration obligation of $0.2 million.</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expect current balances of cash and cash equivalents and available-for-sale securities to be sufficient to fund our current and foreseeable operating and capital needs. Our cash requirements, however, may vary materially from those now planned due to many factors, including, but not limited to, the timing of reimbursement under our $109 million DOD contract, the scope and timing of future strategic acquisitions, the progress of our research and development programs, the scope and results of clinical testing, the cost of any future litigation, the magnitude of capital expenditures, changes in existing and potential relationships with business partners, the timing and cost of obtaining regulatory approvals, the timing and cost of future stock purchases, the costs involved in obtaining and enforcing patents, proprietary rights and any necessary licenses, the cost and timing of expansion of sales and marketing activities, market acceptance of new products, competing technological and market developments, the impact of the current economic environment and other factors. In addition, $71.0 million, or 64%, of our $110.8 million in cash, cash equivalents and available-for-sale securities belongs to our Canadian subsidiary. In 2022, we repatriated $65 million of such cash into the United States and incurred approximately $1.7 million of Canadian withholding tax. Further repatriation of cash from Canada into the United States could have additional adverse tax consequences. It is still our intention going forward to continue to permanently reinvest the historical undistributed earnings of our foreign subsidiaries.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Management’s Discussion and Analysis of Financial Condition and Results of Operations discusses our consolidated financial statements, which have been prepared in accordance with accounting principles generally accepted in the United States of America. The preparation of these financial statements requires that we make judgments and estimates that affect the reported amounts of assets and liabilities, the disclosure of contingent assets and liabilities at the date of the financial statements, and the reported amounts of revenues and expenses during the reporting period. We base our judgments and estimates on historical experience and on various other factors that are believed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significant accounting policies are described in Note 2 of the Notes to the consolidated financial statements included in Item 15 of this Annual Report. We consider the following accounting policies, which have been discussed with our Audit Committee, to be most critical in understanding the more complex judgments that are involved in preparing our financial statements and the uncertainties that could impact our results of operations, financial condition, and cash flows.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auto"/>
        </w:rPr>
        <w:t>Revenue Recognition</w:t>
      </w:r>
      <w:r>
        <w:rPr>
          <w:rFonts w:ascii="Arial" w:cs="Arial" w:eastAsia="Arial" w:hAnsi="Arial"/>
          <w:sz w:val="18"/>
          <w:szCs w:val="18"/>
          <w:color w:val="auto"/>
        </w:rPr>
        <w:t>.</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u w:val="single" w:color="auto"/>
          <w:color w:val="auto"/>
        </w:rPr>
        <w:t>Product sales</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from product sales is recognized upon transfer of control of a product to a customer based on an amount that reflects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we are entitled to, net of allowances for any discounts or rebates.</w:t>
      </w:r>
    </w:p>
    <w:p>
      <w:pPr>
        <w:spacing w:after="0" w:line="17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generally do not grant product return rights to our customers, except for warranty returns and return rights on sales of our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In-Home HIV test to the retail trade, and InteliSwab</w:t>
      </w:r>
      <w:r>
        <w:rPr>
          <w:rFonts w:ascii="Arial" w:cs="Arial" w:eastAsia="Arial" w:hAnsi="Arial"/>
          <w:sz w:val="20"/>
          <w:szCs w:val="20"/>
          <w:color w:val="212529"/>
          <w:vertAlign w:val="superscript"/>
        </w:rPr>
        <w:t>®</w:t>
      </w:r>
      <w:r>
        <w:rPr>
          <w:rFonts w:ascii="Arial" w:cs="Arial" w:eastAsia="Arial" w:hAnsi="Arial"/>
          <w:sz w:val="18"/>
          <w:szCs w:val="18"/>
          <w:color w:val="auto"/>
        </w:rPr>
        <w:t xml:space="preserve"> products to the retail trade and certain customers.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Historically, returns arising from warranty issues have been infrequent and immaterial. Accordingly, we expense warranty returns as incurred.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Service Revenues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Service revenues represent microbiome laboratory testing and analytical services. We recognize revenues when we satisfy our performance obligation for services rendered.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Arrangements with multiple-performance obligations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arrangements involving more than one performance obligation, which largely applies to our service revenue stream, each required performance obligation is evaluated to determine whether it qualifies as a distinct performance obligation based on whether (i) the customer can benefit from the good or service either on its own or together with other resources that are readily available and (ii) the good or service is separately identifiable from other promises in the contract. The consideration under the arrangement is then allocated to each separate distinct performance obligation based on each respective relative stand-alone selling price. The estimated selling price of each deliverable is determined using an observable cost plus margin approach. The consideration allocated to each distinct performance obligation is recognized as revenue when control is transferred for the related goods or services or when the performance obligation has been satisfied.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Inventories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inventories are stated at the lower of cost or net realizable value, with cost determined on a first-in, first-out basis, and include the cost of raw materials, labor and overhead. The majority of our inventories are subject to expiration dating, which can be extended in certain circumstances. We continually evaluate quantities on hand and the carrying value of our inventories to determine the need for net realizable value adjustments, based primarily on prior experience with consideration of expected changes in the business and estimated forecasts of product sales. We reserve for unidentified scrap or spoilage based on historical write-off rates. We also consider items identified through specific identification procedures in assessing the adequacy of our reserve. Although we make every effort to ensure the accuracy of our forecasts of future product demand, any significant unanticipated changes in demand could have a significant impact on the carrying value of our inventories and reported operating results.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auto"/>
        </w:rPr>
        <w:t>Goodwill</w:t>
      </w:r>
    </w:p>
    <w:p>
      <w:pPr>
        <w:spacing w:after="0" w:line="200" w:lineRule="exact"/>
        <w:rPr>
          <w:sz w:val="20"/>
          <w:szCs w:val="20"/>
          <w:color w:val="auto"/>
        </w:rPr>
      </w:pPr>
    </w:p>
    <w:p>
      <w:pPr>
        <w:spacing w:after="0" w:line="2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Goodwill is not amortized, but rather is tested annually for impairment or more frequently if we believe that indicators of impairment exist. Current generally accepted accounting principles permit us to make a qualitative evaluation about the likelihood of goodwill impairment and if it is determined that it is more likely than not that the fair value does not exceed the carrying amount, then a quantitative test is performed. The quantitative goodwill impairment test involves a comparison of the estimated fair value of the reporting unit to the respective carrying amount. An impairment charge is recognized in the amount by which the carrying amount exceeds the reporting unit’s fair value, provided the impairment charge does not exceed the total amount of goodwill allocated to the reporting unit.</w:t>
      </w:r>
    </w:p>
    <w:p>
      <w:pPr>
        <w:spacing w:after="0" w:line="200" w:lineRule="exact"/>
        <w:rPr>
          <w:sz w:val="20"/>
          <w:szCs w:val="20"/>
          <w:color w:val="auto"/>
        </w:rPr>
      </w:pP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process of evaluating the potential impairment of goodwill is highly subjective and requires significant judgment, including the identification of reporting units, qualitative evaluation of events and circumstances to determine if it is more likely than not that an impairment exists, and, if necessary, the estimation of the fair value of the applicable reporting unit.</w:t>
      </w:r>
    </w:p>
    <w:p>
      <w:pPr>
        <w:spacing w:after="0" w:line="28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with respect to forward-looking statements within “Management’s Discussion and Analysis of Financial Condition and Results of Operations” of this Annual Report is incorporated herein by reference.</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hold any amounts of derivative financial instruments or derivative commodity instruments and, accordingly, we have no material derivative risk to report under this Item.</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As of December 31, 2022, we did not have any foreign currency exchange contracts or purchase currency options to hedge local currency cash flows. Sales denominated in foreign currencies comprised 2.0% of our total revenues for the year ended December 31, 2022. We do have foreign currency exchange risk related to our operating subsidiaries in Canada and in Belgium. </w:t>
      </w:r>
      <w:r>
        <w:rPr>
          <w:rFonts w:ascii="Arial" w:cs="Arial" w:eastAsia="Arial" w:hAnsi="Arial"/>
          <w:sz w:val="16"/>
          <w:szCs w:val="16"/>
          <w:color w:val="212529"/>
        </w:rPr>
        <w:t>The principal foreign currencies in which we conduct business are the Canadian dollar and</w:t>
      </w:r>
      <w:r>
        <w:rPr>
          <w:rFonts w:ascii="Arial" w:cs="Arial" w:eastAsia="Arial" w:hAnsi="Arial"/>
          <w:sz w:val="16"/>
          <w:szCs w:val="16"/>
          <w:color w:val="auto"/>
        </w:rPr>
        <w:t xml:space="preserve"> </w:t>
      </w:r>
      <w:r>
        <w:rPr>
          <w:rFonts w:ascii="Arial" w:cs="Arial" w:eastAsia="Arial" w:hAnsi="Arial"/>
          <w:sz w:val="16"/>
          <w:szCs w:val="16"/>
          <w:color w:val="212529"/>
        </w:rPr>
        <w:t>the Euro. Fluctuations in the exchange rate between the U.S. dollar and these foreign currencies could affect year-to-year comparability of operating results and cash flows. Our foreign subsidiaries had net assets, subject to translation, of $120.3 million in U.S. Dollars, which are included in the Company’s consolidated balance sheet as of December 31, 2022. A 10% unfavorable change in the Canadian-to-U.S. dollar and Euro-to-U.S. dollar exchange rates would have increased our comprehensive loss by approximately $12.0 million in the year ended December 31, 2022.</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Information with respect to this Item is contained in our Consolidated Financial Statements included under Item 15 of this Annual Report.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left="260" w:hanging="252"/>
        <w:spacing w:after="0"/>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Evaluation of Disclosure Controls and Procedures</w:t>
      </w:r>
      <w:r>
        <w:rPr>
          <w:rFonts w:ascii="Arial" w:cs="Arial" w:eastAsia="Arial" w:hAnsi="Arial"/>
          <w:sz w:val="18"/>
          <w:szCs w:val="18"/>
          <w:color w:val="auto"/>
        </w:rPr>
        <w:t>.</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management, with the participation of the Company’s Chief Executive Officer, Chief Financial Officer and Chief Accounting Officer, has evaluated the effectiveness of the Company’s disclosure controls and procedures (as defined in Rules 13a-15(e) and 15d-15(e) of the Securities Exchange Act of 1934) as of December 31, 2022. Based on that evaluation, the Company’s management, including such officers, concluded that as of December 31, 2022 the Company’s disclosure controls and procedures were effective to provide reasonable assurance that information required to be disclosed by the Company in the reports that we file or submit under the Securities Exchange Act of 1934 is accumulated and communicated to the Company’s management, including the Chief Executive Officer, Chief Financial Officer and Chief Accounting Officer, to allow timely decisions regarding required disclosure and is recorded, processed, summarized, and reported within the time periods specified in the rules and forms of the Securities and Exchange Commission.</w:t>
      </w:r>
    </w:p>
    <w:p>
      <w:pPr>
        <w:spacing w:after="0" w:line="300" w:lineRule="exact"/>
        <w:rPr>
          <w:sz w:val="20"/>
          <w:szCs w:val="20"/>
          <w:color w:val="auto"/>
        </w:rPr>
      </w:pPr>
    </w:p>
    <w:p>
      <w:pPr>
        <w:ind w:left="260" w:hanging="252"/>
        <w:spacing w:after="0"/>
        <w:tabs>
          <w:tab w:leader="none" w:pos="26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Management’s Report on Internal Control Over Financial Reporting.</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Company’s management is responsible for establishing and maintaining adequate internal control over financial reporting, as such term is defined in Rule 13a-15(f) and 15d-15(f) under the Securities Exchange Act of 1934. Under the supervision and with the participation of the Company’s management, including our principal executive officer and principal financial officer, we conducted an evaluation of the effectiveness of our internal control over financial reporting based on the framework in </w:t>
      </w:r>
      <w:r>
        <w:rPr>
          <w:rFonts w:ascii="Arial" w:cs="Arial" w:eastAsia="Arial" w:hAnsi="Arial"/>
          <w:sz w:val="18"/>
          <w:szCs w:val="18"/>
          <w:i w:val="1"/>
          <w:iCs w:val="1"/>
          <w:color w:val="auto"/>
        </w:rPr>
        <w:t>Internal Control - Integrated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7" w:name="page68"/>
    <w:bookmarkEnd w:id="67"/>
    <w:p>
      <w:pPr>
        <w:jc w:val="both"/>
        <w:spacing w:after="0" w:line="259" w:lineRule="auto"/>
        <w:rPr>
          <w:sz w:val="20"/>
          <w:szCs w:val="20"/>
          <w:color w:val="auto"/>
        </w:rPr>
      </w:pP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Based on our evaluation under the framework, our</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concluded that our internal control over financial reporting was effective to provide reasonable assurance regarding the reliability of financial reporting and the preparation of financial statements for external purposes in accordance with generally accepted accounting principles as of December 31, 2022.</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2022 has been audited by KPMG LLP, an independent registered public accounting firm, as stated in their report, which is included below.</w:t>
      </w:r>
    </w:p>
    <w:p>
      <w:pPr>
        <w:spacing w:after="0" w:line="278" w:lineRule="exact"/>
        <w:rPr>
          <w:sz w:val="20"/>
          <w:szCs w:val="20"/>
          <w:color w:val="auto"/>
        </w:rPr>
      </w:pPr>
    </w:p>
    <w:p>
      <w:pPr>
        <w:ind w:left="260" w:hanging="252"/>
        <w:spacing w:after="0"/>
        <w:tabs>
          <w:tab w:leader="none" w:pos="26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Changes in Internal Control Over Financial Reporting</w:t>
      </w:r>
      <w:r>
        <w:rPr>
          <w:rFonts w:ascii="Arial" w:cs="Arial" w:eastAsia="Arial" w:hAnsi="Arial"/>
          <w:sz w:val="18"/>
          <w:szCs w:val="18"/>
          <w:color w:val="auto"/>
        </w:rPr>
        <w: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quarter ended December 31, 2022, management identified and remediated a material weakness in internal control over financial reporting related to user access controls to adequately restrict access over our information technology system that supports our financial reporting processes. No misstatement arose as a result of this deficiency.</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Except for the foregoing, there was no change in our internal control over financial reporting identified in management’s evaluation pursuant to Rules 13a or 15d of the Exchange Act that occurred during the quarter ended December 31, 2022 that has materially affected, or is reasonably likely to materially affect, our internal control over financial reporting.</w:t>
      </w:r>
    </w:p>
    <w:p>
      <w:pPr>
        <w:spacing w:after="0" w:line="292" w:lineRule="exact"/>
        <w:rPr>
          <w:sz w:val="20"/>
          <w:szCs w:val="20"/>
          <w:color w:val="auto"/>
        </w:rPr>
      </w:pPr>
    </w:p>
    <w:p>
      <w:pPr>
        <w:ind w:left="260" w:hanging="252"/>
        <w:spacing w:after="0"/>
        <w:tabs>
          <w:tab w:leader="none" w:pos="26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Report of Independent Registered Public Accounting Firm</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OraSure Technologies,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2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 xml:space="preserve">We have audited OraSure Technologies, Inc. and subsidiaries' (the Company) internal control over financial reporting as of December 31,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In our opinion, the Company maintained, in all material respects, effective internal control over financial reporting as of December 31,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91"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2022 and 2021, the related consolidated statements of operations, comprehensive income (loss), stockholders’ equity, and cash flows for each of the years in the three-year period ended December 31, 2022, and the related notes (collectively, the consolidated financial statements), and our report dated March 3, 2023 expressed an unqualified opinion on those consolidated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3"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8" w:name="page69"/>
    <w:bookmarkEnd w:id="68"/>
    <w:p>
      <w:pPr>
        <w:spacing w:after="0" w:line="279" w:lineRule="auto"/>
        <w:rPr>
          <w:sz w:val="20"/>
          <w:szCs w:val="20"/>
          <w:color w:val="auto"/>
        </w:rPr>
      </w:pPr>
      <w:r>
        <w:rPr>
          <w:rFonts w:ascii="Arial" w:cs="Arial" w:eastAsia="Arial" w:hAnsi="Arial"/>
          <w:sz w:val="17"/>
          <w:szCs w:val="17"/>
          <w:color w:val="auto"/>
        </w:rPr>
        <w:t>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 2023</w:t>
      </w:r>
    </w:p>
    <w:p>
      <w:pPr>
        <w:spacing w:after="0" w:line="200" w:lineRule="exact"/>
        <w:rPr>
          <w:sz w:val="20"/>
          <w:szCs w:val="20"/>
          <w:color w:val="auto"/>
        </w:rPr>
      </w:pPr>
    </w:p>
    <w:p>
      <w:pPr>
        <w:spacing w:after="0" w:line="33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right="5020"/>
        <w:spacing w:after="0" w:line="407" w:lineRule="auto"/>
        <w:rPr>
          <w:sz w:val="20"/>
          <w:szCs w:val="20"/>
          <w:color w:val="auto"/>
        </w:rPr>
      </w:pPr>
      <w:r>
        <w:rPr>
          <w:rFonts w:ascii="Arial" w:cs="Arial" w:eastAsia="Arial" w:hAnsi="Arial"/>
          <w:sz w:val="18"/>
          <w:szCs w:val="18"/>
          <w:b w:val="1"/>
          <w:bCs w:val="1"/>
          <w:color w:val="auto"/>
        </w:rPr>
        <w:t xml:space="preserve">ITEM 9C. Disclosure regarding Foreign Jurisdictions that Prevent Inspections </w:t>
      </w:r>
      <w:r>
        <w:rPr>
          <w:rFonts w:ascii="Arial" w:cs="Arial" w:eastAsia="Arial" w:hAnsi="Arial"/>
          <w:sz w:val="18"/>
          <w:szCs w:val="18"/>
          <w:color w:val="auto"/>
        </w:rPr>
        <w:t>Not applicable.</w:t>
      </w:r>
    </w:p>
    <w:p>
      <w:pPr>
        <w:spacing w:after="0" w:line="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8" w:right="39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omitted from Part III the information that will appear in our Definitive Proxy Statement for our 2023 Annual Meeting of Stockholders (the “2023 Proxy Statement”), which will be filed within 120 days after the end of our fiscal year pursuant to Regulation 14A.</w:t>
      </w:r>
    </w:p>
    <w:p>
      <w:pPr>
        <w:spacing w:after="0" w:line="27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The information required by this Item 10 will be included in our 2023 Proxy Statement and is incorporated herein by reference. Our Board of Directors has adopted a Code of Business Conduct and Ethics that applies to our principal executive officer, principal financial officer and principal accounting officer, as well as to the members of our Board of Directors and our other officers and employees. This Code of Business Conduct and Ethics is available on our website at </w:t>
      </w:r>
      <w:r>
        <w:rPr>
          <w:rFonts w:ascii="Arial" w:cs="Arial" w:eastAsia="Arial" w:hAnsi="Arial"/>
          <w:sz w:val="17"/>
          <w:szCs w:val="17"/>
          <w:u w:val="single" w:color="auto"/>
          <w:color w:val="auto"/>
        </w:rPr>
        <w:t>www.orasure.com</w:t>
      </w:r>
      <w:r>
        <w:rPr>
          <w:rFonts w:ascii="Arial" w:cs="Arial" w:eastAsia="Arial" w:hAnsi="Arial"/>
          <w:sz w:val="17"/>
          <w:szCs w:val="17"/>
          <w:color w:val="auto"/>
        </w:rPr>
        <w:t>. We intend to satisfy the amendment and waiver disclosure requirements under applicable securities regulations by posting any amendments of, or waivers to, the Code of Business Conduct and Ethics on our website.</w:t>
      </w:r>
    </w:p>
    <w:p>
      <w:pPr>
        <w:spacing w:after="0" w:line="28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11 will be included in our 2023 Proxy Statement and is incorporated herein by reference.</w:t>
      </w:r>
    </w:p>
    <w:p>
      <w:pPr>
        <w:spacing w:after="0" w:line="32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12 will be included in our 2023 Proxy Statement and is incorporated herein by reference.</w:t>
      </w:r>
    </w:p>
    <w:p>
      <w:pPr>
        <w:spacing w:after="0" w:line="32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13 will be included in our 2023 Proxy Statement and is incorporated herein by reference.</w:t>
      </w:r>
    </w:p>
    <w:p>
      <w:pPr>
        <w:spacing w:after="0" w:line="32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Accountant Fees and Services.</w:t>
      </w:r>
    </w:p>
    <w:p>
      <w:pPr>
        <w:spacing w:after="0" w:line="121" w:lineRule="exact"/>
        <w:rPr>
          <w:sz w:val="20"/>
          <w:szCs w:val="20"/>
          <w:color w:val="auto"/>
        </w:rPr>
      </w:pPr>
    </w:p>
    <w:p>
      <w:pPr>
        <w:ind w:left="5540" w:right="2060" w:hanging="5525"/>
        <w:spacing w:after="0" w:line="527" w:lineRule="auto"/>
        <w:rPr>
          <w:sz w:val="20"/>
          <w:szCs w:val="20"/>
          <w:color w:val="auto"/>
        </w:rPr>
      </w:pPr>
      <w:r>
        <w:rPr>
          <w:rFonts w:ascii="Arial" w:cs="Arial" w:eastAsia="Arial" w:hAnsi="Arial"/>
          <w:sz w:val="18"/>
          <w:szCs w:val="18"/>
          <w:color w:val="auto"/>
        </w:rPr>
        <w:t>The information required by this Item 14 will be included in our 2023 Proxy Statement and is incorporated herein by reference.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0" w:name="page71"/>
    <w:bookmarkEnd w:id="70"/>
    <w:p>
      <w:pPr>
        <w:ind w:left="524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Consolidated Financial Statement Schedules.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(a)(1) and (a)(2). </w:t>
      </w:r>
      <w:r>
        <w:rPr>
          <w:rFonts w:ascii="Arial" w:cs="Arial" w:eastAsia="Arial" w:hAnsi="Arial"/>
          <w:sz w:val="17"/>
          <w:szCs w:val="17"/>
          <w:u w:val="single" w:color="auto"/>
          <w:color w:val="auto"/>
        </w:rPr>
        <w:t>Consolidated Financial Statements and Schedules</w:t>
      </w:r>
      <w:r>
        <w:rPr>
          <w:rFonts w:ascii="Arial" w:cs="Arial" w:eastAsia="Arial" w:hAnsi="Arial"/>
          <w:sz w:val="17"/>
          <w:szCs w:val="17"/>
          <w:color w:val="auto"/>
        </w:rPr>
        <w:t>. For a list of the consolidated financial statements filed herewith, see the Index to Consolidated Financial Statements following the signature page to this Annual Report. No schedules are included with the consolidated financial statements because the required information is inapplicable or is presented in the consolidated financial statements or related notes thereto.</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(a)(3). </w:t>
      </w: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6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Exhibit</w:t>
      </w:r>
    </w:p>
    <w:p>
      <w:pPr>
        <w:ind w:left="220"/>
        <w:spacing w:after="0"/>
        <w:tabs>
          <w:tab w:leader="none" w:pos="5900" w:val="left"/>
        </w:tabs>
        <w:rPr>
          <w:sz w:val="20"/>
          <w:szCs w:val="20"/>
          <w:color w:val="auto"/>
        </w:rPr>
      </w:pPr>
      <w:r>
        <w:rPr>
          <w:rFonts w:ascii="Arial" w:cs="Arial" w:eastAsia="Arial" w:hAnsi="Arial"/>
          <w:sz w:val="14"/>
          <w:szCs w:val="14"/>
          <w:color w:val="auto"/>
        </w:rPr>
        <w:t>Number</w:t>
      </w:r>
      <w:r>
        <w:rPr>
          <w:sz w:val="20"/>
          <w:szCs w:val="20"/>
          <w:color w:val="auto"/>
        </w:rPr>
        <w:tab/>
      </w:r>
      <w:r>
        <w:rPr>
          <w:rFonts w:ascii="Arial" w:cs="Arial" w:eastAsia="Arial" w:hAnsi="Arial"/>
          <w:sz w:val="14"/>
          <w:szCs w:val="14"/>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5080</wp:posOffset>
            </wp:positionV>
            <wp:extent cx="705485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ind w:left="1000" w:right="80" w:hanging="801"/>
        <w:spacing w:after="0" w:line="277" w:lineRule="auto"/>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3.1.1</w:t>
      </w:r>
      <w:r>
        <w:rPr>
          <w:sz w:val="20"/>
          <w:szCs w:val="20"/>
          <w:color w:val="auto"/>
        </w:rPr>
        <w:tab/>
      </w:r>
      <w:hyperlink r:id="rId122">
        <w:r>
          <w:rPr>
            <w:rFonts w:ascii="Arial" w:cs="Arial" w:eastAsia="Arial" w:hAnsi="Arial"/>
            <w:sz w:val="18"/>
            <w:szCs w:val="18"/>
            <w:u w:val="single" w:color="auto"/>
            <w:color w:val="0000FF"/>
          </w:rPr>
          <w:t>Certificate of Incorporation of OraSure Technologies, Inc. is incorporated by reference to Exhibit 3.1 to the Company’s Registration</w:t>
        </w:r>
      </w:hyperlink>
      <w:r>
        <w:rPr>
          <w:rFonts w:ascii="Arial" w:cs="Arial" w:eastAsia="Arial" w:hAnsi="Arial"/>
          <w:sz w:val="18"/>
          <w:szCs w:val="18"/>
          <w:u w:val="single" w:color="auto"/>
          <w:color w:val="0000FF"/>
        </w:rPr>
        <w:t xml:space="preserve"> </w:t>
      </w:r>
      <w:hyperlink r:id="rId122">
        <w:r>
          <w:rPr>
            <w:rFonts w:ascii="Arial" w:cs="Arial" w:eastAsia="Arial" w:hAnsi="Arial"/>
            <w:sz w:val="18"/>
            <w:szCs w:val="18"/>
            <w:u w:val="single" w:color="auto"/>
            <w:color w:val="0000FF"/>
          </w:rPr>
          <w:t>Statement on Form S-4 (No. 333-39210), filed June 14, 2000.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-182245</wp:posOffset>
            </wp:positionV>
            <wp:extent cx="645096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6450965"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-45085</wp:posOffset>
            </wp:positionV>
            <wp:extent cx="28498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2849880" cy="8890"/>
                    </a:xfrm>
                    <a:prstGeom prst="rect">
                      <a:avLst/>
                    </a:prstGeom>
                    <a:noFill/>
                  </pic:spPr>
                </pic:pic>
              </a:graphicData>
            </a:graphic>
          </wp:anchor>
        </w:drawing>
      </w:r>
    </w:p>
    <w:p>
      <w:pPr>
        <w:spacing w:after="0" w:line="69" w:lineRule="exact"/>
        <w:rPr>
          <w:sz w:val="20"/>
          <w:szCs w:val="20"/>
          <w:color w:val="auto"/>
        </w:rPr>
      </w:pPr>
    </w:p>
    <w:p>
      <w:pPr>
        <w:ind w:left="1000" w:right="80" w:hanging="801"/>
        <w:spacing w:after="0" w:line="277" w:lineRule="auto"/>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3.1.2</w:t>
      </w:r>
      <w:r>
        <w:rPr>
          <w:sz w:val="20"/>
          <w:szCs w:val="20"/>
          <w:color w:val="auto"/>
        </w:rPr>
        <w:tab/>
      </w:r>
      <w:hyperlink r:id="rId125">
        <w:r>
          <w:rPr>
            <w:rFonts w:ascii="Arial" w:cs="Arial" w:eastAsia="Arial" w:hAnsi="Arial"/>
            <w:sz w:val="18"/>
            <w:szCs w:val="18"/>
            <w:u w:val="single" w:color="auto"/>
            <w:color w:val="0000FF"/>
          </w:rPr>
          <w:t>Certificate of Amendment to Certificate of Incorporation dated May 23, 2000 is incorporated by reference to Exhibit 3.1.1 to the Company’s</w:t>
        </w:r>
      </w:hyperlink>
      <w:r>
        <w:rPr>
          <w:rFonts w:ascii="Arial" w:cs="Arial" w:eastAsia="Arial" w:hAnsi="Arial"/>
          <w:sz w:val="18"/>
          <w:szCs w:val="18"/>
          <w:u w:val="single" w:color="auto"/>
          <w:color w:val="0000FF"/>
        </w:rPr>
        <w:t xml:space="preserve"> </w:t>
      </w:r>
      <w:hyperlink r:id="rId125">
        <w:r>
          <w:rPr>
            <w:rFonts w:ascii="Arial" w:cs="Arial" w:eastAsia="Arial" w:hAnsi="Arial"/>
            <w:sz w:val="18"/>
            <w:szCs w:val="18"/>
            <w:u w:val="single" w:color="auto"/>
            <w:color w:val="0000FF"/>
          </w:rPr>
          <w:t>Registration Statement on Form S-4 (No. 333-39210), filed June 14, 2000.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-182245</wp:posOffset>
            </wp:positionV>
            <wp:extent cx="645350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6453505" cy="8890"/>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-45085</wp:posOffset>
            </wp:positionV>
            <wp:extent cx="34366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3436620" cy="8255"/>
                    </a:xfrm>
                    <a:prstGeom prst="rect">
                      <a:avLst/>
                    </a:prstGeom>
                    <a:noFill/>
                  </pic:spPr>
                </pic:pic>
              </a:graphicData>
            </a:graphic>
          </wp:anchor>
        </w:drawing>
      </w:r>
    </w:p>
    <w:p>
      <w:pPr>
        <w:spacing w:after="0" w:line="69" w:lineRule="exact"/>
        <w:rPr>
          <w:sz w:val="20"/>
          <w:szCs w:val="20"/>
          <w:color w:val="auto"/>
        </w:rPr>
      </w:pPr>
    </w:p>
    <w:p>
      <w:pPr>
        <w:ind w:left="1000" w:right="80" w:hanging="801"/>
        <w:spacing w:after="0" w:line="277" w:lineRule="auto"/>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3.2</w:t>
      </w:r>
      <w:r>
        <w:rPr>
          <w:sz w:val="20"/>
          <w:szCs w:val="20"/>
          <w:color w:val="auto"/>
        </w:rPr>
        <w:tab/>
      </w:r>
      <w:hyperlink r:id="rId128">
        <w:r>
          <w:rPr>
            <w:rFonts w:ascii="Arial" w:cs="Arial" w:eastAsia="Arial" w:hAnsi="Arial"/>
            <w:sz w:val="18"/>
            <w:szCs w:val="18"/>
            <w:u w:val="single" w:color="auto"/>
            <w:color w:val="0000FF"/>
          </w:rPr>
          <w:t>Bylaws of OraSure Technologies, Inc., as amended and restated as of February 19, 2018, are incorporated by reference to Exhibit 3.2 to the</w:t>
        </w:r>
      </w:hyperlink>
      <w:r>
        <w:rPr>
          <w:rFonts w:ascii="Arial" w:cs="Arial" w:eastAsia="Arial" w:hAnsi="Arial"/>
          <w:sz w:val="18"/>
          <w:szCs w:val="18"/>
          <w:u w:val="single" w:color="auto"/>
          <w:color w:val="0000FF"/>
        </w:rPr>
        <w:t xml:space="preserve"> </w:t>
      </w:r>
      <w:hyperlink r:id="rId128">
        <w:r>
          <w:rPr>
            <w:rFonts w:ascii="Arial" w:cs="Arial" w:eastAsia="Arial" w:hAnsi="Arial"/>
            <w:sz w:val="18"/>
            <w:szCs w:val="18"/>
            <w:u w:val="single" w:color="auto"/>
            <w:color w:val="0000FF"/>
          </w:rPr>
          <w:t>Company’s Annual Report on Form 10-K for the year ended December 31,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-182245</wp:posOffset>
            </wp:positionV>
            <wp:extent cx="645477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6454775"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-45085</wp:posOffset>
            </wp:positionV>
            <wp:extent cx="37185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3718560" cy="8255"/>
                    </a:xfrm>
                    <a:prstGeom prst="rect">
                      <a:avLst/>
                    </a:prstGeom>
                    <a:noFill/>
                  </pic:spPr>
                </pic:pic>
              </a:graphicData>
            </a:graphic>
          </wp:anchor>
        </w:drawing>
      </w:r>
    </w:p>
    <w:p>
      <w:pPr>
        <w:spacing w:after="0" w:line="69" w:lineRule="exact"/>
        <w:rPr>
          <w:sz w:val="20"/>
          <w:szCs w:val="20"/>
          <w:color w:val="auto"/>
        </w:rPr>
      </w:pPr>
    </w:p>
    <w:p>
      <w:pPr>
        <w:ind w:left="1000" w:right="80" w:hanging="801"/>
        <w:spacing w:after="0" w:line="277" w:lineRule="auto"/>
        <w:tabs>
          <w:tab w:leader="none" w:pos="980" w:val="left"/>
        </w:tabs>
        <w:rPr>
          <w:rFonts w:ascii="Arial" w:cs="Arial" w:eastAsia="Arial" w:hAnsi="Arial"/>
          <w:sz w:val="18"/>
          <w:szCs w:val="18"/>
          <w:color w:val="0000FF"/>
        </w:rPr>
      </w:pPr>
      <w:r>
        <w:rPr>
          <w:rFonts w:ascii="Arial" w:cs="Arial" w:eastAsia="Arial" w:hAnsi="Arial"/>
          <w:sz w:val="18"/>
          <w:szCs w:val="18"/>
          <w:color w:val="auto"/>
        </w:rPr>
        <w:t>4.1</w:t>
      </w:r>
      <w:r>
        <w:rPr>
          <w:sz w:val="20"/>
          <w:szCs w:val="20"/>
          <w:color w:val="auto"/>
        </w:rPr>
        <w:tab/>
      </w:r>
      <w:hyperlink r:id="rId131">
        <w:r>
          <w:rPr>
            <w:rFonts w:ascii="Arial" w:cs="Arial" w:eastAsia="Arial" w:hAnsi="Arial"/>
            <w:sz w:val="18"/>
            <w:szCs w:val="18"/>
            <w:u w:val="single" w:color="auto"/>
            <w:color w:val="0000FF"/>
          </w:rPr>
          <w:t>Description of Securities is incorporated by reference to Exhibit 4.1 to the Company’s Annual Report on Form 10-K for the year-ended</w:t>
        </w:r>
      </w:hyperlink>
      <w:r>
        <w:rPr>
          <w:rFonts w:ascii="Arial" w:cs="Arial" w:eastAsia="Arial" w:hAnsi="Arial"/>
          <w:sz w:val="18"/>
          <w:szCs w:val="18"/>
          <w:u w:val="single" w:color="auto"/>
          <w:color w:val="0000FF"/>
        </w:rPr>
        <w:t xml:space="preserve"> </w:t>
      </w:r>
      <w:hyperlink r:id="rId131">
        <w:r>
          <w:rPr>
            <w:rFonts w:ascii="Arial" w:cs="Arial" w:eastAsia="Arial" w:hAnsi="Arial"/>
            <w:sz w:val="18"/>
            <w:szCs w:val="18"/>
            <w:u w:val="single" w:color="auto"/>
            <w:color w:val="0000FF"/>
          </w:rPr>
          <w:t>December 31, 2019</w:t>
        </w:r>
        <w:r>
          <w:rPr>
            <w:rFonts w:ascii="Arial" w:cs="Arial" w:eastAsia="Arial" w:hAnsi="Arial"/>
            <w:sz w:val="18"/>
            <w:szCs w:val="18"/>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-182245</wp:posOffset>
            </wp:positionV>
            <wp:extent cx="64471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2">
                      <a:extLst>
                        <a:ext uri="{28A0092B-C50C-407E-A947-70E740481C1C}"/>
                      </a:extLst>
                    </a:blip>
                    <a:srcRect/>
                    <a:stretch>
                      <a:fillRect/>
                    </a:stretch>
                  </pic:blipFill>
                  <pic:spPr bwMode="auto">
                    <a:xfrm>
                      <a:off x="0" y="0"/>
                      <a:ext cx="6447155"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-45085</wp:posOffset>
            </wp:positionV>
            <wp:extent cx="89789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3">
                      <a:extLst>
                        <a:ext uri="{28A0092B-C50C-407E-A947-70E740481C1C}"/>
                      </a:extLst>
                    </a:blip>
                    <a:srcRect/>
                    <a:stretch>
                      <a:fillRect/>
                    </a:stretch>
                  </pic:blipFill>
                  <pic:spPr bwMode="auto">
                    <a:xfrm>
                      <a:off x="0" y="0"/>
                      <a:ext cx="897890" cy="8890"/>
                    </a:xfrm>
                    <a:prstGeom prst="rect">
                      <a:avLst/>
                    </a:prstGeom>
                    <a:noFill/>
                  </pic:spPr>
                </pic:pic>
              </a:graphicData>
            </a:graphic>
          </wp:anchor>
        </w:drawing>
      </w:r>
    </w:p>
    <w:p>
      <w:pPr>
        <w:spacing w:after="0" w:line="83" w:lineRule="exact"/>
        <w:rPr>
          <w:sz w:val="20"/>
          <w:szCs w:val="20"/>
          <w:color w:val="auto"/>
        </w:rPr>
      </w:pPr>
    </w:p>
    <w:p>
      <w:pPr>
        <w:ind w:left="1000" w:right="80" w:hanging="801"/>
        <w:spacing w:after="0" w:line="277" w:lineRule="auto"/>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hyperlink r:id="rId134">
        <w:r>
          <w:rPr>
            <w:rFonts w:ascii="Arial" w:cs="Arial" w:eastAsia="Arial" w:hAnsi="Arial"/>
            <w:sz w:val="18"/>
            <w:szCs w:val="18"/>
            <w:u w:val="single" w:color="auto"/>
            <w:color w:val="0000FF"/>
          </w:rPr>
          <w:t>Employment Agreement dated as of January 3, 2018, between OraSure Technologies, Inc. and Stephen S. Tang, Ph.D., is incorporated by</w:t>
        </w:r>
      </w:hyperlink>
      <w:r>
        <w:rPr>
          <w:rFonts w:ascii="Arial" w:cs="Arial" w:eastAsia="Arial" w:hAnsi="Arial"/>
          <w:sz w:val="18"/>
          <w:szCs w:val="18"/>
          <w:u w:val="single" w:color="auto"/>
          <w:color w:val="0000FF"/>
        </w:rPr>
        <w:t xml:space="preserve"> </w:t>
      </w:r>
      <w:hyperlink r:id="rId134">
        <w:r>
          <w:rPr>
            <w:rFonts w:ascii="Arial" w:cs="Arial" w:eastAsia="Arial" w:hAnsi="Arial"/>
            <w:sz w:val="18"/>
            <w:szCs w:val="18"/>
            <w:u w:val="single" w:color="auto"/>
            <w:color w:val="0000FF"/>
          </w:rPr>
          <w:t>reference to Exhibit 10.1 to the Company’s Current Report on Form 8-K filed January 4,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-182245</wp:posOffset>
            </wp:positionV>
            <wp:extent cx="645096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6450965"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-45085</wp:posOffset>
            </wp:positionV>
            <wp:extent cx="44202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4420235"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p>
      <w:pPr>
        <w:spacing w:after="0" w:line="19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10.2</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80"/>
        <w:spacing w:after="0" w:line="277" w:lineRule="auto"/>
        <w:rPr>
          <w:rFonts w:ascii="Arial" w:cs="Arial" w:eastAsia="Arial" w:hAnsi="Arial"/>
          <w:sz w:val="18"/>
          <w:szCs w:val="18"/>
          <w:u w:val="single" w:color="auto"/>
          <w:color w:val="0000FF"/>
        </w:rPr>
      </w:pPr>
      <w:hyperlink r:id="rId137">
        <w:r>
          <w:rPr>
            <w:rFonts w:ascii="Arial" w:cs="Arial" w:eastAsia="Arial" w:hAnsi="Arial"/>
            <w:sz w:val="18"/>
            <w:szCs w:val="18"/>
            <w:u w:val="single" w:color="auto"/>
            <w:color w:val="0000FF"/>
          </w:rPr>
          <w:t>Transition Agreement dated as of January 2, 2022, between OraSure Technologies, Inc. and Stephen S. Tang, Ph.D. is incorporated by</w:t>
        </w:r>
      </w:hyperlink>
      <w:r>
        <w:rPr>
          <w:rFonts w:ascii="Arial" w:cs="Arial" w:eastAsia="Arial" w:hAnsi="Arial"/>
          <w:sz w:val="18"/>
          <w:szCs w:val="18"/>
          <w:u w:val="single" w:color="auto"/>
          <w:color w:val="0000FF"/>
        </w:rPr>
        <w:t xml:space="preserve"> </w:t>
      </w:r>
      <w:hyperlink r:id="rId137">
        <w:r>
          <w:rPr>
            <w:rFonts w:ascii="Arial" w:cs="Arial" w:eastAsia="Arial" w:hAnsi="Arial"/>
            <w:sz w:val="18"/>
            <w:szCs w:val="18"/>
            <w:u w:val="single" w:color="auto"/>
            <w:color w:val="0000FF"/>
          </w:rPr>
          <w:t>reference to Exhibit 10.1 to the Company's Current Report on Form 8-k filed January 6,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644969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8">
                      <a:extLst>
                        <a:ext uri="{28A0092B-C50C-407E-A947-70E740481C1C}"/>
                      </a:extLst>
                    </a:blip>
                    <a:srcRect/>
                    <a:stretch>
                      <a:fillRect/>
                    </a:stretch>
                  </pic:blipFill>
                  <pic:spPr bwMode="auto">
                    <a:xfrm>
                      <a:off x="0" y="0"/>
                      <a:ext cx="644969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-45085</wp:posOffset>
            </wp:positionV>
            <wp:extent cx="43262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9">
                      <a:extLst>
                        <a:ext uri="{28A0092B-C50C-407E-A947-70E740481C1C}"/>
                      </a:extLst>
                    </a:blip>
                    <a:srcRect/>
                    <a:stretch>
                      <a:fillRect/>
                    </a:stretch>
                  </pic:blipFill>
                  <pic:spPr bwMode="auto">
                    <a:xfrm>
                      <a:off x="0" y="0"/>
                      <a:ext cx="4326255" cy="8255"/>
                    </a:xfrm>
                    <a:prstGeom prst="rect">
                      <a:avLst/>
                    </a:prstGeom>
                    <a:noFill/>
                  </pic:spPr>
                </pic:pic>
              </a:graphicData>
            </a:graphic>
          </wp:anchor>
        </w:drawing>
      </w:r>
    </w:p>
    <w:p>
      <w:pPr>
        <w:spacing w:after="0" w:line="69" w:lineRule="exact"/>
        <w:rPr>
          <w:sz w:val="20"/>
          <w:szCs w:val="20"/>
          <w:color w:val="auto"/>
        </w:rPr>
      </w:pPr>
    </w:p>
    <w:p>
      <w:pPr>
        <w:ind w:right="80"/>
        <w:spacing w:after="0" w:line="342" w:lineRule="auto"/>
        <w:rPr>
          <w:rFonts w:ascii="Arial" w:cs="Arial" w:eastAsia="Arial" w:hAnsi="Arial"/>
          <w:sz w:val="16"/>
          <w:szCs w:val="16"/>
          <w:u w:val="single" w:color="auto"/>
          <w:color w:val="0000FF"/>
        </w:rPr>
      </w:pPr>
      <w:hyperlink r:id="rId140">
        <w:r>
          <w:rPr>
            <w:rFonts w:ascii="Arial" w:cs="Arial" w:eastAsia="Arial" w:hAnsi="Arial"/>
            <w:sz w:val="16"/>
            <w:szCs w:val="16"/>
            <w:u w:val="single" w:color="auto"/>
            <w:color w:val="0000FF"/>
          </w:rPr>
          <w:t>Employment Agreement, dated as of January 1, 2019, between Kathleen G. Weber, DNA Genotek, Inc. and OraSure Technologies, Inc. is</w:t>
        </w:r>
      </w:hyperlink>
      <w:r>
        <w:rPr>
          <w:rFonts w:ascii="Arial" w:cs="Arial" w:eastAsia="Arial" w:hAnsi="Arial"/>
          <w:sz w:val="16"/>
          <w:szCs w:val="16"/>
          <w:u w:val="single" w:color="auto"/>
          <w:color w:val="0000FF"/>
        </w:rPr>
        <w:t xml:space="preserve"> </w:t>
      </w:r>
      <w:hyperlink r:id="rId140">
        <w:r>
          <w:rPr>
            <w:rFonts w:ascii="Arial" w:cs="Arial" w:eastAsia="Arial" w:hAnsi="Arial"/>
            <w:sz w:val="16"/>
            <w:szCs w:val="16"/>
            <w:u w:val="single" w:color="auto"/>
            <w:color w:val="0000FF"/>
          </w:rPr>
          <w:t>incorporated by reference to Exhibit 10.21 to the Company’s Annual Report on Form 10-K for the year ended December 31,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-212090</wp:posOffset>
            </wp:positionV>
            <wp:extent cx="645287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1">
                      <a:extLst>
                        <a:ext uri="{28A0092B-C50C-407E-A947-70E740481C1C}"/>
                      </a:extLst>
                    </a:blip>
                    <a:srcRect/>
                    <a:stretch>
                      <a:fillRect/>
                    </a:stretch>
                  </pic:blipFill>
                  <pic:spPr bwMode="auto">
                    <a:xfrm>
                      <a:off x="0" y="0"/>
                      <a:ext cx="64528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-74930</wp:posOffset>
            </wp:positionV>
            <wp:extent cx="603186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2">
                      <a:extLst>
                        <a:ext uri="{28A0092B-C50C-407E-A947-70E740481C1C}"/>
                      </a:extLst>
                    </a:blip>
                    <a:srcRect/>
                    <a:stretch>
                      <a:fillRect/>
                    </a:stretch>
                  </pic:blipFill>
                  <pic:spPr bwMode="auto">
                    <a:xfrm>
                      <a:off x="0" y="0"/>
                      <a:ext cx="6031865" cy="8890"/>
                    </a:xfrm>
                    <a:prstGeom prst="rect">
                      <a:avLst/>
                    </a:prstGeom>
                    <a:noFill/>
                  </pic:spPr>
                </pic:pic>
              </a:graphicData>
            </a:graphic>
          </wp:anchor>
        </w:drawing>
      </w:r>
    </w:p>
    <w:p>
      <w:pPr>
        <w:spacing w:after="0" w:line="79" w:lineRule="exact"/>
        <w:rPr>
          <w:sz w:val="20"/>
          <w:szCs w:val="20"/>
          <w:color w:val="auto"/>
        </w:rPr>
      </w:pPr>
    </w:p>
    <w:p>
      <w:pPr>
        <w:sectPr>
          <w:pgSz w:w="11900" w:h="16838" w:orient="portrait"/>
          <w:cols w:equalWidth="0" w:num="2">
            <w:col w:w="540" w:space="460"/>
            <w:col w:w="10240"/>
          </w:cols>
          <w:pgMar w:left="320" w:top="364" w:right="339" w:bottom="1440" w:gutter="0" w:footer="0" w:header="0"/>
          <w:type w:val="continuous"/>
        </w:sectPr>
      </w:pPr>
    </w:p>
    <w:tbl>
      <w:tblPr>
        <w:tblLayout w:type="fixed"/>
        <w:tblInd w:w="20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Arial" w:cs="Arial" w:eastAsia="Arial" w:hAnsi="Arial"/>
                <w:sz w:val="18"/>
                <w:szCs w:val="18"/>
                <w:color w:val="auto"/>
              </w:rPr>
              <w:t>10.4</w:t>
            </w:r>
          </w:p>
        </w:tc>
        <w:tc>
          <w:tcPr>
            <w:tcW w:w="10160" w:type="dxa"/>
            <w:vAlign w:val="bottom"/>
            <w:gridSpan w:val="4"/>
          </w:tcPr>
          <w:p>
            <w:pPr>
              <w:spacing w:after="0"/>
              <w:rPr>
                <w:rFonts w:ascii="Arial" w:cs="Arial" w:eastAsia="Arial" w:hAnsi="Arial"/>
                <w:sz w:val="18"/>
                <w:szCs w:val="18"/>
                <w:color w:val="0000FF"/>
                <w:w w:val="95"/>
              </w:rPr>
            </w:pPr>
            <w:hyperlink r:id="rId143">
              <w:r>
                <w:rPr>
                  <w:rFonts w:ascii="Arial" w:cs="Arial" w:eastAsia="Arial" w:hAnsi="Arial"/>
                  <w:sz w:val="18"/>
                  <w:szCs w:val="18"/>
                  <w:color w:val="0000FF"/>
                  <w:w w:val="95"/>
                </w:rPr>
                <w:t>Amendment No. 1 to Employment Agreement, dated as of December 20, 2021, between Kathleen G. Weber, DNA Genotek, Inc. and</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20" w:type="dxa"/>
            <w:vAlign w:val="bottom"/>
            <w:tcBorders>
              <w:left w:val="single" w:sz="8" w:color="0000EE"/>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740" w:type="dxa"/>
            <w:vAlign w:val="bottom"/>
            <w:tcBorders>
              <w:right w:val="single" w:sz="8" w:color="0000FF"/>
            </w:tcBorders>
            <w:shd w:val="clear" w:color="auto" w:fill="0000FF"/>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0160" w:type="dxa"/>
            <w:vAlign w:val="bottom"/>
            <w:gridSpan w:val="4"/>
          </w:tcPr>
          <w:p>
            <w:pPr>
              <w:spacing w:after="0" w:line="196" w:lineRule="exact"/>
              <w:rPr>
                <w:rFonts w:ascii="Arial" w:cs="Arial" w:eastAsia="Arial" w:hAnsi="Arial"/>
                <w:sz w:val="18"/>
                <w:szCs w:val="18"/>
                <w:color w:val="0000FF"/>
                <w:w w:val="92"/>
              </w:rPr>
            </w:pPr>
            <w:hyperlink r:id="rId143">
              <w:r>
                <w:rPr>
                  <w:rFonts w:ascii="Arial" w:cs="Arial" w:eastAsia="Arial" w:hAnsi="Arial"/>
                  <w:sz w:val="18"/>
                  <w:szCs w:val="18"/>
                  <w:color w:val="0000FF"/>
                  <w:w w:val="92"/>
                </w:rPr>
                <w:t>OraSure Technologies, Inc. is incorporated by reference to exhibit 10.10 to the Company's Annual Report on form 10-K for the year ended</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20" w:type="dxa"/>
            <w:vAlign w:val="bottom"/>
            <w:tcBorders>
              <w:left w:val="single" w:sz="8" w:color="0000EE"/>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740" w:type="dxa"/>
            <w:vAlign w:val="bottom"/>
            <w:tcBorders>
              <w:right w:val="single" w:sz="8" w:color="0000FF"/>
            </w:tcBorders>
            <w:shd w:val="clear" w:color="auto" w:fill="0000FF"/>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0160" w:type="dxa"/>
            <w:vAlign w:val="bottom"/>
            <w:gridSpan w:val="4"/>
          </w:tcPr>
          <w:p>
            <w:pPr>
              <w:spacing w:after="0" w:line="196" w:lineRule="exact"/>
              <w:rPr>
                <w:rFonts w:ascii="Arial" w:cs="Arial" w:eastAsia="Arial" w:hAnsi="Arial"/>
                <w:sz w:val="18"/>
                <w:szCs w:val="18"/>
                <w:color w:val="0000FF"/>
              </w:rPr>
            </w:pPr>
            <w:hyperlink r:id="rId143">
              <w:r>
                <w:rPr>
                  <w:rFonts w:ascii="Arial" w:cs="Arial" w:eastAsia="Arial" w:hAnsi="Arial"/>
                  <w:sz w:val="18"/>
                  <w:szCs w:val="18"/>
                  <w:color w:val="0000FF"/>
                </w:rPr>
                <w:t>December 31, 2021*</w:t>
              </w:r>
            </w:hyperlink>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rPr>
                <w:sz w:val="20"/>
                <w:szCs w:val="20"/>
                <w:color w:val="auto"/>
              </w:rPr>
            </w:pPr>
            <w:r>
              <w:rPr>
                <w:rFonts w:ascii="Arial" w:cs="Arial" w:eastAsia="Arial" w:hAnsi="Arial"/>
                <w:sz w:val="18"/>
                <w:szCs w:val="18"/>
                <w:color w:val="auto"/>
              </w:rPr>
              <w:t>10.5</w:t>
            </w:r>
            <w:r>
              <w:rPr>
                <w:rFonts w:ascii="Arial" w:cs="Arial" w:eastAsia="Arial" w:hAnsi="Arial"/>
                <w:sz w:val="24"/>
                <w:szCs w:val="24"/>
                <w:color w:val="auto"/>
                <w:vertAlign w:val="superscript"/>
              </w:rPr>
              <w:t>+</w:t>
            </w:r>
          </w:p>
        </w:tc>
        <w:tc>
          <w:tcPr>
            <w:tcW w:w="1420" w:type="dxa"/>
            <w:vAlign w:val="bottom"/>
            <w:tcBorders>
              <w:left w:val="single" w:sz="8" w:color="0000EE"/>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00" w:type="dxa"/>
            <w:vAlign w:val="bottom"/>
            <w:vMerge w:val="continue"/>
          </w:tcPr>
          <w:p>
            <w:pPr>
              <w:spacing w:after="0"/>
              <w:rPr>
                <w:sz w:val="24"/>
                <w:szCs w:val="24"/>
                <w:color w:val="auto"/>
              </w:rPr>
            </w:pPr>
          </w:p>
        </w:tc>
        <w:tc>
          <w:tcPr>
            <w:tcW w:w="10160" w:type="dxa"/>
            <w:vAlign w:val="bottom"/>
            <w:gridSpan w:val="4"/>
          </w:tcPr>
          <w:p>
            <w:pPr>
              <w:spacing w:after="0"/>
              <w:rPr>
                <w:sz w:val="20"/>
                <w:szCs w:val="20"/>
                <w:color w:val="auto"/>
              </w:rPr>
            </w:pPr>
            <w:r>
              <w:rPr>
                <w:rFonts w:ascii="Arial" w:cs="Arial" w:eastAsia="Arial" w:hAnsi="Arial"/>
                <w:sz w:val="18"/>
                <w:szCs w:val="18"/>
                <w:color w:val="0000FF"/>
                <w:w w:val="90"/>
              </w:rPr>
              <w:t>Amendment No. 2 to Employment Agreement, dated as of November 7, 2022, between Kathleen G. Weber, DNA Genotek, Inc. and OraSure</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20" w:type="dxa"/>
            <w:vAlign w:val="bottom"/>
            <w:tcBorders>
              <w:left w:val="single" w:sz="8" w:color="0000EE"/>
            </w:tcBorders>
            <w:shd w:val="clear" w:color="auto" w:fill="0000FF"/>
          </w:tcPr>
          <w:p>
            <w:pPr>
              <w:spacing w:after="0" w:line="20" w:lineRule="exact"/>
              <w:rPr>
                <w:sz w:val="1"/>
                <w:szCs w:val="1"/>
                <w:color w:val="auto"/>
              </w:rPr>
            </w:pPr>
          </w:p>
        </w:tc>
        <w:tc>
          <w:tcPr>
            <w:tcW w:w="5840" w:type="dxa"/>
            <w:vAlign w:val="bottom"/>
            <w:tcBorders>
              <w:right w:val="single" w:sz="8" w:color="0000FF"/>
            </w:tcBorders>
            <w:gridSpan w:val="2"/>
            <w:shd w:val="clear" w:color="auto" w:fill="0000FF"/>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0160" w:type="dxa"/>
            <w:vAlign w:val="bottom"/>
            <w:gridSpan w:val="4"/>
          </w:tcPr>
          <w:p>
            <w:pPr>
              <w:spacing w:after="0" w:line="196" w:lineRule="exact"/>
              <w:rPr>
                <w:sz w:val="20"/>
                <w:szCs w:val="20"/>
                <w:color w:val="auto"/>
              </w:rPr>
            </w:pPr>
            <w:r>
              <w:rPr>
                <w:rFonts w:ascii="Arial" w:cs="Arial" w:eastAsia="Arial" w:hAnsi="Arial"/>
                <w:sz w:val="18"/>
                <w:szCs w:val="18"/>
                <w:color w:val="0000FF"/>
              </w:rPr>
              <w:t>Technologies, Inc.*</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20" w:type="dxa"/>
            <w:vAlign w:val="bottom"/>
            <w:tcBorders>
              <w:left w:val="single" w:sz="8" w:color="0000EE"/>
            </w:tcBorders>
            <w:shd w:val="clear" w:color="auto" w:fill="0000FF"/>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00" w:type="dxa"/>
            <w:vAlign w:val="bottom"/>
          </w:tcPr>
          <w:p>
            <w:pPr>
              <w:spacing w:after="0"/>
              <w:rPr>
                <w:sz w:val="20"/>
                <w:szCs w:val="20"/>
                <w:color w:val="auto"/>
              </w:rPr>
            </w:pPr>
            <w:r>
              <w:rPr>
                <w:rFonts w:ascii="Arial" w:cs="Arial" w:eastAsia="Arial" w:hAnsi="Arial"/>
                <w:sz w:val="18"/>
                <w:szCs w:val="18"/>
                <w:color w:val="auto"/>
              </w:rPr>
              <w:t>10.6</w:t>
            </w:r>
          </w:p>
        </w:tc>
        <w:tc>
          <w:tcPr>
            <w:tcW w:w="10160" w:type="dxa"/>
            <w:vAlign w:val="bottom"/>
            <w:gridSpan w:val="4"/>
          </w:tcPr>
          <w:p>
            <w:pPr>
              <w:spacing w:after="0"/>
              <w:rPr>
                <w:rFonts w:ascii="Arial" w:cs="Arial" w:eastAsia="Arial" w:hAnsi="Arial"/>
                <w:sz w:val="18"/>
                <w:szCs w:val="18"/>
                <w:color w:val="0000FF"/>
                <w:w w:val="92"/>
              </w:rPr>
            </w:pPr>
            <w:hyperlink r:id="rId144">
              <w:r>
                <w:rPr>
                  <w:rFonts w:ascii="Arial" w:cs="Arial" w:eastAsia="Arial" w:hAnsi="Arial"/>
                  <w:sz w:val="18"/>
                  <w:szCs w:val="18"/>
                  <w:color w:val="0000FF"/>
                  <w:w w:val="92"/>
                </w:rPr>
                <w:t>Employment Agreement, dated as of May 11, 2020, between OraSure Technologies, Inc. and Lisa Nibauer is incorporated by reference to</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26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0160" w:type="dxa"/>
            <w:vAlign w:val="bottom"/>
            <w:gridSpan w:val="4"/>
          </w:tcPr>
          <w:p>
            <w:pPr>
              <w:spacing w:after="0" w:line="196" w:lineRule="exact"/>
              <w:rPr>
                <w:rFonts w:ascii="Arial" w:cs="Arial" w:eastAsia="Arial" w:hAnsi="Arial"/>
                <w:sz w:val="18"/>
                <w:szCs w:val="18"/>
                <w:color w:val="0000FF"/>
              </w:rPr>
            </w:pPr>
            <w:hyperlink r:id="rId144">
              <w:r>
                <w:rPr>
                  <w:rFonts w:ascii="Arial" w:cs="Arial" w:eastAsia="Arial" w:hAnsi="Arial"/>
                  <w:sz w:val="18"/>
                  <w:szCs w:val="18"/>
                  <w:color w:val="0000FF"/>
                </w:rPr>
                <w:t>Exhibit 10.2 to the Company’s Quarterly Report on form 10-Q for the quarter ended June 30, 2020.*</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20" w:type="dxa"/>
            <w:vAlign w:val="bottom"/>
            <w:tcBorders>
              <w:left w:val="single" w:sz="8" w:color="0000EE"/>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740" w:type="dxa"/>
            <w:vAlign w:val="bottom"/>
            <w:tcBorders>
              <w:right w:val="single" w:sz="8" w:color="0000EE"/>
            </w:tcBorders>
            <w:shd w:val="clear" w:color="auto" w:fill="0000FF"/>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840" w:type="dxa"/>
            <w:vAlign w:val="bottom"/>
            <w:vMerge w:val="restart"/>
          </w:tcPr>
          <w:p>
            <w:pPr>
              <w:spacing w:after="0"/>
              <w:rPr>
                <w:sz w:val="20"/>
                <w:szCs w:val="20"/>
                <w:color w:val="auto"/>
              </w:rPr>
            </w:pPr>
            <w:r>
              <w:rPr>
                <w:rFonts w:ascii="Arial" w:cs="Arial" w:eastAsia="Arial" w:hAnsi="Arial"/>
                <w:sz w:val="18"/>
                <w:szCs w:val="18"/>
                <w:color w:val="auto"/>
              </w:rPr>
              <w:t>10.7</w:t>
            </w:r>
          </w:p>
        </w:tc>
        <w:tc>
          <w:tcPr>
            <w:tcW w:w="10140" w:type="dxa"/>
            <w:vAlign w:val="bottom"/>
            <w:gridSpan w:val="5"/>
          </w:tcPr>
          <w:p>
            <w:pPr>
              <w:spacing w:after="0"/>
              <w:rPr>
                <w:rFonts w:ascii="Arial" w:cs="Arial" w:eastAsia="Arial" w:hAnsi="Arial"/>
                <w:sz w:val="18"/>
                <w:szCs w:val="18"/>
                <w:color w:val="0000FF"/>
                <w:w w:val="90"/>
              </w:rPr>
            </w:pPr>
            <w:hyperlink r:id="rId145">
              <w:r>
                <w:rPr>
                  <w:rFonts w:ascii="Arial" w:cs="Arial" w:eastAsia="Arial" w:hAnsi="Arial"/>
                  <w:sz w:val="18"/>
                  <w:szCs w:val="18"/>
                  <w:color w:val="0000FF"/>
                  <w:w w:val="90"/>
                </w:rPr>
                <w:t>Employment Agreement, dated as of November 29, 2021, between OraSure Technologies, Inc. and Agnieszka M. Gallagher. is incorporated</w:t>
              </w:r>
            </w:hyperlink>
          </w:p>
        </w:tc>
        <w:tc>
          <w:tcPr>
            <w:tcW w:w="0" w:type="dxa"/>
            <w:vAlign w:val="bottom"/>
          </w:tcPr>
          <w:p>
            <w:pPr>
              <w:spacing w:after="0"/>
              <w:rPr>
                <w:sz w:val="1"/>
                <w:szCs w:val="1"/>
                <w:color w:val="auto"/>
              </w:rPr>
            </w:pPr>
          </w:p>
        </w:tc>
      </w:tr>
      <w:tr>
        <w:trPr>
          <w:trHeight w:val="20"/>
        </w:trPr>
        <w:tc>
          <w:tcPr>
            <w:tcW w:w="840" w:type="dxa"/>
            <w:vAlign w:val="bottom"/>
            <w:vMerge w:val="continue"/>
          </w:tcPr>
          <w:p>
            <w:pPr>
              <w:spacing w:after="0" w:line="20" w:lineRule="exact"/>
              <w:rPr>
                <w:sz w:val="1"/>
                <w:szCs w:val="1"/>
                <w:color w:val="auto"/>
              </w:rPr>
            </w:pPr>
          </w:p>
        </w:tc>
        <w:tc>
          <w:tcPr>
            <w:tcW w:w="62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40" w:type="dxa"/>
            <w:vAlign w:val="bottom"/>
            <w:vMerge w:val="continue"/>
          </w:tcPr>
          <w:p>
            <w:pPr>
              <w:spacing w:after="0"/>
              <w:rPr>
                <w:sz w:val="11"/>
                <w:szCs w:val="11"/>
                <w:color w:val="auto"/>
              </w:rPr>
            </w:pPr>
          </w:p>
        </w:tc>
        <w:tc>
          <w:tcPr>
            <w:tcW w:w="10140" w:type="dxa"/>
            <w:vAlign w:val="bottom"/>
            <w:gridSpan w:val="5"/>
            <w:vMerge w:val="restart"/>
          </w:tcPr>
          <w:p>
            <w:pPr>
              <w:spacing w:after="0" w:line="196" w:lineRule="exact"/>
              <w:rPr>
                <w:rFonts w:ascii="Arial" w:cs="Arial" w:eastAsia="Arial" w:hAnsi="Arial"/>
                <w:sz w:val="18"/>
                <w:szCs w:val="18"/>
                <w:color w:val="0000FF"/>
              </w:rPr>
            </w:pPr>
            <w:hyperlink r:id="rId145">
              <w:r>
                <w:rPr>
                  <w:rFonts w:ascii="Arial" w:cs="Arial" w:eastAsia="Arial" w:hAnsi="Arial"/>
                  <w:sz w:val="18"/>
                  <w:szCs w:val="18"/>
                  <w:color w:val="0000FF"/>
                </w:rPr>
                <w:t>by reference to Exhibit 10.12 to the Company's Annual Report on Form 10-K for the year ended December 31, 2021.*</w:t>
              </w:r>
            </w:hyperlink>
          </w:p>
        </w:tc>
        <w:tc>
          <w:tcPr>
            <w:tcW w:w="0" w:type="dxa"/>
            <w:vAlign w:val="bottom"/>
          </w:tcPr>
          <w:p>
            <w:pPr>
              <w:spacing w:after="0"/>
              <w:rPr>
                <w:sz w:val="1"/>
                <w:szCs w:val="1"/>
                <w:color w:val="auto"/>
              </w:rPr>
            </w:pPr>
          </w:p>
        </w:tc>
      </w:tr>
      <w:tr>
        <w:trPr>
          <w:trHeight w:val="68"/>
        </w:trPr>
        <w:tc>
          <w:tcPr>
            <w:tcW w:w="840" w:type="dxa"/>
            <w:vAlign w:val="bottom"/>
          </w:tcPr>
          <w:p>
            <w:pPr>
              <w:spacing w:after="0"/>
              <w:rPr>
                <w:sz w:val="5"/>
                <w:szCs w:val="5"/>
                <w:color w:val="auto"/>
              </w:rPr>
            </w:pPr>
          </w:p>
        </w:tc>
        <w:tc>
          <w:tcPr>
            <w:tcW w:w="101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40" w:type="dxa"/>
            <w:vAlign w:val="bottom"/>
            <w:tcBorders>
              <w:right w:val="single" w:sz="8" w:color="0000EE"/>
            </w:tcBorders>
          </w:tcPr>
          <w:p>
            <w:pPr>
              <w:spacing w:after="0" w:line="20" w:lineRule="exact"/>
              <w:rPr>
                <w:sz w:val="1"/>
                <w:szCs w:val="1"/>
                <w:color w:val="auto"/>
              </w:rPr>
            </w:pPr>
          </w:p>
        </w:tc>
        <w:tc>
          <w:tcPr>
            <w:tcW w:w="62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40" w:type="dxa"/>
            <w:vAlign w:val="bottom"/>
            <w:vMerge w:val="restart"/>
          </w:tcPr>
          <w:p>
            <w:pPr>
              <w:spacing w:after="0"/>
              <w:rPr>
                <w:sz w:val="20"/>
                <w:szCs w:val="20"/>
                <w:color w:val="auto"/>
              </w:rPr>
            </w:pPr>
            <w:r>
              <w:rPr>
                <w:rFonts w:ascii="Arial" w:cs="Arial" w:eastAsia="Arial" w:hAnsi="Arial"/>
                <w:sz w:val="18"/>
                <w:szCs w:val="18"/>
                <w:color w:val="auto"/>
              </w:rPr>
              <w:t>10.8</w:t>
            </w:r>
          </w:p>
        </w:tc>
        <w:tc>
          <w:tcPr>
            <w:tcW w:w="10140" w:type="dxa"/>
            <w:vAlign w:val="bottom"/>
            <w:gridSpan w:val="5"/>
          </w:tcPr>
          <w:p>
            <w:pPr>
              <w:spacing w:after="0"/>
              <w:rPr>
                <w:rFonts w:ascii="Arial" w:cs="Arial" w:eastAsia="Arial" w:hAnsi="Arial"/>
                <w:sz w:val="18"/>
                <w:szCs w:val="18"/>
                <w:color w:val="0000FF"/>
                <w:w w:val="97"/>
              </w:rPr>
            </w:pPr>
            <w:hyperlink r:id="rId146">
              <w:r>
                <w:rPr>
                  <w:rFonts w:ascii="Arial" w:cs="Arial" w:eastAsia="Arial" w:hAnsi="Arial"/>
                  <w:sz w:val="18"/>
                  <w:szCs w:val="18"/>
                  <w:color w:val="0000FF"/>
                  <w:w w:val="97"/>
                </w:rPr>
                <w:t>Employment Agreement dated as of March 21, 2022, between OraSure Technologies, Inc. and Nancy J. Gagliano, M.D., M.B.A. is</w:t>
              </w:r>
            </w:hyperlink>
          </w:p>
        </w:tc>
        <w:tc>
          <w:tcPr>
            <w:tcW w:w="0" w:type="dxa"/>
            <w:vAlign w:val="bottom"/>
          </w:tcPr>
          <w:p>
            <w:pPr>
              <w:spacing w:after="0"/>
              <w:rPr>
                <w:sz w:val="1"/>
                <w:szCs w:val="1"/>
                <w:color w:val="auto"/>
              </w:rPr>
            </w:pPr>
          </w:p>
        </w:tc>
      </w:tr>
      <w:tr>
        <w:trPr>
          <w:trHeight w:val="20"/>
        </w:trPr>
        <w:tc>
          <w:tcPr>
            <w:tcW w:w="840" w:type="dxa"/>
            <w:vAlign w:val="bottom"/>
            <w:vMerge w:val="continue"/>
          </w:tcPr>
          <w:p>
            <w:pPr>
              <w:spacing w:after="0" w:line="20" w:lineRule="exact"/>
              <w:rPr>
                <w:sz w:val="1"/>
                <w:szCs w:val="1"/>
                <w:color w:val="auto"/>
              </w:rPr>
            </w:pPr>
          </w:p>
        </w:tc>
        <w:tc>
          <w:tcPr>
            <w:tcW w:w="62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40" w:type="dxa"/>
            <w:vAlign w:val="bottom"/>
            <w:vMerge w:val="continue"/>
          </w:tcPr>
          <w:p>
            <w:pPr>
              <w:spacing w:after="0"/>
              <w:rPr>
                <w:sz w:val="11"/>
                <w:szCs w:val="11"/>
                <w:color w:val="auto"/>
              </w:rPr>
            </w:pPr>
          </w:p>
        </w:tc>
        <w:tc>
          <w:tcPr>
            <w:tcW w:w="10140" w:type="dxa"/>
            <w:vAlign w:val="bottom"/>
            <w:gridSpan w:val="5"/>
            <w:vMerge w:val="restart"/>
          </w:tcPr>
          <w:p>
            <w:pPr>
              <w:spacing w:after="0" w:line="196" w:lineRule="exact"/>
              <w:rPr>
                <w:rFonts w:ascii="Arial" w:cs="Arial" w:eastAsia="Arial" w:hAnsi="Arial"/>
                <w:sz w:val="18"/>
                <w:szCs w:val="18"/>
                <w:color w:val="0000FF"/>
              </w:rPr>
            </w:pPr>
            <w:hyperlink r:id="rId146">
              <w:r>
                <w:rPr>
                  <w:rFonts w:ascii="Arial" w:cs="Arial" w:eastAsia="Arial" w:hAnsi="Arial"/>
                  <w:sz w:val="18"/>
                  <w:szCs w:val="18"/>
                  <w:color w:val="0000FF"/>
                </w:rPr>
                <w:t>incorporated by reference to item 10.1 to the Company's Current Report on Form 8-K filed on March 23, 2022*</w:t>
              </w:r>
            </w:hyperlink>
          </w:p>
        </w:tc>
        <w:tc>
          <w:tcPr>
            <w:tcW w:w="0" w:type="dxa"/>
            <w:vAlign w:val="bottom"/>
          </w:tcPr>
          <w:p>
            <w:pPr>
              <w:spacing w:after="0"/>
              <w:rPr>
                <w:sz w:val="1"/>
                <w:szCs w:val="1"/>
                <w:color w:val="auto"/>
              </w:rPr>
            </w:pPr>
          </w:p>
        </w:tc>
      </w:tr>
      <w:tr>
        <w:trPr>
          <w:trHeight w:val="68"/>
        </w:trPr>
        <w:tc>
          <w:tcPr>
            <w:tcW w:w="840" w:type="dxa"/>
            <w:vAlign w:val="bottom"/>
          </w:tcPr>
          <w:p>
            <w:pPr>
              <w:spacing w:after="0"/>
              <w:rPr>
                <w:sz w:val="5"/>
                <w:szCs w:val="5"/>
                <w:color w:val="auto"/>
              </w:rPr>
            </w:pPr>
          </w:p>
        </w:tc>
        <w:tc>
          <w:tcPr>
            <w:tcW w:w="101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40" w:type="dxa"/>
            <w:vAlign w:val="bottom"/>
            <w:tcBorders>
              <w:right w:val="single" w:sz="8" w:color="0000EE"/>
            </w:tcBorders>
          </w:tcPr>
          <w:p>
            <w:pPr>
              <w:spacing w:after="0" w:line="20" w:lineRule="exact"/>
              <w:rPr>
                <w:sz w:val="1"/>
                <w:szCs w:val="1"/>
                <w:color w:val="auto"/>
              </w:rPr>
            </w:pPr>
          </w:p>
        </w:tc>
        <w:tc>
          <w:tcPr>
            <w:tcW w:w="62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EE"/>
            </w:tcBorders>
            <w:shd w:val="clear" w:color="auto" w:fill="0000FF"/>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40" w:type="dxa"/>
            <w:vAlign w:val="bottom"/>
            <w:vMerge w:val="restart"/>
          </w:tcPr>
          <w:p>
            <w:pPr>
              <w:spacing w:after="0"/>
              <w:rPr>
                <w:sz w:val="20"/>
                <w:szCs w:val="20"/>
                <w:color w:val="auto"/>
              </w:rPr>
            </w:pPr>
            <w:r>
              <w:rPr>
                <w:rFonts w:ascii="Arial" w:cs="Arial" w:eastAsia="Arial" w:hAnsi="Arial"/>
                <w:sz w:val="18"/>
                <w:szCs w:val="18"/>
                <w:color w:val="auto"/>
              </w:rPr>
              <w:t>10.9</w:t>
            </w:r>
          </w:p>
        </w:tc>
        <w:tc>
          <w:tcPr>
            <w:tcW w:w="10140" w:type="dxa"/>
            <w:vAlign w:val="bottom"/>
            <w:gridSpan w:val="5"/>
          </w:tcPr>
          <w:p>
            <w:pPr>
              <w:spacing w:after="0"/>
              <w:rPr>
                <w:rFonts w:ascii="Arial" w:cs="Arial" w:eastAsia="Arial" w:hAnsi="Arial"/>
                <w:sz w:val="18"/>
                <w:szCs w:val="18"/>
                <w:color w:val="0000FF"/>
                <w:w w:val="93"/>
              </w:rPr>
            </w:pPr>
            <w:hyperlink r:id="rId147">
              <w:r>
                <w:rPr>
                  <w:rFonts w:ascii="Arial" w:cs="Arial" w:eastAsia="Arial" w:hAnsi="Arial"/>
                  <w:sz w:val="18"/>
                  <w:szCs w:val="18"/>
                  <w:color w:val="0000FF"/>
                  <w:w w:val="93"/>
                </w:rPr>
                <w:t>Employment Agreement, dated as of May 20, 2022, between OraSure Technologies, Inc. and Carrie Eglinton-Manner is incorporated by</w:t>
              </w:r>
            </w:hyperlink>
          </w:p>
        </w:tc>
        <w:tc>
          <w:tcPr>
            <w:tcW w:w="0" w:type="dxa"/>
            <w:vAlign w:val="bottom"/>
          </w:tcPr>
          <w:p>
            <w:pPr>
              <w:spacing w:after="0"/>
              <w:rPr>
                <w:sz w:val="1"/>
                <w:szCs w:val="1"/>
                <w:color w:val="auto"/>
              </w:rPr>
            </w:pPr>
          </w:p>
        </w:tc>
      </w:tr>
      <w:tr>
        <w:trPr>
          <w:trHeight w:val="20"/>
        </w:trPr>
        <w:tc>
          <w:tcPr>
            <w:tcW w:w="840" w:type="dxa"/>
            <w:vAlign w:val="bottom"/>
            <w:vMerge w:val="continue"/>
          </w:tcPr>
          <w:p>
            <w:pPr>
              <w:spacing w:after="0" w:line="20" w:lineRule="exact"/>
              <w:rPr>
                <w:sz w:val="1"/>
                <w:szCs w:val="1"/>
                <w:color w:val="auto"/>
              </w:rPr>
            </w:pPr>
          </w:p>
        </w:tc>
        <w:tc>
          <w:tcPr>
            <w:tcW w:w="62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40" w:type="dxa"/>
            <w:vAlign w:val="bottom"/>
            <w:vMerge w:val="continue"/>
          </w:tcPr>
          <w:p>
            <w:pPr>
              <w:spacing w:after="0"/>
              <w:rPr>
                <w:sz w:val="11"/>
                <w:szCs w:val="11"/>
                <w:color w:val="auto"/>
              </w:rPr>
            </w:pPr>
          </w:p>
        </w:tc>
        <w:tc>
          <w:tcPr>
            <w:tcW w:w="10140" w:type="dxa"/>
            <w:vAlign w:val="bottom"/>
            <w:gridSpan w:val="5"/>
            <w:vMerge w:val="restart"/>
          </w:tcPr>
          <w:p>
            <w:pPr>
              <w:spacing w:after="0" w:line="196" w:lineRule="exact"/>
              <w:rPr>
                <w:rFonts w:ascii="Arial" w:cs="Arial" w:eastAsia="Arial" w:hAnsi="Arial"/>
                <w:sz w:val="18"/>
                <w:szCs w:val="18"/>
                <w:color w:val="0000FF"/>
              </w:rPr>
            </w:pPr>
            <w:hyperlink r:id="rId147">
              <w:r>
                <w:rPr>
                  <w:rFonts w:ascii="Arial" w:cs="Arial" w:eastAsia="Arial" w:hAnsi="Arial"/>
                  <w:sz w:val="18"/>
                  <w:szCs w:val="18"/>
                  <w:color w:val="0000FF"/>
                </w:rPr>
                <w:t>reference to exhibit 10.1 to the company's Current Report on Form 8-K filed on May 26, 2022.</w:t>
              </w:r>
            </w:hyperlink>
          </w:p>
        </w:tc>
        <w:tc>
          <w:tcPr>
            <w:tcW w:w="0" w:type="dxa"/>
            <w:vAlign w:val="bottom"/>
          </w:tcPr>
          <w:p>
            <w:pPr>
              <w:spacing w:after="0"/>
              <w:rPr>
                <w:sz w:val="1"/>
                <w:szCs w:val="1"/>
                <w:color w:val="auto"/>
              </w:rPr>
            </w:pPr>
          </w:p>
        </w:tc>
      </w:tr>
      <w:tr>
        <w:trPr>
          <w:trHeight w:val="68"/>
        </w:trPr>
        <w:tc>
          <w:tcPr>
            <w:tcW w:w="840" w:type="dxa"/>
            <w:vAlign w:val="bottom"/>
          </w:tcPr>
          <w:p>
            <w:pPr>
              <w:spacing w:after="0"/>
              <w:rPr>
                <w:sz w:val="5"/>
                <w:szCs w:val="5"/>
                <w:color w:val="auto"/>
              </w:rPr>
            </w:pPr>
          </w:p>
        </w:tc>
        <w:tc>
          <w:tcPr>
            <w:tcW w:w="101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40" w:type="dxa"/>
            <w:vAlign w:val="bottom"/>
            <w:tcBorders>
              <w:right w:val="single" w:sz="8" w:color="0000EE"/>
            </w:tcBorders>
          </w:tcPr>
          <w:p>
            <w:pPr>
              <w:spacing w:after="0" w:line="20" w:lineRule="exact"/>
              <w:rPr>
                <w:sz w:val="1"/>
                <w:szCs w:val="1"/>
                <w:color w:val="auto"/>
              </w:rPr>
            </w:pPr>
          </w:p>
        </w:tc>
        <w:tc>
          <w:tcPr>
            <w:tcW w:w="62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40" w:type="dxa"/>
            <w:vAlign w:val="bottom"/>
            <w:vMerge w:val="restart"/>
          </w:tcPr>
          <w:p>
            <w:pPr>
              <w:spacing w:after="0"/>
              <w:rPr>
                <w:sz w:val="20"/>
                <w:szCs w:val="20"/>
                <w:color w:val="auto"/>
              </w:rPr>
            </w:pPr>
            <w:r>
              <w:rPr>
                <w:rFonts w:ascii="Arial" w:cs="Arial" w:eastAsia="Arial" w:hAnsi="Arial"/>
                <w:sz w:val="18"/>
                <w:szCs w:val="18"/>
                <w:color w:val="auto"/>
              </w:rPr>
              <w:t>10.10</w:t>
            </w:r>
          </w:p>
        </w:tc>
        <w:tc>
          <w:tcPr>
            <w:tcW w:w="10140" w:type="dxa"/>
            <w:vAlign w:val="bottom"/>
            <w:gridSpan w:val="5"/>
          </w:tcPr>
          <w:p>
            <w:pPr>
              <w:spacing w:after="0"/>
              <w:rPr>
                <w:rFonts w:ascii="Arial" w:cs="Arial" w:eastAsia="Arial" w:hAnsi="Arial"/>
                <w:sz w:val="18"/>
                <w:szCs w:val="18"/>
                <w:color w:val="0000FF"/>
                <w:w w:val="90"/>
              </w:rPr>
            </w:pPr>
            <w:hyperlink r:id="rId148">
              <w:r>
                <w:rPr>
                  <w:rFonts w:ascii="Arial" w:cs="Arial" w:eastAsia="Arial" w:hAnsi="Arial"/>
                  <w:sz w:val="18"/>
                  <w:szCs w:val="18"/>
                  <w:color w:val="0000FF"/>
                  <w:w w:val="90"/>
                </w:rPr>
                <w:t>Employment Agreement dated August 8, 2022, between OraSure Technologies, Inc. and Kenneth J. McGrath is incorporated by reference to</w:t>
              </w:r>
            </w:hyperlink>
          </w:p>
        </w:tc>
        <w:tc>
          <w:tcPr>
            <w:tcW w:w="0" w:type="dxa"/>
            <w:vAlign w:val="bottom"/>
          </w:tcPr>
          <w:p>
            <w:pPr>
              <w:spacing w:after="0"/>
              <w:rPr>
                <w:sz w:val="1"/>
                <w:szCs w:val="1"/>
                <w:color w:val="auto"/>
              </w:rPr>
            </w:pPr>
          </w:p>
        </w:tc>
      </w:tr>
      <w:tr>
        <w:trPr>
          <w:trHeight w:val="20"/>
        </w:trPr>
        <w:tc>
          <w:tcPr>
            <w:tcW w:w="840" w:type="dxa"/>
            <w:vAlign w:val="bottom"/>
            <w:vMerge w:val="continue"/>
          </w:tcPr>
          <w:p>
            <w:pPr>
              <w:spacing w:after="0" w:line="20" w:lineRule="exact"/>
              <w:rPr>
                <w:sz w:val="1"/>
                <w:szCs w:val="1"/>
                <w:color w:val="auto"/>
              </w:rPr>
            </w:pPr>
          </w:p>
        </w:tc>
        <w:tc>
          <w:tcPr>
            <w:tcW w:w="62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40" w:type="dxa"/>
            <w:vAlign w:val="bottom"/>
            <w:vMerge w:val="continue"/>
          </w:tcPr>
          <w:p>
            <w:pPr>
              <w:spacing w:after="0"/>
              <w:rPr>
                <w:sz w:val="11"/>
                <w:szCs w:val="11"/>
                <w:color w:val="auto"/>
              </w:rPr>
            </w:pPr>
          </w:p>
        </w:tc>
        <w:tc>
          <w:tcPr>
            <w:tcW w:w="10140" w:type="dxa"/>
            <w:vAlign w:val="bottom"/>
            <w:gridSpan w:val="5"/>
            <w:vMerge w:val="restart"/>
          </w:tcPr>
          <w:p>
            <w:pPr>
              <w:spacing w:after="0" w:line="196" w:lineRule="exact"/>
              <w:rPr>
                <w:rFonts w:ascii="Arial" w:cs="Arial" w:eastAsia="Arial" w:hAnsi="Arial"/>
                <w:sz w:val="18"/>
                <w:szCs w:val="18"/>
                <w:color w:val="0000FF"/>
              </w:rPr>
            </w:pPr>
            <w:hyperlink r:id="rId148">
              <w:r>
                <w:rPr>
                  <w:rFonts w:ascii="Arial" w:cs="Arial" w:eastAsia="Arial" w:hAnsi="Arial"/>
                  <w:sz w:val="18"/>
                  <w:szCs w:val="18"/>
                  <w:color w:val="0000FF"/>
                </w:rPr>
                <w:t>Exhibit 10.1 to the Company's Current Report on Form 8-K filed on August 12, 2022.*</w:t>
              </w:r>
            </w:hyperlink>
          </w:p>
        </w:tc>
        <w:tc>
          <w:tcPr>
            <w:tcW w:w="0" w:type="dxa"/>
            <w:vAlign w:val="bottom"/>
          </w:tcPr>
          <w:p>
            <w:pPr>
              <w:spacing w:after="0"/>
              <w:rPr>
                <w:sz w:val="1"/>
                <w:szCs w:val="1"/>
                <w:color w:val="auto"/>
              </w:rPr>
            </w:pPr>
          </w:p>
        </w:tc>
      </w:tr>
      <w:tr>
        <w:trPr>
          <w:trHeight w:val="68"/>
        </w:trPr>
        <w:tc>
          <w:tcPr>
            <w:tcW w:w="840" w:type="dxa"/>
            <w:vAlign w:val="bottom"/>
          </w:tcPr>
          <w:p>
            <w:pPr>
              <w:spacing w:after="0"/>
              <w:rPr>
                <w:sz w:val="5"/>
                <w:szCs w:val="5"/>
                <w:color w:val="auto"/>
              </w:rPr>
            </w:pPr>
          </w:p>
        </w:tc>
        <w:tc>
          <w:tcPr>
            <w:tcW w:w="101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40" w:type="dxa"/>
            <w:vAlign w:val="bottom"/>
            <w:tcBorders>
              <w:right w:val="single" w:sz="8" w:color="0000EE"/>
            </w:tcBorders>
          </w:tcPr>
          <w:p>
            <w:pPr>
              <w:spacing w:after="0" w:line="20" w:lineRule="exact"/>
              <w:rPr>
                <w:sz w:val="1"/>
                <w:szCs w:val="1"/>
                <w:color w:val="auto"/>
              </w:rPr>
            </w:pPr>
          </w:p>
        </w:tc>
        <w:tc>
          <w:tcPr>
            <w:tcW w:w="6280" w:type="dxa"/>
            <w:vAlign w:val="bottom"/>
            <w:tcBorders>
              <w:right w:val="single" w:sz="8" w:color="0000EE"/>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ectPr>
          <w:pgSz w:w="11900" w:h="16838" w:orient="portrait"/>
          <w:cols w:equalWidth="0" w:num="1">
            <w:col w:w="11240"/>
          </w:cols>
          <w:pgMar w:left="320" w:top="364" w:right="339" w:bottom="1440" w:gutter="0" w:footer="0" w:header="0"/>
          <w:type w:val="continuous"/>
        </w:sectPr>
      </w:pPr>
    </w:p>
    <w:p>
      <w:pPr>
        <w:spacing w:after="0" w:line="10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10.11</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5"/>
          <w:szCs w:val="15"/>
          <w:color w:val="auto"/>
        </w:rPr>
        <w:t>10.12</w:t>
      </w:r>
    </w:p>
    <w:p>
      <w:pPr>
        <w:spacing w:after="0" w:line="20" w:lineRule="exact"/>
        <w:rPr>
          <w:sz w:val="20"/>
          <w:szCs w:val="20"/>
          <w:color w:val="auto"/>
        </w:rPr>
      </w:pPr>
      <w:r>
        <w:rPr>
          <w:sz w:val="20"/>
          <w:szCs w:val="20"/>
          <w:color w:val="auto"/>
        </w:rPr>
        <w:br w:type="column"/>
      </w:r>
    </w:p>
    <w:p>
      <w:pPr>
        <w:ind w:right="80"/>
        <w:spacing w:after="0" w:line="308" w:lineRule="auto"/>
        <w:rPr>
          <w:rFonts w:ascii="Arial" w:cs="Arial" w:eastAsia="Arial" w:hAnsi="Arial"/>
          <w:sz w:val="17"/>
          <w:szCs w:val="17"/>
          <w:u w:val="single" w:color="auto"/>
          <w:color w:val="0000FF"/>
        </w:rPr>
      </w:pPr>
      <w:hyperlink r:id="rId149">
        <w:r>
          <w:rPr>
            <w:rFonts w:ascii="Arial" w:cs="Arial" w:eastAsia="Arial" w:hAnsi="Arial"/>
            <w:sz w:val="17"/>
            <w:szCs w:val="17"/>
            <w:u w:val="single" w:color="auto"/>
            <w:color w:val="0000FF"/>
          </w:rPr>
          <w:t>Severance Letter Agreement, dated August 25, 2021, between OraSure Technologies, Inc. and Michele M. Miller is incorporated by</w:t>
        </w:r>
      </w:hyperlink>
      <w:r>
        <w:rPr>
          <w:rFonts w:ascii="Arial" w:cs="Arial" w:eastAsia="Arial" w:hAnsi="Arial"/>
          <w:sz w:val="17"/>
          <w:szCs w:val="17"/>
          <w:u w:val="single" w:color="auto"/>
          <w:color w:val="0000FF"/>
        </w:rPr>
        <w:t xml:space="preserve"> </w:t>
      </w:r>
      <w:hyperlink r:id="rId149">
        <w:r>
          <w:rPr>
            <w:rFonts w:ascii="Arial" w:cs="Arial" w:eastAsia="Arial" w:hAnsi="Arial"/>
            <w:sz w:val="17"/>
            <w:szCs w:val="17"/>
            <w:u w:val="single" w:color="auto"/>
            <w:color w:val="0000FF"/>
          </w:rPr>
          <w:t>reference to Exhibit 10.13 to the Company's Annual Report on Form 10-K for the year ended December 31,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-197485</wp:posOffset>
            </wp:positionV>
            <wp:extent cx="64471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0">
                      <a:extLst>
                        <a:ext uri="{28A0092B-C50C-407E-A947-70E740481C1C}"/>
                      </a:extLst>
                    </a:blip>
                    <a:srcRect/>
                    <a:stretch>
                      <a:fillRect/>
                    </a:stretch>
                  </pic:blipFill>
                  <pic:spPr bwMode="auto">
                    <a:xfrm>
                      <a:off x="0" y="0"/>
                      <a:ext cx="64471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-60325</wp:posOffset>
            </wp:positionV>
            <wp:extent cx="52717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1">
                      <a:extLst>
                        <a:ext uri="{28A0092B-C50C-407E-A947-70E740481C1C}"/>
                      </a:extLst>
                    </a:blip>
                    <a:srcRect/>
                    <a:stretch>
                      <a:fillRect/>
                    </a:stretch>
                  </pic:blipFill>
                  <pic:spPr bwMode="auto">
                    <a:xfrm>
                      <a:off x="0" y="0"/>
                      <a:ext cx="5271770" cy="8255"/>
                    </a:xfrm>
                    <a:prstGeom prst="rect">
                      <a:avLst/>
                    </a:prstGeom>
                    <a:noFill/>
                  </pic:spPr>
                </pic:pic>
              </a:graphicData>
            </a:graphic>
          </wp:anchor>
        </w:drawing>
      </w:r>
    </w:p>
    <w:p>
      <w:pPr>
        <w:spacing w:after="0" w:line="59" w:lineRule="exact"/>
        <w:rPr>
          <w:sz w:val="20"/>
          <w:szCs w:val="20"/>
          <w:color w:val="auto"/>
        </w:rPr>
      </w:pPr>
    </w:p>
    <w:p>
      <w:pPr>
        <w:ind w:right="80"/>
        <w:spacing w:after="0" w:line="277" w:lineRule="auto"/>
        <w:rPr>
          <w:rFonts w:ascii="Arial" w:cs="Arial" w:eastAsia="Arial" w:hAnsi="Arial"/>
          <w:sz w:val="18"/>
          <w:szCs w:val="18"/>
          <w:u w:val="single" w:color="auto"/>
          <w:color w:val="0000FF"/>
        </w:rPr>
      </w:pPr>
      <w:hyperlink r:id="rId152">
        <w:r>
          <w:rPr>
            <w:rFonts w:ascii="Arial" w:cs="Arial" w:eastAsia="Arial" w:hAnsi="Arial"/>
            <w:sz w:val="18"/>
            <w:szCs w:val="18"/>
            <w:u w:val="single" w:color="auto"/>
            <w:color w:val="0000FF"/>
          </w:rPr>
          <w:t>Description of Non-Employee Director Compensation Policy, as amended, is incorporated by reference to Item 5.02 to the Company’s</w:t>
        </w:r>
      </w:hyperlink>
      <w:r>
        <w:rPr>
          <w:rFonts w:ascii="Arial" w:cs="Arial" w:eastAsia="Arial" w:hAnsi="Arial"/>
          <w:sz w:val="18"/>
          <w:szCs w:val="18"/>
          <w:u w:val="single" w:color="auto"/>
          <w:color w:val="0000FF"/>
        </w:rPr>
        <w:t xml:space="preserve"> </w:t>
      </w:r>
      <w:hyperlink r:id="rId152">
        <w:r>
          <w:rPr>
            <w:rFonts w:ascii="Arial" w:cs="Arial" w:eastAsia="Arial" w:hAnsi="Arial"/>
            <w:sz w:val="18"/>
            <w:szCs w:val="18"/>
            <w:u w:val="single" w:color="auto"/>
            <w:color w:val="0000FF"/>
          </w:rPr>
          <w:t>Current Report on form 8-K filed August 14,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645033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3">
                      <a:extLst>
                        <a:ext uri="{28A0092B-C50C-407E-A947-70E740481C1C}"/>
                      </a:extLst>
                    </a:blip>
                    <a:srcRect/>
                    <a:stretch>
                      <a:fillRect/>
                    </a:stretch>
                  </pic:blipFill>
                  <pic:spPr bwMode="auto">
                    <a:xfrm>
                      <a:off x="0" y="0"/>
                      <a:ext cx="64503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-45085</wp:posOffset>
            </wp:positionV>
            <wp:extent cx="239903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4">
                      <a:extLst>
                        <a:ext uri="{28A0092B-C50C-407E-A947-70E740481C1C}"/>
                      </a:extLst>
                    </a:blip>
                    <a:srcRect/>
                    <a:stretch>
                      <a:fillRect/>
                    </a:stretch>
                  </pic:blipFill>
                  <pic:spPr bwMode="auto">
                    <a:xfrm>
                      <a:off x="0" y="0"/>
                      <a:ext cx="2399030" cy="8890"/>
                    </a:xfrm>
                    <a:prstGeom prst="rect">
                      <a:avLst/>
                    </a:prstGeom>
                    <a:noFill/>
                  </pic:spPr>
                </pic:pic>
              </a:graphicData>
            </a:graphic>
          </wp:anchor>
        </w:drawing>
      </w:r>
    </w:p>
    <w:p>
      <w:pPr>
        <w:spacing w:after="0" w:line="103" w:lineRule="exact"/>
        <w:rPr>
          <w:sz w:val="20"/>
          <w:szCs w:val="20"/>
          <w:color w:val="auto"/>
        </w:rPr>
      </w:pPr>
    </w:p>
    <w:p>
      <w:pPr>
        <w:sectPr>
          <w:pgSz w:w="11900" w:h="16838" w:orient="portrait"/>
          <w:cols w:equalWidth="0" w:num="2">
            <w:col w:w="600" w:space="400"/>
            <w:col w:w="10240"/>
          </w:cols>
          <w:pgMar w:left="320" w:top="364" w:right="339" w:bottom="1440" w:gutter="0" w:footer="0" w:header="0"/>
          <w:type w:val="continuous"/>
        </w:sectPr>
      </w:pPr>
    </w:p>
    <w:p>
      <w:pPr>
        <w:ind w:left="1000" w:right="80" w:hanging="801"/>
        <w:spacing w:after="0" w:line="277" w:lineRule="auto"/>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10.13</w:t>
      </w:r>
      <w:r>
        <w:rPr>
          <w:sz w:val="20"/>
          <w:szCs w:val="20"/>
          <w:color w:val="auto"/>
        </w:rPr>
        <w:tab/>
      </w:r>
      <w:hyperlink r:id="rId155">
        <w:r>
          <w:rPr>
            <w:rFonts w:ascii="Arial" w:cs="Arial" w:eastAsia="Arial" w:hAnsi="Arial"/>
            <w:sz w:val="18"/>
            <w:szCs w:val="18"/>
            <w:u w:val="single" w:color="auto"/>
            <w:color w:val="0000FF"/>
          </w:rPr>
          <w:t>Amended and Restated Epitope, Inc. 1991 Stock Award Plan is incorporated by reference to Exhibit 10.9 to the Company’s Annual Report</w:t>
        </w:r>
      </w:hyperlink>
      <w:r>
        <w:rPr>
          <w:rFonts w:ascii="Arial" w:cs="Arial" w:eastAsia="Arial" w:hAnsi="Arial"/>
          <w:sz w:val="18"/>
          <w:szCs w:val="18"/>
          <w:u w:val="single" w:color="auto"/>
          <w:color w:val="0000FF"/>
        </w:rPr>
        <w:t xml:space="preserve"> </w:t>
      </w:r>
      <w:hyperlink r:id="rId155">
        <w:r>
          <w:rPr>
            <w:rFonts w:ascii="Arial" w:cs="Arial" w:eastAsia="Arial" w:hAnsi="Arial"/>
            <w:sz w:val="18"/>
            <w:szCs w:val="18"/>
            <w:u w:val="single" w:color="auto"/>
            <w:color w:val="0000FF"/>
          </w:rPr>
          <w:t>on Form 10-K for the year ended December 31,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-182245</wp:posOffset>
            </wp:positionV>
            <wp:extent cx="645033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6">
                      <a:extLst>
                        <a:ext uri="{28A0092B-C50C-407E-A947-70E740481C1C}"/>
                      </a:extLst>
                    </a:blip>
                    <a:srcRect/>
                    <a:stretch>
                      <a:fillRect/>
                    </a:stretch>
                  </pic:blipFill>
                  <pic:spPr bwMode="auto">
                    <a:xfrm>
                      <a:off x="0" y="0"/>
                      <a:ext cx="6450330" cy="8890"/>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-45085</wp:posOffset>
            </wp:positionV>
            <wp:extent cx="255079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7">
                      <a:extLst>
                        <a:ext uri="{28A0092B-C50C-407E-A947-70E740481C1C}"/>
                      </a:extLst>
                    </a:blip>
                    <a:srcRect/>
                    <a:stretch>
                      <a:fillRect/>
                    </a:stretch>
                  </pic:blipFill>
                  <pic:spPr bwMode="auto">
                    <a:xfrm>
                      <a:off x="0" y="0"/>
                      <a:ext cx="2550795" cy="8255"/>
                    </a:xfrm>
                    <a:prstGeom prst="rect">
                      <a:avLst/>
                    </a:prstGeom>
                    <a:noFill/>
                  </pic:spPr>
                </pic:pic>
              </a:graphicData>
            </a:graphic>
          </wp:anchor>
        </w:drawing>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71" w:name="page72"/>
    <w:bookmarkEnd w:id="71"/>
    <w:p>
      <w:pPr>
        <w:ind w:left="200"/>
        <w:spacing w:after="0"/>
        <w:tabs>
          <w:tab w:leader="none" w:pos="980" w:val="left"/>
        </w:tabs>
        <w:rPr>
          <w:rFonts w:ascii="Arial" w:cs="Arial" w:eastAsia="Arial" w:hAnsi="Arial"/>
          <w:sz w:val="16"/>
          <w:szCs w:val="16"/>
          <w:u w:val="single" w:color="auto"/>
          <w:color w:val="0000FF"/>
        </w:rPr>
      </w:pPr>
      <w:r>
        <w:rPr>
          <w:rFonts w:ascii="Arial" w:cs="Arial" w:eastAsia="Arial" w:hAnsi="Arial"/>
          <w:sz w:val="18"/>
          <w:szCs w:val="18"/>
          <w:color w:val="auto"/>
        </w:rPr>
        <w:t>10.14</w:t>
      </w:r>
      <w:r>
        <w:rPr>
          <w:sz w:val="20"/>
          <w:szCs w:val="20"/>
          <w:color w:val="auto"/>
        </w:rPr>
        <w:tab/>
      </w:r>
      <w:hyperlink r:id="rId159">
        <w:r>
          <w:rPr>
            <w:rFonts w:ascii="Arial" w:cs="Arial" w:eastAsia="Arial" w:hAnsi="Arial"/>
            <w:sz w:val="16"/>
            <w:szCs w:val="16"/>
            <w:u w:val="single" w:color="auto"/>
            <w:color w:val="0000FF"/>
          </w:rPr>
          <w:t>OraSure Technologies, Inc. Employee Incentive and Non-Qualified Stock Option Plan, as amended and restated effective September 29,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-10160</wp:posOffset>
            </wp:positionV>
            <wp:extent cx="62623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0">
                      <a:extLst>
                        <a:ext uri="{28A0092B-C50C-407E-A947-70E740481C1C}"/>
                      </a:extLst>
                    </a:blip>
                    <a:srcRect/>
                    <a:stretch>
                      <a:fillRect/>
                    </a:stretch>
                  </pic:blipFill>
                  <pic:spPr bwMode="auto">
                    <a:xfrm>
                      <a:off x="0" y="0"/>
                      <a:ext cx="6262370" cy="8255"/>
                    </a:xfrm>
                    <a:prstGeom prst="rect">
                      <a:avLst/>
                    </a:prstGeom>
                    <a:noFill/>
                  </pic:spPr>
                </pic:pic>
              </a:graphicData>
            </a:graphic>
          </wp:anchor>
        </w:drawing>
      </w:r>
    </w:p>
    <w:p>
      <w:pPr>
        <w:spacing w:after="0" w:line="3" w:lineRule="exact"/>
        <w:rPr>
          <w:sz w:val="20"/>
          <w:szCs w:val="20"/>
          <w:color w:val="auto"/>
        </w:rPr>
      </w:pPr>
    </w:p>
    <w:p>
      <w:pPr>
        <w:ind w:left="1000"/>
        <w:spacing w:after="0"/>
        <w:rPr>
          <w:rFonts w:ascii="Arial" w:cs="Arial" w:eastAsia="Arial" w:hAnsi="Arial"/>
          <w:sz w:val="16"/>
          <w:szCs w:val="16"/>
          <w:u w:val="single" w:color="auto"/>
          <w:color w:val="0000FF"/>
        </w:rPr>
      </w:pPr>
      <w:hyperlink r:id="rId159">
        <w:r>
          <w:rPr>
            <w:rFonts w:ascii="Arial" w:cs="Arial" w:eastAsia="Arial" w:hAnsi="Arial"/>
            <w:sz w:val="16"/>
            <w:szCs w:val="16"/>
            <w:u w:val="single" w:color="auto"/>
            <w:color w:val="0000FF"/>
          </w:rPr>
          <w:t>2000, is incorporated by reference to Exhibit 10.12 to the Company’s Annual Report on Form 10-K for the year ended December 31, 2000.*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-4445</wp:posOffset>
            </wp:positionV>
            <wp:extent cx="645033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1">
                      <a:extLst>
                        <a:ext uri="{28A0092B-C50C-407E-A947-70E740481C1C}"/>
                      </a:extLst>
                    </a:blip>
                    <a:srcRect/>
                    <a:stretch>
                      <a:fillRect/>
                    </a:stretch>
                  </pic:blipFill>
                  <pic:spPr bwMode="auto">
                    <a:xfrm>
                      <a:off x="0" y="0"/>
                      <a:ext cx="6450330" cy="8255"/>
                    </a:xfrm>
                    <a:prstGeom prst="rect">
                      <a:avLst/>
                    </a:prstGeom>
                    <a:noFill/>
                  </pic:spPr>
                </pic:pic>
              </a:graphicData>
            </a:graphic>
          </wp:anchor>
        </w:drawing>
      </w:r>
    </w:p>
    <w:p>
      <w:pPr>
        <w:spacing w:after="0" w:line="146" w:lineRule="exact"/>
        <w:rPr>
          <w:sz w:val="20"/>
          <w:szCs w:val="20"/>
          <w:color w:val="auto"/>
        </w:rPr>
      </w:pPr>
    </w:p>
    <w:p>
      <w:pPr>
        <w:jc w:val="both"/>
        <w:ind w:left="1000" w:hanging="801"/>
        <w:spacing w:after="0" w:line="277" w:lineRule="auto"/>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10.15</w:t>
      </w:r>
      <w:r>
        <w:rPr>
          <w:sz w:val="20"/>
          <w:szCs w:val="20"/>
          <w:color w:val="auto"/>
        </w:rPr>
        <w:tab/>
      </w:r>
      <w:hyperlink r:id="rId162">
        <w:r>
          <w:rPr>
            <w:rFonts w:ascii="Arial" w:cs="Arial" w:eastAsia="Arial" w:hAnsi="Arial"/>
            <w:sz w:val="18"/>
            <w:szCs w:val="18"/>
            <w:u w:val="single" w:color="auto"/>
            <w:color w:val="0000FF"/>
          </w:rPr>
          <w:t>Amended and Restated OraSure Technologies, Inc. Stock Award Plan, effective April 4, 2020, is incorporated by reference to Exhibit A to</w:t>
        </w:r>
      </w:hyperlink>
      <w:r>
        <w:rPr>
          <w:rFonts w:ascii="Arial" w:cs="Arial" w:eastAsia="Arial" w:hAnsi="Arial"/>
          <w:sz w:val="18"/>
          <w:szCs w:val="18"/>
          <w:u w:val="single" w:color="auto"/>
          <w:color w:val="0000FF"/>
        </w:rPr>
        <w:t xml:space="preserve"> </w:t>
      </w:r>
      <w:hyperlink r:id="rId162">
        <w:r>
          <w:rPr>
            <w:rFonts w:ascii="Arial" w:cs="Arial" w:eastAsia="Arial" w:hAnsi="Arial"/>
            <w:sz w:val="18"/>
            <w:szCs w:val="18"/>
            <w:u w:val="single" w:color="auto"/>
            <w:color w:val="0000FF"/>
          </w:rPr>
          <w:t>the Company’s Proxy Statement, filed April 9, 2020, for the 2020 Annual Meeting of Stockholders.*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-182245</wp:posOffset>
            </wp:positionV>
            <wp:extent cx="64484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3">
                      <a:extLst>
                        <a:ext uri="{28A0092B-C50C-407E-A947-70E740481C1C}"/>
                      </a:extLst>
                    </a:blip>
                    <a:srcRect/>
                    <a:stretch>
                      <a:fillRect/>
                    </a:stretch>
                  </pic:blipFill>
                  <pic:spPr bwMode="auto">
                    <a:xfrm>
                      <a:off x="0" y="0"/>
                      <a:ext cx="6448425"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-45085</wp:posOffset>
            </wp:positionV>
            <wp:extent cx="460756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4">
                      <a:extLst>
                        <a:ext uri="{28A0092B-C50C-407E-A947-70E740481C1C}"/>
                      </a:extLst>
                    </a:blip>
                    <a:srcRect/>
                    <a:stretch>
                      <a:fillRect/>
                    </a:stretch>
                  </pic:blipFill>
                  <pic:spPr bwMode="auto">
                    <a:xfrm>
                      <a:off x="0" y="0"/>
                      <a:ext cx="4607560" cy="8890"/>
                    </a:xfrm>
                    <a:prstGeom prst="rect">
                      <a:avLst/>
                    </a:prstGeom>
                    <a:noFill/>
                  </pic:spPr>
                </pic:pic>
              </a:graphicData>
            </a:graphic>
          </wp:anchor>
        </w:drawing>
      </w:r>
    </w:p>
    <w:p>
      <w:pPr>
        <w:spacing w:after="0" w:line="83" w:lineRule="exact"/>
        <w:rPr>
          <w:sz w:val="20"/>
          <w:szCs w:val="20"/>
          <w:color w:val="auto"/>
        </w:rPr>
      </w:pPr>
    </w:p>
    <w:p>
      <w:pPr>
        <w:ind w:left="200"/>
        <w:spacing w:after="0"/>
        <w:tabs>
          <w:tab w:leader="none" w:pos="980" w:val="left"/>
        </w:tabs>
        <w:rPr>
          <w:rFonts w:ascii="Arial" w:cs="Arial" w:eastAsia="Arial" w:hAnsi="Arial"/>
          <w:sz w:val="16"/>
          <w:szCs w:val="16"/>
          <w:u w:val="single" w:color="auto"/>
          <w:color w:val="0000FF"/>
        </w:rPr>
      </w:pPr>
      <w:r>
        <w:rPr>
          <w:rFonts w:ascii="Arial" w:cs="Arial" w:eastAsia="Arial" w:hAnsi="Arial"/>
          <w:sz w:val="18"/>
          <w:szCs w:val="18"/>
          <w:color w:val="auto"/>
        </w:rPr>
        <w:t>10.16</w:t>
      </w:r>
      <w:r>
        <w:rPr>
          <w:sz w:val="20"/>
          <w:szCs w:val="20"/>
          <w:color w:val="auto"/>
        </w:rPr>
        <w:tab/>
      </w:r>
      <w:hyperlink r:id="rId165">
        <w:r>
          <w:rPr>
            <w:rFonts w:ascii="Arial" w:cs="Arial" w:eastAsia="Arial" w:hAnsi="Arial"/>
            <w:sz w:val="16"/>
            <w:szCs w:val="16"/>
            <w:u w:val="single" w:color="auto"/>
            <w:color w:val="0000FF"/>
          </w:rPr>
          <w:t>Amended and Restated OraSure Technologies, Inc. 2000 Stock Award Plan, Effective April 1, 2022, is incorporated by reference to Exhibit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-10160</wp:posOffset>
            </wp:positionV>
            <wp:extent cx="64528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6">
                      <a:extLst>
                        <a:ext uri="{28A0092B-C50C-407E-A947-70E740481C1C}"/>
                      </a:extLst>
                    </a:blip>
                    <a:srcRect/>
                    <a:stretch>
                      <a:fillRect/>
                    </a:stretch>
                  </pic:blipFill>
                  <pic:spPr bwMode="auto">
                    <a:xfrm>
                      <a:off x="0" y="0"/>
                      <a:ext cx="6452870" cy="8255"/>
                    </a:xfrm>
                    <a:prstGeom prst="rect">
                      <a:avLst/>
                    </a:prstGeom>
                    <a:noFill/>
                  </pic:spPr>
                </pic:pic>
              </a:graphicData>
            </a:graphic>
          </wp:anchor>
        </w:drawing>
      </w:r>
    </w:p>
    <w:p>
      <w:pPr>
        <w:spacing w:after="0" w:line="3" w:lineRule="exact"/>
        <w:rPr>
          <w:sz w:val="20"/>
          <w:szCs w:val="20"/>
          <w:color w:val="auto"/>
        </w:rPr>
      </w:pPr>
    </w:p>
    <w:p>
      <w:pPr>
        <w:ind w:left="1000"/>
        <w:spacing w:after="0"/>
        <w:rPr>
          <w:rFonts w:ascii="Arial" w:cs="Arial" w:eastAsia="Arial" w:hAnsi="Arial"/>
          <w:sz w:val="18"/>
          <w:szCs w:val="18"/>
          <w:u w:val="single" w:color="auto"/>
          <w:color w:val="0000FF"/>
        </w:rPr>
      </w:pPr>
      <w:hyperlink r:id="rId165">
        <w:r>
          <w:rPr>
            <w:rFonts w:ascii="Arial" w:cs="Arial" w:eastAsia="Arial" w:hAnsi="Arial"/>
            <w:sz w:val="18"/>
            <w:szCs w:val="18"/>
            <w:u w:val="single" w:color="auto"/>
            <w:color w:val="0000FF"/>
          </w:rPr>
          <w:t>10.1 to the Company's Current Report on Form 8-K filed May 18,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-19050</wp:posOffset>
            </wp:positionV>
            <wp:extent cx="335597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7">
                      <a:extLst>
                        <a:ext uri="{28A0092B-C50C-407E-A947-70E740481C1C}"/>
                      </a:extLst>
                    </a:blip>
                    <a:srcRect/>
                    <a:stretch>
                      <a:fillRect/>
                    </a:stretch>
                  </pic:blipFill>
                  <pic:spPr bwMode="auto">
                    <a:xfrm>
                      <a:off x="0" y="0"/>
                      <a:ext cx="3355975" cy="8255"/>
                    </a:xfrm>
                    <a:prstGeom prst="rect">
                      <a:avLst/>
                    </a:prstGeom>
                    <a:noFill/>
                  </pic:spPr>
                </pic:pic>
              </a:graphicData>
            </a:graphic>
          </wp:anchor>
        </w:drawing>
      </w:r>
    </w:p>
    <w:p>
      <w:pPr>
        <w:spacing w:after="0" w:line="123" w:lineRule="exact"/>
        <w:rPr>
          <w:sz w:val="20"/>
          <w:szCs w:val="20"/>
          <w:color w:val="auto"/>
        </w:rPr>
      </w:pPr>
    </w:p>
    <w:p>
      <w:pPr>
        <w:jc w:val="both"/>
        <w:ind w:left="1000" w:hanging="801"/>
        <w:spacing w:after="0" w:line="277" w:lineRule="auto"/>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10.17</w:t>
      </w:r>
      <w:r>
        <w:rPr>
          <w:sz w:val="20"/>
          <w:szCs w:val="20"/>
          <w:color w:val="auto"/>
        </w:rPr>
        <w:tab/>
      </w:r>
      <w:hyperlink r:id="rId168">
        <w:r>
          <w:rPr>
            <w:rFonts w:ascii="Arial" w:cs="Arial" w:eastAsia="Arial" w:hAnsi="Arial"/>
            <w:sz w:val="18"/>
            <w:szCs w:val="18"/>
            <w:u w:val="single" w:color="auto"/>
            <w:color w:val="0000FF"/>
          </w:rPr>
          <w:t>Form of Restricted Share Award Agreement (Executive Officers – Employment Agreements) is incorporated by reference to Exhibit 10.24</w:t>
        </w:r>
      </w:hyperlink>
      <w:r>
        <w:rPr>
          <w:rFonts w:ascii="Arial" w:cs="Arial" w:eastAsia="Arial" w:hAnsi="Arial"/>
          <w:sz w:val="18"/>
          <w:szCs w:val="18"/>
          <w:u w:val="single" w:color="auto"/>
          <w:color w:val="0000FF"/>
        </w:rPr>
        <w:t xml:space="preserve"> </w:t>
      </w:r>
      <w:hyperlink r:id="rId168">
        <w:r>
          <w:rPr>
            <w:rFonts w:ascii="Arial" w:cs="Arial" w:eastAsia="Arial" w:hAnsi="Arial"/>
            <w:sz w:val="18"/>
            <w:szCs w:val="18"/>
            <w:u w:val="single" w:color="auto"/>
            <w:color w:val="0000FF"/>
          </w:rPr>
          <w:t>to the Company’s Annual Report on Form 10-K for the year ended December 31,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-182245</wp:posOffset>
            </wp:positionV>
            <wp:extent cx="645033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9">
                      <a:extLst>
                        <a:ext uri="{28A0092B-C50C-407E-A947-70E740481C1C}"/>
                      </a:extLst>
                    </a:blip>
                    <a:srcRect/>
                    <a:stretch>
                      <a:fillRect/>
                    </a:stretch>
                  </pic:blipFill>
                  <pic:spPr bwMode="auto">
                    <a:xfrm>
                      <a:off x="0" y="0"/>
                      <a:ext cx="6450330"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-45085</wp:posOffset>
            </wp:positionV>
            <wp:extent cx="409003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0">
                      <a:extLst>
                        <a:ext uri="{28A0092B-C50C-407E-A947-70E740481C1C}"/>
                      </a:extLst>
                    </a:blip>
                    <a:srcRect/>
                    <a:stretch>
                      <a:fillRect/>
                    </a:stretch>
                  </pic:blipFill>
                  <pic:spPr bwMode="auto">
                    <a:xfrm>
                      <a:off x="0" y="0"/>
                      <a:ext cx="4090035" cy="8890"/>
                    </a:xfrm>
                    <a:prstGeom prst="rect">
                      <a:avLst/>
                    </a:prstGeom>
                    <a:noFill/>
                  </pic:spPr>
                </pic:pic>
              </a:graphicData>
            </a:graphic>
          </wp:anchor>
        </w:drawing>
      </w:r>
    </w:p>
    <w:p>
      <w:pPr>
        <w:spacing w:after="0" w:line="69" w:lineRule="exact"/>
        <w:rPr>
          <w:sz w:val="20"/>
          <w:szCs w:val="20"/>
          <w:color w:val="auto"/>
        </w:rPr>
      </w:pPr>
    </w:p>
    <w:p>
      <w:pPr>
        <w:jc w:val="both"/>
        <w:ind w:left="1000" w:hanging="801"/>
        <w:spacing w:after="0" w:line="277" w:lineRule="auto"/>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10.18</w:t>
      </w:r>
      <w:r>
        <w:rPr>
          <w:sz w:val="20"/>
          <w:szCs w:val="20"/>
          <w:color w:val="auto"/>
        </w:rPr>
        <w:tab/>
      </w:r>
      <w:hyperlink r:id="rId171">
        <w:r>
          <w:rPr>
            <w:rFonts w:ascii="Arial" w:cs="Arial" w:eastAsia="Arial" w:hAnsi="Arial"/>
            <w:sz w:val="18"/>
            <w:szCs w:val="18"/>
            <w:u w:val="single" w:color="auto"/>
            <w:color w:val="0000FF"/>
          </w:rPr>
          <w:t>Form of Restricted Unit Award Agreement (Executive Officers – Employment Agreements) is incorporated by reference to Exhibit 10.27 to</w:t>
        </w:r>
      </w:hyperlink>
      <w:r>
        <w:rPr>
          <w:rFonts w:ascii="Arial" w:cs="Arial" w:eastAsia="Arial" w:hAnsi="Arial"/>
          <w:sz w:val="18"/>
          <w:szCs w:val="18"/>
          <w:u w:val="single" w:color="auto"/>
          <w:color w:val="0000FF"/>
        </w:rPr>
        <w:t xml:space="preserve"> </w:t>
      </w:r>
      <w:hyperlink r:id="rId171">
        <w:r>
          <w:rPr>
            <w:rFonts w:ascii="Arial" w:cs="Arial" w:eastAsia="Arial" w:hAnsi="Arial"/>
            <w:sz w:val="18"/>
            <w:szCs w:val="18"/>
            <w:u w:val="single" w:color="auto"/>
            <w:color w:val="0000FF"/>
          </w:rPr>
          <w:t>the Company’s Annual Report on Form 10-K for the year ended December 31, 2016.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-182245</wp:posOffset>
            </wp:positionV>
            <wp:extent cx="645096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2">
                      <a:extLst>
                        <a:ext uri="{28A0092B-C50C-407E-A947-70E740481C1C}"/>
                      </a:extLst>
                    </a:blip>
                    <a:srcRect/>
                    <a:stretch>
                      <a:fillRect/>
                    </a:stretch>
                  </pic:blipFill>
                  <pic:spPr bwMode="auto">
                    <a:xfrm>
                      <a:off x="0" y="0"/>
                      <a:ext cx="6450965"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-45085</wp:posOffset>
            </wp:positionV>
            <wp:extent cx="40011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3">
                      <a:extLst>
                        <a:ext uri="{28A0092B-C50C-407E-A947-70E740481C1C}"/>
                      </a:extLst>
                    </a:blip>
                    <a:srcRect/>
                    <a:stretch>
                      <a:fillRect/>
                    </a:stretch>
                  </pic:blipFill>
                  <pic:spPr bwMode="auto">
                    <a:xfrm>
                      <a:off x="0" y="0"/>
                      <a:ext cx="4001135" cy="8255"/>
                    </a:xfrm>
                    <a:prstGeom prst="rect">
                      <a:avLst/>
                    </a:prstGeom>
                    <a:noFill/>
                  </pic:spPr>
                </pic:pic>
              </a:graphicData>
            </a:graphic>
          </wp:anchor>
        </w:drawing>
      </w:r>
    </w:p>
    <w:p>
      <w:pPr>
        <w:spacing w:after="0" w:line="69" w:lineRule="exact"/>
        <w:rPr>
          <w:sz w:val="20"/>
          <w:szCs w:val="20"/>
          <w:color w:val="auto"/>
        </w:rPr>
      </w:pPr>
    </w:p>
    <w:p>
      <w:pPr>
        <w:jc w:val="both"/>
        <w:ind w:left="1000" w:hanging="801"/>
        <w:spacing w:after="0" w:line="277" w:lineRule="auto"/>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10.19</w:t>
      </w:r>
      <w:r>
        <w:rPr>
          <w:sz w:val="20"/>
          <w:szCs w:val="20"/>
          <w:color w:val="auto"/>
        </w:rPr>
        <w:tab/>
      </w:r>
      <w:hyperlink r:id="rId174">
        <w:r>
          <w:rPr>
            <w:rFonts w:ascii="Arial" w:cs="Arial" w:eastAsia="Arial" w:hAnsi="Arial"/>
            <w:sz w:val="18"/>
            <w:szCs w:val="18"/>
            <w:u w:val="single" w:color="auto"/>
            <w:color w:val="0000FF"/>
          </w:rPr>
          <w:t>Form of Restricted Unit Award Agreement (Executive Officers-Employment Agreements) for 2021 awards is incorporated by reference to</w:t>
        </w:r>
      </w:hyperlink>
      <w:r>
        <w:rPr>
          <w:rFonts w:ascii="Arial" w:cs="Arial" w:eastAsia="Arial" w:hAnsi="Arial"/>
          <w:sz w:val="18"/>
          <w:szCs w:val="18"/>
          <w:u w:val="single" w:color="auto"/>
          <w:color w:val="0000FF"/>
        </w:rPr>
        <w:t xml:space="preserve"> </w:t>
      </w:r>
      <w:hyperlink r:id="rId174">
        <w:r>
          <w:rPr>
            <w:rFonts w:ascii="Arial" w:cs="Arial" w:eastAsia="Arial" w:hAnsi="Arial"/>
            <w:sz w:val="18"/>
            <w:szCs w:val="18"/>
            <w:u w:val="single" w:color="auto"/>
            <w:color w:val="0000FF"/>
          </w:rPr>
          <w:t>Exhibit 10.20 to the Company's Annual Report on Form 10-K for the year ended December 31,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-182245</wp:posOffset>
            </wp:positionV>
            <wp:extent cx="645477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5">
                      <a:extLst>
                        <a:ext uri="{28A0092B-C50C-407E-A947-70E740481C1C}"/>
                      </a:extLst>
                    </a:blip>
                    <a:srcRect/>
                    <a:stretch>
                      <a:fillRect/>
                    </a:stretch>
                  </pic:blipFill>
                  <pic:spPr bwMode="auto">
                    <a:xfrm>
                      <a:off x="0" y="0"/>
                      <a:ext cx="6454775"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-45085</wp:posOffset>
            </wp:positionV>
            <wp:extent cx="470090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6">
                      <a:extLst>
                        <a:ext uri="{28A0092B-C50C-407E-A947-70E740481C1C}"/>
                      </a:extLst>
                    </a:blip>
                    <a:srcRect/>
                    <a:stretch>
                      <a:fillRect/>
                    </a:stretch>
                  </pic:blipFill>
                  <pic:spPr bwMode="auto">
                    <a:xfrm>
                      <a:off x="0" y="0"/>
                      <a:ext cx="4700905" cy="8255"/>
                    </a:xfrm>
                    <a:prstGeom prst="rect">
                      <a:avLst/>
                    </a:prstGeom>
                    <a:noFill/>
                  </pic:spPr>
                </pic:pic>
              </a:graphicData>
            </a:graphic>
          </wp:anchor>
        </w:drawing>
      </w:r>
    </w:p>
    <w:p>
      <w:pPr>
        <w:spacing w:after="0" w:line="83" w:lineRule="exact"/>
        <w:rPr>
          <w:sz w:val="20"/>
          <w:szCs w:val="20"/>
          <w:color w:val="auto"/>
        </w:rPr>
      </w:pPr>
    </w:p>
    <w:p>
      <w:pPr>
        <w:jc w:val="both"/>
        <w:ind w:left="1000" w:hanging="801"/>
        <w:spacing w:after="0" w:line="277" w:lineRule="auto"/>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10.20</w:t>
      </w:r>
      <w:r>
        <w:rPr>
          <w:sz w:val="20"/>
          <w:szCs w:val="20"/>
          <w:color w:val="auto"/>
        </w:rPr>
        <w:tab/>
      </w:r>
      <w:hyperlink r:id="rId177">
        <w:r>
          <w:rPr>
            <w:rFonts w:ascii="Arial" w:cs="Arial" w:eastAsia="Arial" w:hAnsi="Arial"/>
            <w:sz w:val="18"/>
            <w:szCs w:val="18"/>
            <w:u w:val="single" w:color="auto"/>
            <w:color w:val="0000FF"/>
          </w:rPr>
          <w:t>Form of Restricted Share Grant Agreement (Non-Employee Directors) is incorporated by reference to Exhibit 10.24 to the Company’s</w:t>
        </w:r>
      </w:hyperlink>
      <w:r>
        <w:rPr>
          <w:rFonts w:ascii="Arial" w:cs="Arial" w:eastAsia="Arial" w:hAnsi="Arial"/>
          <w:sz w:val="18"/>
          <w:szCs w:val="18"/>
          <w:u w:val="single" w:color="auto"/>
          <w:color w:val="0000FF"/>
        </w:rPr>
        <w:t xml:space="preserve"> </w:t>
      </w:r>
      <w:hyperlink r:id="rId177">
        <w:r>
          <w:rPr>
            <w:rFonts w:ascii="Arial" w:cs="Arial" w:eastAsia="Arial" w:hAnsi="Arial"/>
            <w:sz w:val="18"/>
            <w:szCs w:val="18"/>
            <w:u w:val="single" w:color="auto"/>
            <w:color w:val="0000FF"/>
          </w:rPr>
          <w:t>Annual Report on Form 10-K for the year ended December 31, 2011.*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-182245</wp:posOffset>
            </wp:positionV>
            <wp:extent cx="645096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8">
                      <a:extLst>
                        <a:ext uri="{28A0092B-C50C-407E-A947-70E740481C1C}"/>
                      </a:extLst>
                    </a:blip>
                    <a:srcRect/>
                    <a:stretch>
                      <a:fillRect/>
                    </a:stretch>
                  </pic:blipFill>
                  <pic:spPr bwMode="auto">
                    <a:xfrm>
                      <a:off x="0" y="0"/>
                      <a:ext cx="6450965" cy="8890"/>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-45085</wp:posOffset>
            </wp:positionV>
            <wp:extent cx="32512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9">
                      <a:extLst>
                        <a:ext uri="{28A0092B-C50C-407E-A947-70E740481C1C}"/>
                      </a:extLst>
                    </a:blip>
                    <a:srcRect/>
                    <a:stretch>
                      <a:fillRect/>
                    </a:stretch>
                  </pic:blipFill>
                  <pic:spPr bwMode="auto">
                    <a:xfrm>
                      <a:off x="0" y="0"/>
                      <a:ext cx="3251200" cy="8255"/>
                    </a:xfrm>
                    <a:prstGeom prst="rect">
                      <a:avLst/>
                    </a:prstGeom>
                    <a:noFill/>
                  </pic:spPr>
                </pic:pic>
              </a:graphicData>
            </a:graphic>
          </wp:anchor>
        </w:drawing>
      </w:r>
    </w:p>
    <w:p>
      <w:pPr>
        <w:spacing w:after="0" w:line="69" w:lineRule="exact"/>
        <w:rPr>
          <w:sz w:val="20"/>
          <w:szCs w:val="20"/>
          <w:color w:val="auto"/>
        </w:rPr>
      </w:pPr>
    </w:p>
    <w:p>
      <w:pPr>
        <w:jc w:val="both"/>
        <w:ind w:left="1000" w:hanging="801"/>
        <w:spacing w:after="0" w:line="277" w:lineRule="auto"/>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10.21</w:t>
      </w:r>
      <w:r>
        <w:rPr>
          <w:sz w:val="20"/>
          <w:szCs w:val="20"/>
          <w:color w:val="auto"/>
        </w:rPr>
        <w:tab/>
      </w:r>
      <w:hyperlink r:id="rId180">
        <w:r>
          <w:rPr>
            <w:rFonts w:ascii="Arial" w:cs="Arial" w:eastAsia="Arial" w:hAnsi="Arial"/>
            <w:sz w:val="18"/>
            <w:szCs w:val="18"/>
            <w:u w:val="single" w:color="auto"/>
            <w:color w:val="0000FF"/>
          </w:rPr>
          <w:t>Nonqualified Stock Option Award General Terms and Conditions (Executive Officers) is incorporated by reference to Exhibit 10.25 to the</w:t>
        </w:r>
      </w:hyperlink>
      <w:r>
        <w:rPr>
          <w:rFonts w:ascii="Arial" w:cs="Arial" w:eastAsia="Arial" w:hAnsi="Arial"/>
          <w:sz w:val="18"/>
          <w:szCs w:val="18"/>
          <w:u w:val="single" w:color="auto"/>
          <w:color w:val="0000FF"/>
        </w:rPr>
        <w:t xml:space="preserve"> </w:t>
      </w:r>
      <w:hyperlink r:id="rId180">
        <w:r>
          <w:rPr>
            <w:rFonts w:ascii="Arial" w:cs="Arial" w:eastAsia="Arial" w:hAnsi="Arial"/>
            <w:sz w:val="18"/>
            <w:szCs w:val="18"/>
            <w:u w:val="single" w:color="auto"/>
            <w:color w:val="0000FF"/>
          </w:rPr>
          <w:t>Company’s Annual Report on Form 10-K for the year ended December 31, 2011.*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-182245</wp:posOffset>
            </wp:positionV>
            <wp:extent cx="64528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1">
                      <a:extLst>
                        <a:ext uri="{28A0092B-C50C-407E-A947-70E740481C1C}"/>
                      </a:extLst>
                    </a:blip>
                    <a:srcRect/>
                    <a:stretch>
                      <a:fillRect/>
                    </a:stretch>
                  </pic:blipFill>
                  <pic:spPr bwMode="auto">
                    <a:xfrm>
                      <a:off x="0" y="0"/>
                      <a:ext cx="6452870"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-45085</wp:posOffset>
            </wp:positionV>
            <wp:extent cx="380047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2">
                      <a:extLst>
                        <a:ext uri="{28A0092B-C50C-407E-A947-70E740481C1C}"/>
                      </a:extLst>
                    </a:blip>
                    <a:srcRect/>
                    <a:stretch>
                      <a:fillRect/>
                    </a:stretch>
                  </pic:blipFill>
                  <pic:spPr bwMode="auto">
                    <a:xfrm>
                      <a:off x="0" y="0"/>
                      <a:ext cx="3800475" cy="8255"/>
                    </a:xfrm>
                    <a:prstGeom prst="rect">
                      <a:avLst/>
                    </a:prstGeom>
                    <a:noFill/>
                  </pic:spPr>
                </pic:pic>
              </a:graphicData>
            </a:graphic>
          </wp:anchor>
        </w:drawing>
      </w:r>
    </w:p>
    <w:p>
      <w:pPr>
        <w:spacing w:after="0" w:line="69" w:lineRule="exact"/>
        <w:rPr>
          <w:sz w:val="20"/>
          <w:szCs w:val="20"/>
          <w:color w:val="auto"/>
        </w:rPr>
      </w:pPr>
    </w:p>
    <w:p>
      <w:pPr>
        <w:jc w:val="both"/>
        <w:ind w:left="1000" w:hanging="801"/>
        <w:spacing w:after="0" w:line="277" w:lineRule="auto"/>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10.22</w:t>
      </w:r>
      <w:r>
        <w:rPr>
          <w:sz w:val="20"/>
          <w:szCs w:val="20"/>
          <w:color w:val="auto"/>
        </w:rPr>
        <w:tab/>
      </w:r>
      <w:hyperlink r:id="rId183">
        <w:r>
          <w:rPr>
            <w:rFonts w:ascii="Arial" w:cs="Arial" w:eastAsia="Arial" w:hAnsi="Arial"/>
            <w:sz w:val="18"/>
            <w:szCs w:val="18"/>
            <w:u w:val="single" w:color="auto"/>
            <w:color w:val="0000FF"/>
          </w:rPr>
          <w:t>Nonqualified Stock Option Award General Terms and Conditions (Non-Employee Directors) is incorporated by reference to Exhibit 10.26 to</w:t>
        </w:r>
      </w:hyperlink>
      <w:r>
        <w:rPr>
          <w:rFonts w:ascii="Arial" w:cs="Arial" w:eastAsia="Arial" w:hAnsi="Arial"/>
          <w:sz w:val="18"/>
          <w:szCs w:val="18"/>
          <w:u w:val="single" w:color="auto"/>
          <w:color w:val="0000FF"/>
        </w:rPr>
        <w:t xml:space="preserve"> </w:t>
      </w:r>
      <w:hyperlink r:id="rId183">
        <w:r>
          <w:rPr>
            <w:rFonts w:ascii="Arial" w:cs="Arial" w:eastAsia="Arial" w:hAnsi="Arial"/>
            <w:sz w:val="18"/>
            <w:szCs w:val="18"/>
            <w:u w:val="single" w:color="auto"/>
            <w:color w:val="0000FF"/>
          </w:rPr>
          <w:t>the Company’s Annual Report on Form 10-K for the year ended December 31, 2011.*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-182245</wp:posOffset>
            </wp:positionV>
            <wp:extent cx="645033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4">
                      <a:extLst>
                        <a:ext uri="{28A0092B-C50C-407E-A947-70E740481C1C}"/>
                      </a:extLst>
                    </a:blip>
                    <a:srcRect/>
                    <a:stretch>
                      <a:fillRect/>
                    </a:stretch>
                  </pic:blipFill>
                  <pic:spPr bwMode="auto">
                    <a:xfrm>
                      <a:off x="0" y="0"/>
                      <a:ext cx="6450330"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-45085</wp:posOffset>
            </wp:positionV>
            <wp:extent cx="396811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5">
                      <a:extLst>
                        <a:ext uri="{28A0092B-C50C-407E-A947-70E740481C1C}"/>
                      </a:extLst>
                    </a:blip>
                    <a:srcRect/>
                    <a:stretch>
                      <a:fillRect/>
                    </a:stretch>
                  </pic:blipFill>
                  <pic:spPr bwMode="auto">
                    <a:xfrm>
                      <a:off x="0" y="0"/>
                      <a:ext cx="3968115" cy="8890"/>
                    </a:xfrm>
                    <a:prstGeom prst="rect">
                      <a:avLst/>
                    </a:prstGeom>
                    <a:noFill/>
                  </pic:spPr>
                </pic:pic>
              </a:graphicData>
            </a:graphic>
          </wp:anchor>
        </w:drawing>
      </w:r>
    </w:p>
    <w:p>
      <w:pPr>
        <w:spacing w:after="0" w:line="69" w:lineRule="exact"/>
        <w:rPr>
          <w:sz w:val="20"/>
          <w:szCs w:val="20"/>
          <w:color w:val="auto"/>
        </w:rPr>
      </w:pPr>
    </w:p>
    <w:p>
      <w:pPr>
        <w:jc w:val="both"/>
        <w:ind w:left="1000" w:hanging="801"/>
        <w:spacing w:after="0" w:line="277" w:lineRule="auto"/>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10.23</w:t>
      </w:r>
      <w:r>
        <w:rPr>
          <w:sz w:val="20"/>
          <w:szCs w:val="20"/>
          <w:color w:val="auto"/>
        </w:rPr>
        <w:tab/>
      </w:r>
      <w:hyperlink r:id="rId186">
        <w:r>
          <w:rPr>
            <w:rFonts w:ascii="Arial" w:cs="Arial" w:eastAsia="Arial" w:hAnsi="Arial"/>
            <w:sz w:val="18"/>
            <w:szCs w:val="18"/>
            <w:u w:val="single" w:color="auto"/>
            <w:color w:val="0000FF"/>
          </w:rPr>
          <w:t>OraSure Technologies, Inc. Deferred Compensation Plan is incorporated by reference to Exhibit 99.1 to the Company’s Current Report on</w:t>
        </w:r>
      </w:hyperlink>
      <w:r>
        <w:rPr>
          <w:rFonts w:ascii="Arial" w:cs="Arial" w:eastAsia="Arial" w:hAnsi="Arial"/>
          <w:sz w:val="18"/>
          <w:szCs w:val="18"/>
          <w:u w:val="single" w:color="auto"/>
          <w:color w:val="0000FF"/>
        </w:rPr>
        <w:t xml:space="preserve"> </w:t>
      </w:r>
      <w:hyperlink r:id="rId186">
        <w:r>
          <w:rPr>
            <w:rFonts w:ascii="Arial" w:cs="Arial" w:eastAsia="Arial" w:hAnsi="Arial"/>
            <w:sz w:val="18"/>
            <w:szCs w:val="18"/>
            <w:u w:val="single" w:color="auto"/>
            <w:color w:val="0000FF"/>
          </w:rPr>
          <w:t>Form 8-K filed December 21, 2011.*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-182245</wp:posOffset>
            </wp:positionV>
            <wp:extent cx="64528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7">
                      <a:extLst>
                        <a:ext uri="{28A0092B-C50C-407E-A947-70E740481C1C}"/>
                      </a:extLst>
                    </a:blip>
                    <a:srcRect/>
                    <a:stretch>
                      <a:fillRect/>
                    </a:stretch>
                  </pic:blipFill>
                  <pic:spPr bwMode="auto">
                    <a:xfrm>
                      <a:off x="0" y="0"/>
                      <a:ext cx="6452870"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-45085</wp:posOffset>
            </wp:positionV>
            <wp:extent cx="17284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8">
                      <a:extLst>
                        <a:ext uri="{28A0092B-C50C-407E-A947-70E740481C1C}"/>
                      </a:extLst>
                    </a:blip>
                    <a:srcRect/>
                    <a:stretch>
                      <a:fillRect/>
                    </a:stretch>
                  </pic:blipFill>
                  <pic:spPr bwMode="auto">
                    <a:xfrm>
                      <a:off x="0" y="0"/>
                      <a:ext cx="1728470" cy="8255"/>
                    </a:xfrm>
                    <a:prstGeom prst="rect">
                      <a:avLst/>
                    </a:prstGeom>
                    <a:noFill/>
                  </pic:spPr>
                </pic:pic>
              </a:graphicData>
            </a:graphic>
          </wp:anchor>
        </w:drawing>
      </w:r>
    </w:p>
    <w:p>
      <w:pPr>
        <w:spacing w:after="0" w:line="83" w:lineRule="exact"/>
        <w:rPr>
          <w:sz w:val="20"/>
          <w:szCs w:val="20"/>
          <w:color w:val="auto"/>
        </w:rPr>
      </w:pPr>
    </w:p>
    <w:p>
      <w:pPr>
        <w:jc w:val="both"/>
        <w:ind w:left="1000" w:hanging="801"/>
        <w:spacing w:after="0" w:line="277" w:lineRule="auto"/>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10.24</w:t>
      </w:r>
      <w:r>
        <w:rPr>
          <w:sz w:val="20"/>
          <w:szCs w:val="20"/>
          <w:color w:val="auto"/>
        </w:rPr>
        <w:tab/>
      </w:r>
      <w:hyperlink r:id="rId189">
        <w:r>
          <w:rPr>
            <w:rFonts w:ascii="Arial" w:cs="Arial" w:eastAsia="Arial" w:hAnsi="Arial"/>
            <w:sz w:val="18"/>
            <w:szCs w:val="18"/>
            <w:u w:val="single" w:color="auto"/>
            <w:color w:val="0000FF"/>
          </w:rPr>
          <w:t>Adoption Agreement related to OraSure Technologies, Inc. Deferred Compensation Plan is incorporated by reference to Exhibit 99.2 to the</w:t>
        </w:r>
      </w:hyperlink>
      <w:r>
        <w:rPr>
          <w:rFonts w:ascii="Arial" w:cs="Arial" w:eastAsia="Arial" w:hAnsi="Arial"/>
          <w:sz w:val="18"/>
          <w:szCs w:val="18"/>
          <w:u w:val="single" w:color="auto"/>
          <w:color w:val="0000FF"/>
        </w:rPr>
        <w:t xml:space="preserve"> </w:t>
      </w:r>
      <w:hyperlink r:id="rId189">
        <w:r>
          <w:rPr>
            <w:rFonts w:ascii="Arial" w:cs="Arial" w:eastAsia="Arial" w:hAnsi="Arial"/>
            <w:sz w:val="18"/>
            <w:szCs w:val="18"/>
            <w:u w:val="single" w:color="auto"/>
            <w:color w:val="0000FF"/>
          </w:rPr>
          <w:t>Company’s Current Report on Form 8-K filed December 21, 2011.*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-182245</wp:posOffset>
            </wp:positionV>
            <wp:extent cx="645414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0">
                      <a:extLst>
                        <a:ext uri="{28A0092B-C50C-407E-A947-70E740481C1C}"/>
                      </a:extLst>
                    </a:blip>
                    <a:srcRect/>
                    <a:stretch>
                      <a:fillRect/>
                    </a:stretch>
                  </pic:blipFill>
                  <pic:spPr bwMode="auto">
                    <a:xfrm>
                      <a:off x="0" y="0"/>
                      <a:ext cx="6454140"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-45085</wp:posOffset>
            </wp:positionV>
            <wp:extent cx="313690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1">
                      <a:extLst>
                        <a:ext uri="{28A0092B-C50C-407E-A947-70E740481C1C}"/>
                      </a:extLst>
                    </a:blip>
                    <a:srcRect/>
                    <a:stretch>
                      <a:fillRect/>
                    </a:stretch>
                  </pic:blipFill>
                  <pic:spPr bwMode="auto">
                    <a:xfrm>
                      <a:off x="0" y="0"/>
                      <a:ext cx="3136900" cy="8255"/>
                    </a:xfrm>
                    <a:prstGeom prst="rect">
                      <a:avLst/>
                    </a:prstGeom>
                    <a:noFill/>
                  </pic:spPr>
                </pic:pic>
              </a:graphicData>
            </a:graphic>
          </wp:anchor>
        </w:drawing>
      </w:r>
    </w:p>
    <w:p>
      <w:pPr>
        <w:spacing w:after="0" w:line="83" w:lineRule="exact"/>
        <w:rPr>
          <w:sz w:val="20"/>
          <w:szCs w:val="20"/>
          <w:color w:val="auto"/>
        </w:rPr>
      </w:pPr>
    </w:p>
    <w:p>
      <w:pPr>
        <w:jc w:val="both"/>
        <w:ind w:left="1000" w:hanging="801"/>
        <w:spacing w:after="0" w:line="277" w:lineRule="auto"/>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10.25</w:t>
      </w:r>
      <w:r>
        <w:rPr>
          <w:sz w:val="20"/>
          <w:szCs w:val="20"/>
          <w:color w:val="auto"/>
        </w:rPr>
        <w:tab/>
      </w:r>
      <w:hyperlink r:id="rId192">
        <w:r>
          <w:rPr>
            <w:rFonts w:ascii="Arial" w:cs="Arial" w:eastAsia="Arial" w:hAnsi="Arial"/>
            <w:sz w:val="18"/>
            <w:szCs w:val="18"/>
            <w:u w:val="single" w:color="auto"/>
            <w:color w:val="0000FF"/>
          </w:rPr>
          <w:t>Amended and Restated Code of Business Conduct and Ethics of OraSure Technologies, Inc. is incorporated by reference to Exhibit 14.1 to</w:t>
        </w:r>
      </w:hyperlink>
      <w:r>
        <w:rPr>
          <w:rFonts w:ascii="Arial" w:cs="Arial" w:eastAsia="Arial" w:hAnsi="Arial"/>
          <w:sz w:val="18"/>
          <w:szCs w:val="18"/>
          <w:u w:val="single" w:color="auto"/>
          <w:color w:val="0000FF"/>
        </w:rPr>
        <w:t xml:space="preserve"> </w:t>
      </w:r>
      <w:hyperlink r:id="rId192">
        <w:r>
          <w:rPr>
            <w:rFonts w:ascii="Arial" w:cs="Arial" w:eastAsia="Arial" w:hAnsi="Arial"/>
            <w:sz w:val="18"/>
            <w:szCs w:val="18"/>
            <w:u w:val="single" w:color="auto"/>
            <w:color w:val="0000FF"/>
          </w:rPr>
          <w:t>the Company’s Current Report on Form 8-K filed November 10,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-182245</wp:posOffset>
            </wp:positionV>
            <wp:extent cx="645033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3">
                      <a:extLst>
                        <a:ext uri="{28A0092B-C50C-407E-A947-70E740481C1C}"/>
                      </a:extLst>
                    </a:blip>
                    <a:srcRect/>
                    <a:stretch>
                      <a:fillRect/>
                    </a:stretch>
                  </pic:blipFill>
                  <pic:spPr bwMode="auto">
                    <a:xfrm>
                      <a:off x="0" y="0"/>
                      <a:ext cx="6450330" cy="8890"/>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-45085</wp:posOffset>
            </wp:positionV>
            <wp:extent cx="323659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4">
                      <a:extLst>
                        <a:ext uri="{28A0092B-C50C-407E-A947-70E740481C1C}"/>
                      </a:extLst>
                    </a:blip>
                    <a:srcRect/>
                    <a:stretch>
                      <a:fillRect/>
                    </a:stretch>
                  </pic:blipFill>
                  <pic:spPr bwMode="auto">
                    <a:xfrm>
                      <a:off x="0" y="0"/>
                      <a:ext cx="3236595" cy="8255"/>
                    </a:xfrm>
                    <a:prstGeom prst="rect">
                      <a:avLst/>
                    </a:prstGeom>
                    <a:noFill/>
                  </pic:spPr>
                </pic:pic>
              </a:graphicData>
            </a:graphic>
          </wp:anchor>
        </w:drawing>
      </w:r>
    </w:p>
    <w:p>
      <w:pPr>
        <w:spacing w:after="0" w:line="83" w:lineRule="exact"/>
        <w:rPr>
          <w:sz w:val="20"/>
          <w:szCs w:val="20"/>
          <w:color w:val="auto"/>
        </w:rPr>
      </w:pPr>
    </w:p>
    <w:p>
      <w:pPr>
        <w:jc w:val="both"/>
        <w:ind w:left="1000" w:hanging="801"/>
        <w:spacing w:after="0" w:line="263" w:lineRule="auto"/>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10.26</w:t>
      </w:r>
      <w:r>
        <w:rPr>
          <w:sz w:val="20"/>
          <w:szCs w:val="20"/>
          <w:color w:val="auto"/>
        </w:rPr>
        <w:tab/>
      </w:r>
      <w:hyperlink r:id="rId195">
        <w:r>
          <w:rPr>
            <w:rFonts w:ascii="Arial" w:cs="Arial" w:eastAsia="Arial" w:hAnsi="Arial"/>
            <w:sz w:val="18"/>
            <w:szCs w:val="18"/>
            <w:u w:val="single" w:color="auto"/>
            <w:color w:val="0000FF"/>
          </w:rPr>
          <w:t>$109 Million Capital Funding Agreement with the U.S. Department of Defense, in coordination with the Department of Health and Human</w:t>
        </w:r>
      </w:hyperlink>
      <w:r>
        <w:rPr>
          <w:rFonts w:ascii="Arial" w:cs="Arial" w:eastAsia="Arial" w:hAnsi="Arial"/>
          <w:sz w:val="18"/>
          <w:szCs w:val="18"/>
          <w:u w:val="single" w:color="auto"/>
          <w:color w:val="0000FF"/>
        </w:rPr>
        <w:t xml:space="preserve"> </w:t>
      </w:r>
      <w:hyperlink r:id="rId195">
        <w:r>
          <w:rPr>
            <w:rFonts w:ascii="Arial" w:cs="Arial" w:eastAsia="Arial" w:hAnsi="Arial"/>
            <w:sz w:val="18"/>
            <w:szCs w:val="18"/>
            <w:u w:val="single" w:color="auto"/>
            <w:color w:val="0000FF"/>
          </w:rPr>
          <w:t>Services is incorporated by reference to Exhibit 10.2 to the Company's Quarterly Report on From 10-Q for the period ended September 30,</w:t>
        </w:r>
      </w:hyperlink>
      <w:r>
        <w:rPr>
          <w:rFonts w:ascii="Arial" w:cs="Arial" w:eastAsia="Arial" w:hAnsi="Arial"/>
          <w:sz w:val="18"/>
          <w:szCs w:val="18"/>
          <w:u w:val="single" w:color="auto"/>
          <w:color w:val="0000FF"/>
        </w:rPr>
        <w:t xml:space="preserve"> </w:t>
      </w:r>
      <w:hyperlink r:id="rId195">
        <w:r>
          <w:rPr>
            <w:rFonts w:ascii="Arial" w:cs="Arial" w:eastAsia="Arial" w:hAnsi="Arial"/>
            <w:sz w:val="18"/>
            <w:szCs w:val="18"/>
            <w:u w:val="single" w:color="auto"/>
            <w:color w:val="0000FF"/>
          </w:rPr>
          <w:t>2021, filed November 4, 2021.</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635000</wp:posOffset>
            </wp:positionH>
            <wp:positionV relativeFrom="paragraph">
              <wp:posOffset>-311150</wp:posOffset>
            </wp:positionV>
            <wp:extent cx="645096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6">
                      <a:extLst>
                        <a:ext uri="{28A0092B-C50C-407E-A947-70E740481C1C}"/>
                      </a:extLst>
                    </a:blip>
                    <a:srcRect/>
                    <a:stretch>
                      <a:fillRect/>
                    </a:stretch>
                  </pic:blipFill>
                  <pic:spPr bwMode="auto">
                    <a:xfrm>
                      <a:off x="0" y="0"/>
                      <a:ext cx="6450965" cy="8890"/>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-173990</wp:posOffset>
            </wp:positionV>
            <wp:extent cx="645096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7">
                      <a:extLst>
                        <a:ext uri="{28A0092B-C50C-407E-A947-70E740481C1C}"/>
                      </a:extLst>
                    </a:blip>
                    <a:srcRect/>
                    <a:stretch>
                      <a:fillRect/>
                    </a:stretch>
                  </pic:blipFill>
                  <pic:spPr bwMode="auto">
                    <a:xfrm>
                      <a:off x="0" y="0"/>
                      <a:ext cx="6450965"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-36830</wp:posOffset>
            </wp:positionV>
            <wp:extent cx="14058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8">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96" w:lineRule="exact"/>
        <w:rPr>
          <w:rFonts w:ascii="Arial" w:cs="Arial" w:eastAsia="Arial" w:hAnsi="Arial"/>
          <w:sz w:val="18"/>
          <w:szCs w:val="18"/>
          <w:u w:val="single" w:color="auto"/>
          <w:color w:val="0000FF"/>
        </w:rPr>
      </w:pPr>
    </w:p>
    <w:p>
      <w:pPr>
        <w:jc w:val="right"/>
        <w:ind w:right="160"/>
        <w:spacing w:after="0"/>
        <w:tabs>
          <w:tab w:leader="none" w:pos="10140" w:val="left"/>
        </w:tabs>
        <w:rPr>
          <w:rFonts w:ascii="Arial" w:cs="Arial" w:eastAsia="Arial" w:hAnsi="Arial"/>
          <w:sz w:val="16"/>
          <w:szCs w:val="16"/>
          <w:u w:val="single" w:color="auto"/>
          <w:color w:val="0000FF"/>
        </w:rPr>
      </w:pPr>
      <w:r>
        <w:rPr>
          <w:rFonts w:ascii="Arial" w:cs="Arial" w:eastAsia="Arial" w:hAnsi="Arial"/>
          <w:sz w:val="18"/>
          <w:szCs w:val="18"/>
          <w:color w:val="auto"/>
        </w:rPr>
        <w:t>10.27</w:t>
      </w:r>
      <w:r>
        <w:rPr>
          <w:sz w:val="20"/>
          <w:szCs w:val="20"/>
          <w:color w:val="auto"/>
        </w:rPr>
        <w:tab/>
      </w:r>
      <w:hyperlink r:id="rId199">
        <w:r>
          <w:rPr>
            <w:rFonts w:ascii="Arial" w:cs="Arial" w:eastAsia="Arial" w:hAnsi="Arial"/>
            <w:sz w:val="16"/>
            <w:szCs w:val="16"/>
            <w:u w:val="single" w:color="auto"/>
            <w:color w:val="0000FF"/>
          </w:rPr>
          <w:t>Industrial Lease between Core5 at Laughman Farms Phase 1, LLC as Landlord and OraSure Technologies, Inc. as Tenant, dated January 3,</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635000</wp:posOffset>
            </wp:positionH>
            <wp:positionV relativeFrom="paragraph">
              <wp:posOffset>-10160</wp:posOffset>
            </wp:positionV>
            <wp:extent cx="63804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0">
                      <a:extLst>
                        <a:ext uri="{28A0092B-C50C-407E-A947-70E740481C1C}"/>
                      </a:extLst>
                    </a:blip>
                    <a:srcRect/>
                    <a:stretch>
                      <a:fillRect/>
                    </a:stretch>
                  </pic:blipFill>
                  <pic:spPr bwMode="auto">
                    <a:xfrm>
                      <a:off x="0" y="0"/>
                      <a:ext cx="6380480" cy="8255"/>
                    </a:xfrm>
                    <a:prstGeom prst="rect">
                      <a:avLst/>
                    </a:prstGeom>
                    <a:noFill/>
                  </pic:spPr>
                </pic:pic>
              </a:graphicData>
            </a:graphic>
          </wp:anchor>
        </w:drawing>
      </w:r>
    </w:p>
    <w:p>
      <w:pPr>
        <w:spacing w:after="0" w:line="3" w:lineRule="exact"/>
        <w:rPr>
          <w:rFonts w:ascii="Arial" w:cs="Arial" w:eastAsia="Arial" w:hAnsi="Arial"/>
          <w:sz w:val="18"/>
          <w:szCs w:val="18"/>
          <w:u w:val="single" w:color="auto"/>
          <w:color w:val="0000FF"/>
        </w:rPr>
      </w:pPr>
    </w:p>
    <w:p>
      <w:pPr>
        <w:jc w:val="right"/>
        <w:ind w:right="200"/>
        <w:spacing w:after="0"/>
        <w:rPr>
          <w:rFonts w:ascii="Arial" w:cs="Arial" w:eastAsia="Arial" w:hAnsi="Arial"/>
          <w:sz w:val="17"/>
          <w:szCs w:val="17"/>
          <w:u w:val="single" w:color="auto"/>
          <w:color w:val="0000FF"/>
        </w:rPr>
      </w:pPr>
      <w:hyperlink r:id="rId199">
        <w:r>
          <w:rPr>
            <w:rFonts w:ascii="Arial" w:cs="Arial" w:eastAsia="Arial" w:hAnsi="Arial"/>
            <w:sz w:val="17"/>
            <w:szCs w:val="17"/>
            <w:u w:val="single" w:color="auto"/>
            <w:color w:val="0000FF"/>
          </w:rPr>
          <w:t>2022 is incorporated by reference to Exhibit 10.30 to the Company's Annual Report on Form 10-K for the year ended December 31, 2021.</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635000</wp:posOffset>
            </wp:positionH>
            <wp:positionV relativeFrom="paragraph">
              <wp:posOffset>-12065</wp:posOffset>
            </wp:positionV>
            <wp:extent cx="632523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1">
                      <a:extLst>
                        <a:ext uri="{28A0092B-C50C-407E-A947-70E740481C1C}"/>
                      </a:extLst>
                    </a:blip>
                    <a:srcRect/>
                    <a:stretch>
                      <a:fillRect/>
                    </a:stretch>
                  </pic:blipFill>
                  <pic:spPr bwMode="auto">
                    <a:xfrm>
                      <a:off x="0" y="0"/>
                      <a:ext cx="6325235" cy="8890"/>
                    </a:xfrm>
                    <a:prstGeom prst="rect">
                      <a:avLst/>
                    </a:prstGeom>
                    <a:noFill/>
                  </pic:spPr>
                </pic:pic>
              </a:graphicData>
            </a:graphic>
          </wp:anchor>
        </w:drawing>
      </w:r>
    </w:p>
    <w:p>
      <w:pPr>
        <w:spacing w:after="0" w:line="135" w:lineRule="exact"/>
        <w:rPr>
          <w:rFonts w:ascii="Arial" w:cs="Arial" w:eastAsia="Arial" w:hAnsi="Arial"/>
          <w:sz w:val="18"/>
          <w:szCs w:val="18"/>
          <w:u w:val="single" w:color="auto"/>
          <w:color w:val="0000FF"/>
        </w:rPr>
      </w:pPr>
    </w:p>
    <w:p>
      <w:pPr>
        <w:ind w:left="1000" w:hanging="802"/>
        <w:spacing w:after="0" w:line="277" w:lineRule="auto"/>
        <w:tabs>
          <w:tab w:leader="none" w:pos="1000" w:val="left"/>
        </w:tabs>
        <w:numPr>
          <w:ilvl w:val="0"/>
          <w:numId w:val="38"/>
        </w:numPr>
        <w:rPr>
          <w:rFonts w:ascii="Arial" w:cs="Arial" w:eastAsia="Arial" w:hAnsi="Arial"/>
          <w:sz w:val="18"/>
          <w:szCs w:val="18"/>
          <w:u w:val="single" w:color="auto"/>
          <w:color w:val="0000FF"/>
        </w:rPr>
      </w:pPr>
      <w:hyperlink r:id="rId202">
        <w:r>
          <w:rPr>
            <w:rFonts w:ascii="Arial" w:cs="Arial" w:eastAsia="Arial" w:hAnsi="Arial"/>
            <w:sz w:val="18"/>
            <w:szCs w:val="18"/>
            <w:u w:val="single" w:color="auto"/>
            <w:color w:val="0000FF"/>
          </w:rPr>
          <w:t>Subsidiaries of the Company are incorporated by reference to Exhibit 21 to the Company’s Annual Report on Form 10-K for the year ended</w:t>
        </w:r>
      </w:hyperlink>
      <w:r>
        <w:rPr>
          <w:rFonts w:ascii="Arial" w:cs="Arial" w:eastAsia="Arial" w:hAnsi="Arial"/>
          <w:sz w:val="18"/>
          <w:szCs w:val="18"/>
          <w:u w:val="single" w:color="auto"/>
          <w:color w:val="0000FF"/>
        </w:rPr>
        <w:t xml:space="preserve"> </w:t>
      </w:r>
      <w:hyperlink r:id="rId202">
        <w:r>
          <w:rPr>
            <w:rFonts w:ascii="Arial" w:cs="Arial" w:eastAsia="Arial" w:hAnsi="Arial"/>
            <w:sz w:val="18"/>
            <w:szCs w:val="18"/>
            <w:u w:val="single" w:color="auto"/>
            <w:color w:val="0000FF"/>
          </w:rPr>
          <w:t>December 31, 2013.</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635000</wp:posOffset>
            </wp:positionH>
            <wp:positionV relativeFrom="paragraph">
              <wp:posOffset>-182245</wp:posOffset>
            </wp:positionV>
            <wp:extent cx="64477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3">
                      <a:extLst>
                        <a:ext uri="{28A0092B-C50C-407E-A947-70E740481C1C}"/>
                      </a:extLst>
                    </a:blip>
                    <a:srcRect/>
                    <a:stretch>
                      <a:fillRect/>
                    </a:stretch>
                  </pic:blipFill>
                  <pic:spPr bwMode="auto">
                    <a:xfrm>
                      <a:off x="0" y="0"/>
                      <a:ext cx="6447790"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-45085</wp:posOffset>
            </wp:positionV>
            <wp:extent cx="95504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4">
                      <a:extLst>
                        <a:ext uri="{28A0092B-C50C-407E-A947-70E740481C1C}"/>
                      </a:extLst>
                    </a:blip>
                    <a:srcRect/>
                    <a:stretch>
                      <a:fillRect/>
                    </a:stretch>
                  </pic:blipFill>
                  <pic:spPr bwMode="auto">
                    <a:xfrm>
                      <a:off x="0" y="0"/>
                      <a:ext cx="955040" cy="8890"/>
                    </a:xfrm>
                    <a:prstGeom prst="rect">
                      <a:avLst/>
                    </a:prstGeom>
                    <a:noFill/>
                  </pic:spPr>
                </pic:pic>
              </a:graphicData>
            </a:graphic>
          </wp:anchor>
        </w:drawing>
      </w:r>
    </w:p>
    <w:tbl>
      <w:tblPr>
        <w:tblLayout w:type="fixed"/>
        <w:tblInd w:w="200" w:type="dxa"/>
        <w:tblCellMar>
          <w:top w:w="0" w:type="dxa"/>
          <w:left w:w="0" w:type="dxa"/>
          <w:bottom w:w="0" w:type="dxa"/>
          <w:right w:w="0" w:type="dxa"/>
        </w:tblCellMar>
      </w:tblPr>
      <w:tr>
        <w:trPr>
          <w:trHeight w:val="276"/>
        </w:trPr>
        <w:tc>
          <w:tcPr>
            <w:tcW w:w="800" w:type="dxa"/>
            <w:vAlign w:val="bottom"/>
          </w:tcPr>
          <w:p>
            <w:pPr>
              <w:spacing w:after="0"/>
              <w:rPr>
                <w:sz w:val="20"/>
                <w:szCs w:val="20"/>
                <w:color w:val="auto"/>
              </w:rPr>
            </w:pPr>
            <w:r>
              <w:rPr>
                <w:rFonts w:ascii="Arial" w:cs="Arial" w:eastAsia="Arial" w:hAnsi="Arial"/>
                <w:sz w:val="18"/>
                <w:szCs w:val="18"/>
                <w:color w:val="auto"/>
              </w:rPr>
              <w:t>23</w:t>
            </w:r>
            <w:r>
              <w:rPr>
                <w:rFonts w:ascii="Arial" w:cs="Arial" w:eastAsia="Arial" w:hAnsi="Arial"/>
                <w:sz w:val="24"/>
                <w:szCs w:val="24"/>
                <w:color w:val="auto"/>
                <w:vertAlign w:val="superscript"/>
              </w:rPr>
              <w:t>+</w:t>
            </w:r>
          </w:p>
        </w:tc>
        <w:tc>
          <w:tcPr>
            <w:tcW w:w="10160" w:type="dxa"/>
            <w:vAlign w:val="bottom"/>
            <w:gridSpan w:val="7"/>
          </w:tcPr>
          <w:p>
            <w:pPr>
              <w:spacing w:after="0"/>
              <w:rPr>
                <w:sz w:val="20"/>
                <w:szCs w:val="20"/>
                <w:color w:val="auto"/>
              </w:rPr>
            </w:pPr>
            <w:r>
              <w:rPr>
                <w:rFonts w:ascii="Arial" w:cs="Arial" w:eastAsia="Arial" w:hAnsi="Arial"/>
                <w:sz w:val="18"/>
                <w:szCs w:val="18"/>
                <w:color w:val="0000FF"/>
              </w:rPr>
              <w:t>Consent of KPMG LLP.</w:t>
            </w: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rPr>
                <w:sz w:val="20"/>
                <w:szCs w:val="20"/>
                <w:color w:val="auto"/>
              </w:rPr>
            </w:pPr>
            <w:r>
              <w:rPr>
                <w:rFonts w:ascii="Arial" w:cs="Arial" w:eastAsia="Arial" w:hAnsi="Arial"/>
                <w:sz w:val="18"/>
                <w:szCs w:val="18"/>
                <w:color w:val="auto"/>
              </w:rPr>
              <w:t>24</w:t>
            </w:r>
            <w:r>
              <w:rPr>
                <w:rFonts w:ascii="Arial" w:cs="Arial" w:eastAsia="Arial" w:hAnsi="Arial"/>
                <w:sz w:val="24"/>
                <w:szCs w:val="24"/>
                <w:color w:val="auto"/>
                <w:vertAlign w:val="superscript"/>
              </w:rPr>
              <w:t>+</w:t>
            </w:r>
          </w:p>
        </w:tc>
        <w:tc>
          <w:tcPr>
            <w:tcW w:w="7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00" w:type="dxa"/>
            <w:vAlign w:val="bottom"/>
            <w:vMerge w:val="continue"/>
          </w:tcPr>
          <w:p>
            <w:pPr>
              <w:spacing w:after="0"/>
              <w:rPr>
                <w:sz w:val="24"/>
                <w:szCs w:val="24"/>
                <w:color w:val="auto"/>
              </w:rPr>
            </w:pPr>
          </w:p>
        </w:tc>
        <w:tc>
          <w:tcPr>
            <w:tcW w:w="10160" w:type="dxa"/>
            <w:vAlign w:val="bottom"/>
            <w:gridSpan w:val="7"/>
          </w:tcPr>
          <w:p>
            <w:pPr>
              <w:spacing w:after="0"/>
              <w:rPr>
                <w:sz w:val="20"/>
                <w:szCs w:val="20"/>
                <w:color w:val="auto"/>
              </w:rPr>
            </w:pPr>
            <w:r>
              <w:rPr>
                <w:rFonts w:ascii="Arial" w:cs="Arial" w:eastAsia="Arial" w:hAnsi="Arial"/>
                <w:sz w:val="18"/>
                <w:szCs w:val="18"/>
                <w:color w:val="0000FF"/>
              </w:rPr>
              <w:t>Powers of Attorney.</w:t>
            </w: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rPr>
                <w:sz w:val="20"/>
                <w:szCs w:val="20"/>
                <w:color w:val="auto"/>
              </w:rPr>
            </w:pPr>
            <w:r>
              <w:rPr>
                <w:rFonts w:ascii="Arial" w:cs="Arial" w:eastAsia="Arial" w:hAnsi="Arial"/>
                <w:sz w:val="18"/>
                <w:szCs w:val="18"/>
                <w:color w:val="auto"/>
              </w:rPr>
              <w:t>31.1</w:t>
            </w:r>
            <w:r>
              <w:rPr>
                <w:rFonts w:ascii="Arial" w:cs="Arial" w:eastAsia="Arial" w:hAnsi="Arial"/>
                <w:sz w:val="24"/>
                <w:szCs w:val="24"/>
                <w:color w:val="auto"/>
                <w:vertAlign w:val="superscript"/>
              </w:rPr>
              <w:t>+</w:t>
            </w:r>
          </w:p>
        </w:tc>
        <w:tc>
          <w:tcPr>
            <w:tcW w:w="7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00" w:type="dxa"/>
            <w:vAlign w:val="bottom"/>
            <w:vMerge w:val="continue"/>
          </w:tcPr>
          <w:p>
            <w:pPr>
              <w:spacing w:after="0"/>
              <w:rPr>
                <w:sz w:val="24"/>
                <w:szCs w:val="24"/>
                <w:color w:val="auto"/>
              </w:rPr>
            </w:pPr>
          </w:p>
        </w:tc>
        <w:tc>
          <w:tcPr>
            <w:tcW w:w="10160" w:type="dxa"/>
            <w:vAlign w:val="bottom"/>
            <w:gridSpan w:val="7"/>
          </w:tcPr>
          <w:p>
            <w:pPr>
              <w:spacing w:after="0"/>
              <w:rPr>
                <w:sz w:val="20"/>
                <w:szCs w:val="20"/>
                <w:color w:val="auto"/>
              </w:rPr>
            </w:pPr>
            <w:r>
              <w:rPr>
                <w:rFonts w:ascii="Arial" w:cs="Arial" w:eastAsia="Arial" w:hAnsi="Arial"/>
                <w:sz w:val="18"/>
                <w:szCs w:val="18"/>
                <w:color w:val="0000FF"/>
                <w:w w:val="96"/>
              </w:rPr>
              <w:t>Certification of Carrie Eglinton Manner. required by Rule 13a-14(a) or Rule 15d-14(a) under the Securities Exchange Act of 1934, as</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FF"/>
            </w:tcBorders>
            <w:gridSpan w:val="2"/>
            <w:shd w:val="clear" w:color="auto" w:fill="0000FF"/>
          </w:tcPr>
          <w:p>
            <w:pPr>
              <w:spacing w:after="0" w:line="20" w:lineRule="exact"/>
              <w:rPr>
                <w:sz w:val="1"/>
                <w:szCs w:val="1"/>
                <w:color w:val="auto"/>
              </w:rPr>
            </w:pPr>
          </w:p>
        </w:tc>
        <w:tc>
          <w:tcPr>
            <w:tcW w:w="55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0160" w:type="dxa"/>
            <w:vAlign w:val="bottom"/>
            <w:gridSpan w:val="7"/>
          </w:tcPr>
          <w:p>
            <w:pPr>
              <w:spacing w:after="0" w:line="196" w:lineRule="exact"/>
              <w:rPr>
                <w:sz w:val="20"/>
                <w:szCs w:val="20"/>
                <w:color w:val="auto"/>
              </w:rPr>
            </w:pPr>
            <w:r>
              <w:rPr>
                <w:rFonts w:ascii="Arial" w:cs="Arial" w:eastAsia="Arial" w:hAnsi="Arial"/>
                <w:sz w:val="18"/>
                <w:szCs w:val="18"/>
                <w:color w:val="0000FF"/>
              </w:rPr>
              <w:t>amended.</w:t>
            </w: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rPr>
                <w:sz w:val="20"/>
                <w:szCs w:val="20"/>
                <w:color w:val="auto"/>
              </w:rPr>
            </w:pPr>
            <w:r>
              <w:rPr>
                <w:rFonts w:ascii="Arial" w:cs="Arial" w:eastAsia="Arial" w:hAnsi="Arial"/>
                <w:sz w:val="18"/>
                <w:szCs w:val="18"/>
                <w:color w:val="auto"/>
              </w:rPr>
              <w:t>31.2</w:t>
            </w:r>
            <w:r>
              <w:rPr>
                <w:rFonts w:ascii="Arial" w:cs="Arial" w:eastAsia="Arial" w:hAnsi="Arial"/>
                <w:sz w:val="24"/>
                <w:szCs w:val="24"/>
                <w:color w:val="auto"/>
                <w:vertAlign w:val="superscript"/>
              </w:rPr>
              <w:t>+</w:t>
            </w:r>
          </w:p>
        </w:tc>
        <w:tc>
          <w:tcPr>
            <w:tcW w:w="74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00" w:type="dxa"/>
            <w:vAlign w:val="bottom"/>
            <w:vMerge w:val="continue"/>
          </w:tcPr>
          <w:p>
            <w:pPr>
              <w:spacing w:after="0"/>
              <w:rPr>
                <w:sz w:val="24"/>
                <w:szCs w:val="24"/>
                <w:color w:val="auto"/>
              </w:rPr>
            </w:pPr>
          </w:p>
        </w:tc>
        <w:tc>
          <w:tcPr>
            <w:tcW w:w="10160" w:type="dxa"/>
            <w:vAlign w:val="bottom"/>
            <w:gridSpan w:val="7"/>
          </w:tcPr>
          <w:p>
            <w:pPr>
              <w:spacing w:after="0"/>
              <w:rPr>
                <w:sz w:val="20"/>
                <w:szCs w:val="20"/>
                <w:color w:val="auto"/>
              </w:rPr>
            </w:pPr>
            <w:r>
              <w:rPr>
                <w:rFonts w:ascii="Arial" w:cs="Arial" w:eastAsia="Arial" w:hAnsi="Arial"/>
                <w:sz w:val="18"/>
                <w:szCs w:val="18"/>
                <w:color w:val="0000FF"/>
                <w:w w:val="91"/>
              </w:rPr>
              <w:t>Certification of Kenneth J. McGrath required by Rule 13a-14(a) or Rule 15d-14(a) under the Securities Exchange Act of 1934, as amended.</w:t>
            </w: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rPr>
                <w:sz w:val="20"/>
                <w:szCs w:val="20"/>
                <w:color w:val="auto"/>
              </w:rPr>
            </w:pPr>
            <w:r>
              <w:rPr>
                <w:rFonts w:ascii="Arial" w:cs="Arial" w:eastAsia="Arial" w:hAnsi="Arial"/>
                <w:sz w:val="18"/>
                <w:szCs w:val="18"/>
                <w:color w:val="auto"/>
              </w:rPr>
              <w:t>32.1</w:t>
            </w:r>
            <w:r>
              <w:rPr>
                <w:rFonts w:ascii="Arial" w:cs="Arial" w:eastAsia="Arial" w:hAnsi="Arial"/>
                <w:sz w:val="24"/>
                <w:szCs w:val="24"/>
                <w:color w:val="auto"/>
                <w:vertAlign w:val="superscript"/>
              </w:rPr>
              <w:t>+</w:t>
            </w:r>
          </w:p>
        </w:tc>
        <w:tc>
          <w:tcPr>
            <w:tcW w:w="1780" w:type="dxa"/>
            <w:vAlign w:val="bottom"/>
            <w:tcBorders>
              <w:left w:val="single" w:sz="8" w:color="0000FF"/>
              <w:right w:val="single" w:sz="8" w:color="0000EE"/>
            </w:tcBorders>
            <w:gridSpan w:val="3"/>
            <w:shd w:val="clear" w:color="auto" w:fill="0000EE"/>
          </w:tcPr>
          <w:p>
            <w:pPr>
              <w:spacing w:after="0" w:line="20" w:lineRule="exact"/>
              <w:rPr>
                <w:sz w:val="1"/>
                <w:szCs w:val="1"/>
                <w:color w:val="auto"/>
              </w:rPr>
            </w:pPr>
          </w:p>
        </w:tc>
        <w:tc>
          <w:tcPr>
            <w:tcW w:w="55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00" w:type="dxa"/>
            <w:vAlign w:val="bottom"/>
            <w:vMerge w:val="continue"/>
          </w:tcPr>
          <w:p>
            <w:pPr>
              <w:spacing w:after="0"/>
              <w:rPr>
                <w:sz w:val="24"/>
                <w:szCs w:val="24"/>
                <w:color w:val="auto"/>
              </w:rPr>
            </w:pPr>
          </w:p>
        </w:tc>
        <w:tc>
          <w:tcPr>
            <w:tcW w:w="10160" w:type="dxa"/>
            <w:vAlign w:val="bottom"/>
            <w:gridSpan w:val="7"/>
          </w:tcPr>
          <w:p>
            <w:pPr>
              <w:spacing w:after="0"/>
              <w:rPr>
                <w:sz w:val="20"/>
                <w:szCs w:val="20"/>
                <w:color w:val="auto"/>
              </w:rPr>
            </w:pPr>
            <w:r>
              <w:rPr>
                <w:rFonts w:ascii="Arial" w:cs="Arial" w:eastAsia="Arial" w:hAnsi="Arial"/>
                <w:sz w:val="18"/>
                <w:szCs w:val="18"/>
                <w:color w:val="0000FF"/>
                <w:w w:val="96"/>
              </w:rPr>
              <w:t>Certification of Carrie Eglinton Manner. required by Rule 13a-14(b) or Rule 15a-14(b) under the Securities Exchange Act of 1934, as</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7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55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0160" w:type="dxa"/>
            <w:vAlign w:val="bottom"/>
            <w:gridSpan w:val="7"/>
          </w:tcPr>
          <w:p>
            <w:pPr>
              <w:spacing w:after="0" w:line="196" w:lineRule="exact"/>
              <w:rPr>
                <w:sz w:val="20"/>
                <w:szCs w:val="20"/>
                <w:color w:val="auto"/>
              </w:rPr>
            </w:pPr>
            <w:r>
              <w:rPr>
                <w:rFonts w:ascii="Arial" w:cs="Arial" w:eastAsia="Arial" w:hAnsi="Arial"/>
                <w:sz w:val="18"/>
                <w:szCs w:val="18"/>
                <w:color w:val="0000FF"/>
              </w:rPr>
              <w:t>amended, and 18 U.S.C. Section 1350, as Adopted Pursuant to Section 906 of the Sarbanes-Oxley Act of 2002.</w:t>
            </w: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rPr>
                <w:sz w:val="20"/>
                <w:szCs w:val="20"/>
                <w:color w:val="auto"/>
              </w:rPr>
            </w:pPr>
            <w:r>
              <w:rPr>
                <w:rFonts w:ascii="Arial" w:cs="Arial" w:eastAsia="Arial" w:hAnsi="Arial"/>
                <w:sz w:val="18"/>
                <w:szCs w:val="18"/>
                <w:color w:val="auto"/>
              </w:rPr>
              <w:t>32.2</w:t>
            </w:r>
            <w:r>
              <w:rPr>
                <w:rFonts w:ascii="Arial" w:cs="Arial" w:eastAsia="Arial" w:hAnsi="Arial"/>
                <w:sz w:val="24"/>
                <w:szCs w:val="24"/>
                <w:color w:val="auto"/>
                <w:vertAlign w:val="superscript"/>
              </w:rPr>
              <w:t>+</w:t>
            </w:r>
          </w:p>
        </w:tc>
        <w:tc>
          <w:tcPr>
            <w:tcW w:w="1780" w:type="dxa"/>
            <w:vAlign w:val="bottom"/>
            <w:tcBorders>
              <w:left w:val="single" w:sz="8" w:color="0000FF"/>
              <w:right w:val="single" w:sz="8" w:color="0000EE"/>
            </w:tcBorders>
            <w:gridSpan w:val="3"/>
            <w:shd w:val="clear" w:color="auto" w:fill="0000EE"/>
          </w:tcPr>
          <w:p>
            <w:pPr>
              <w:spacing w:after="0" w:line="20" w:lineRule="exact"/>
              <w:rPr>
                <w:sz w:val="1"/>
                <w:szCs w:val="1"/>
                <w:color w:val="auto"/>
              </w:rPr>
            </w:pPr>
          </w:p>
        </w:tc>
        <w:tc>
          <w:tcPr>
            <w:tcW w:w="55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00" w:type="dxa"/>
            <w:vAlign w:val="bottom"/>
            <w:vMerge w:val="continue"/>
          </w:tcPr>
          <w:p>
            <w:pPr>
              <w:spacing w:after="0"/>
              <w:rPr>
                <w:sz w:val="24"/>
                <w:szCs w:val="24"/>
                <w:color w:val="auto"/>
              </w:rPr>
            </w:pPr>
          </w:p>
        </w:tc>
        <w:tc>
          <w:tcPr>
            <w:tcW w:w="10160" w:type="dxa"/>
            <w:vAlign w:val="bottom"/>
            <w:gridSpan w:val="7"/>
          </w:tcPr>
          <w:p>
            <w:pPr>
              <w:spacing w:after="0"/>
              <w:rPr>
                <w:sz w:val="20"/>
                <w:szCs w:val="20"/>
                <w:color w:val="auto"/>
              </w:rPr>
            </w:pPr>
            <w:r>
              <w:rPr>
                <w:rFonts w:ascii="Arial" w:cs="Arial" w:eastAsia="Arial" w:hAnsi="Arial"/>
                <w:sz w:val="18"/>
                <w:szCs w:val="18"/>
                <w:color w:val="0000FF"/>
                <w:w w:val="91"/>
              </w:rPr>
              <w:t>Certification of Kenneth J. McGrath required by Rule 13a-14(b) or Rule 15a-14(b) under the Securities Exchange Act of 1934, as amended,</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7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5540" w:type="dxa"/>
            <w:vAlign w:val="bottom"/>
            <w:shd w:val="clear" w:color="auto" w:fill="0000FF"/>
          </w:tcPr>
          <w:p>
            <w:pPr>
              <w:spacing w:after="0" w:line="20" w:lineRule="exact"/>
              <w:rPr>
                <w:sz w:val="1"/>
                <w:szCs w:val="1"/>
                <w:color w:val="auto"/>
              </w:rPr>
            </w:pPr>
          </w:p>
        </w:tc>
        <w:tc>
          <w:tcPr>
            <w:tcW w:w="2840" w:type="dxa"/>
            <w:vAlign w:val="bottom"/>
            <w:gridSpan w:val="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0160" w:type="dxa"/>
            <w:vAlign w:val="bottom"/>
            <w:gridSpan w:val="7"/>
          </w:tcPr>
          <w:p>
            <w:pPr>
              <w:spacing w:after="0" w:line="196" w:lineRule="exact"/>
              <w:rPr>
                <w:sz w:val="20"/>
                <w:szCs w:val="20"/>
                <w:color w:val="auto"/>
              </w:rPr>
            </w:pPr>
            <w:r>
              <w:rPr>
                <w:rFonts w:ascii="Arial" w:cs="Arial" w:eastAsia="Arial" w:hAnsi="Arial"/>
                <w:sz w:val="18"/>
                <w:szCs w:val="18"/>
                <w:color w:val="0000FF"/>
              </w:rPr>
              <w:t>and 18 U.S.C. Section 1350, as Adopted Pursuant to Section 906 of the Sarbanes-Oxley Act of 2002.</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40" w:type="dxa"/>
            <w:vAlign w:val="bottom"/>
            <w:tcBorders>
              <w:left w:val="single" w:sz="8" w:color="0000FF"/>
              <w:right w:val="single" w:sz="8" w:color="0000EE"/>
            </w:tcBorders>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554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101.INS  Inline XBRL Instance Document</w:t>
      </w:r>
    </w:p>
    <w:p>
      <w:pPr>
        <w:spacing w:after="0" w:line="117"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101.SCH Inline XBRL Taxonomy Extension Schema Document</w:t>
      </w:r>
    </w:p>
    <w:p>
      <w:pPr>
        <w:spacing w:after="0" w:line="117"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101.CAL Inline XBRL Taxonomy Extension Calculation Linkbase Document</w:t>
      </w:r>
    </w:p>
    <w:p>
      <w:pPr>
        <w:spacing w:after="0" w:line="225" w:lineRule="exact"/>
        <w:rPr>
          <w:rFonts w:ascii="Arial" w:cs="Arial" w:eastAsia="Arial" w:hAnsi="Arial"/>
          <w:sz w:val="18"/>
          <w:szCs w:val="18"/>
          <w:color w:val="auto"/>
        </w:rPr>
      </w:pPr>
    </w:p>
    <w:p>
      <w:pPr>
        <w:jc w:val="center"/>
        <w:ind w:right="-79"/>
        <w:spacing w:after="0"/>
        <w:rPr>
          <w:sz w:val="20"/>
          <w:szCs w:val="20"/>
          <w:color w:val="auto"/>
        </w:rPr>
      </w:pPr>
      <w:r>
        <w:rPr>
          <w:rFonts w:ascii="Arial" w:cs="Arial" w:eastAsia="Arial" w:hAnsi="Arial"/>
          <w:sz w:val="18"/>
          <w:szCs w:val="18"/>
          <w:color w:val="auto"/>
        </w:rPr>
        <w:t>68</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82" w:right="41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101.DEF Inline XBRL Taxonomy Extension Definition Linkbase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101.LAB Inline XBRL Taxonomy Extension Label Linkbase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101.PRE Inline XBRL Taxonomy Extension Presentation Linkbase document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104 The cover page from the Company’s Annual Report on Form 10-K for the year ended December 31, 2020, has been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190309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6">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01" w:lineRule="exact"/>
        <w:rPr>
          <w:sz w:val="20"/>
          <w:szCs w:val="20"/>
          <w:color w:val="auto"/>
        </w:rPr>
      </w:pPr>
    </w:p>
    <w:p>
      <w:pPr>
        <w:ind w:left="820" w:hanging="812"/>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50" w:lineRule="exact"/>
        <w:rPr>
          <w:sz w:val="20"/>
          <w:szCs w:val="20"/>
          <w:color w:val="auto"/>
        </w:rPr>
      </w:pPr>
    </w:p>
    <w:p>
      <w:pPr>
        <w:ind w:left="360" w:hanging="352"/>
        <w:spacing w:after="0"/>
        <w:tabs>
          <w:tab w:leader="none" w:pos="3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32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476" w:right="899" w:bottom="1440" w:gutter="0" w:footer="0" w:header="0"/>
        </w:sectPr>
      </w:pPr>
    </w:p>
    <w:bookmarkStart w:id="73" w:name="page74"/>
    <w:bookmarkEnd w:id="73"/>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March 3, 2023.</w:t>
      </w:r>
    </w:p>
    <w:p>
      <w:pPr>
        <w:spacing w:after="0" w:line="21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ORASURE TECHNOLOGIES, INC.</w:t>
      </w:r>
    </w:p>
    <w:p>
      <w:pPr>
        <w:spacing w:after="0" w:line="320" w:lineRule="exact"/>
        <w:rPr>
          <w:sz w:val="20"/>
          <w:szCs w:val="20"/>
          <w:color w:val="auto"/>
        </w:rPr>
      </w:pPr>
    </w:p>
    <w:p>
      <w:pPr>
        <w:ind w:left="6780"/>
        <w:spacing w:after="0"/>
        <w:tabs>
          <w:tab w:leader="none" w:pos="7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Carrie Eglinton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23495</wp:posOffset>
            </wp:positionV>
            <wp:extent cx="255460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8">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Carrie Eglinton Manner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25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on March 3, 2023, by the following persons on behalf of the Registrant and in the capacities indicated.</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 w:right="140"/>
        <w:spacing w:after="0" w:line="374" w:lineRule="auto"/>
        <w:rPr>
          <w:sz w:val="20"/>
          <w:szCs w:val="20"/>
          <w:color w:val="auto"/>
        </w:rPr>
      </w:pPr>
      <w:r>
        <w:rPr>
          <w:rFonts w:ascii="Arial" w:cs="Arial" w:eastAsia="Arial" w:hAnsi="Arial"/>
          <w:sz w:val="17"/>
          <w:szCs w:val="17"/>
          <w:i w:val="1"/>
          <w:iCs w:val="1"/>
          <w:u w:val="single" w:color="auto"/>
          <w:color w:val="auto"/>
        </w:rPr>
        <w:t xml:space="preserve">/s/ Carrie Eglinton Manner </w:t>
      </w:r>
      <w:r>
        <w:rPr>
          <w:rFonts w:ascii="Arial" w:cs="Arial" w:eastAsia="Arial" w:hAnsi="Arial"/>
          <w:sz w:val="17"/>
          <w:szCs w:val="17"/>
          <w:color w:val="auto"/>
        </w:rPr>
        <w:t>Carrie Eglinton Manner</w:t>
      </w:r>
    </w:p>
    <w:p>
      <w:pPr>
        <w:spacing w:after="0" w:line="201" w:lineRule="exact"/>
        <w:rPr>
          <w:sz w:val="20"/>
          <w:szCs w:val="20"/>
          <w:color w:val="auto"/>
        </w:rPr>
      </w:pPr>
    </w:p>
    <w:p>
      <w:pPr>
        <w:ind w:left="20" w:right="420"/>
        <w:spacing w:after="0" w:line="412" w:lineRule="auto"/>
        <w:rPr>
          <w:sz w:val="20"/>
          <w:szCs w:val="20"/>
          <w:color w:val="auto"/>
        </w:rPr>
      </w:pPr>
      <w:r>
        <w:rPr>
          <w:rFonts w:ascii="Arial" w:cs="Arial" w:eastAsia="Arial" w:hAnsi="Arial"/>
          <w:sz w:val="16"/>
          <w:szCs w:val="16"/>
          <w:i w:val="1"/>
          <w:iCs w:val="1"/>
          <w:u w:val="single" w:color="auto"/>
          <w:color w:val="auto"/>
        </w:rPr>
        <w:t xml:space="preserve">/s/ Kenneth J. McGrath </w:t>
      </w:r>
      <w:r>
        <w:rPr>
          <w:rFonts w:ascii="Arial" w:cs="Arial" w:eastAsia="Arial" w:hAnsi="Arial"/>
          <w:sz w:val="16"/>
          <w:szCs w:val="16"/>
          <w:color w:val="auto"/>
        </w:rPr>
        <w:t>Kenneth J. McGrath</w:t>
      </w:r>
    </w:p>
    <w:p>
      <w:pPr>
        <w:spacing w:after="0" w:line="178" w:lineRule="exact"/>
        <w:rPr>
          <w:sz w:val="20"/>
          <w:szCs w:val="20"/>
          <w:color w:val="auto"/>
        </w:rPr>
      </w:pPr>
    </w:p>
    <w:p>
      <w:pPr>
        <w:ind w:left="20" w:right="680"/>
        <w:spacing w:after="0" w:line="412" w:lineRule="auto"/>
        <w:rPr>
          <w:sz w:val="20"/>
          <w:szCs w:val="20"/>
          <w:color w:val="auto"/>
        </w:rPr>
      </w:pPr>
      <w:r>
        <w:rPr>
          <w:rFonts w:ascii="Arial" w:cs="Arial" w:eastAsia="Arial" w:hAnsi="Arial"/>
          <w:sz w:val="16"/>
          <w:szCs w:val="16"/>
          <w:i w:val="1"/>
          <w:iCs w:val="1"/>
          <w:u w:val="single" w:color="auto"/>
          <w:color w:val="auto"/>
        </w:rPr>
        <w:t xml:space="preserve">/s/ Michele Anthony </w:t>
      </w:r>
      <w:r>
        <w:rPr>
          <w:rFonts w:ascii="Arial" w:cs="Arial" w:eastAsia="Arial" w:hAnsi="Arial"/>
          <w:sz w:val="16"/>
          <w:szCs w:val="16"/>
          <w:color w:val="auto"/>
        </w:rPr>
        <w:t>Michele Anthony</w:t>
      </w:r>
    </w:p>
    <w:p>
      <w:pPr>
        <w:spacing w:after="0" w:line="151" w:lineRule="exact"/>
        <w:rPr>
          <w:sz w:val="20"/>
          <w:szCs w:val="20"/>
          <w:color w:val="auto"/>
        </w:rPr>
      </w:pPr>
    </w:p>
    <w:p>
      <w:pPr>
        <w:ind w:left="20" w:right="580"/>
        <w:spacing w:after="0" w:line="277" w:lineRule="auto"/>
        <w:rPr>
          <w:sz w:val="20"/>
          <w:szCs w:val="20"/>
          <w:color w:val="auto"/>
        </w:rPr>
      </w:pPr>
      <w:r>
        <w:rPr>
          <w:rFonts w:ascii="Arial" w:cs="Arial" w:eastAsia="Arial" w:hAnsi="Arial"/>
          <w:sz w:val="18"/>
          <w:szCs w:val="18"/>
          <w:color w:val="auto"/>
        </w:rPr>
        <w:t>*MARA ASPINALL Mara Aspinall</w:t>
      </w:r>
    </w:p>
    <w:p>
      <w:pPr>
        <w:spacing w:after="0" w:line="251" w:lineRule="exact"/>
        <w:rPr>
          <w:sz w:val="20"/>
          <w:szCs w:val="20"/>
          <w:color w:val="auto"/>
        </w:rPr>
      </w:pPr>
    </w:p>
    <w:p>
      <w:pPr>
        <w:ind w:left="20" w:right="660"/>
        <w:spacing w:after="0" w:line="308" w:lineRule="auto"/>
        <w:rPr>
          <w:sz w:val="20"/>
          <w:szCs w:val="20"/>
          <w:color w:val="auto"/>
        </w:rPr>
      </w:pPr>
      <w:r>
        <w:rPr>
          <w:rFonts w:ascii="Arial" w:cs="Arial" w:eastAsia="Arial" w:hAnsi="Arial"/>
          <w:sz w:val="17"/>
          <w:szCs w:val="17"/>
          <w:color w:val="auto"/>
        </w:rPr>
        <w:t>*JAMES A. DATIN James A. Datin</w:t>
      </w:r>
    </w:p>
    <w:p>
      <w:pPr>
        <w:spacing w:after="0" w:line="227" w:lineRule="exact"/>
        <w:rPr>
          <w:sz w:val="20"/>
          <w:szCs w:val="20"/>
          <w:color w:val="auto"/>
        </w:rPr>
      </w:pPr>
    </w:p>
    <w:p>
      <w:pPr>
        <w:ind w:left="20" w:right="240"/>
        <w:spacing w:after="0" w:line="308" w:lineRule="auto"/>
        <w:rPr>
          <w:sz w:val="20"/>
          <w:szCs w:val="20"/>
          <w:color w:val="auto"/>
        </w:rPr>
      </w:pPr>
      <w:r>
        <w:rPr>
          <w:rFonts w:ascii="Arial" w:cs="Arial" w:eastAsia="Arial" w:hAnsi="Arial"/>
          <w:sz w:val="17"/>
          <w:szCs w:val="17"/>
          <w:color w:val="auto"/>
        </w:rPr>
        <w:t>*NANCY J. GAGLIANO Nancy J. Gagliano</w:t>
      </w:r>
    </w:p>
    <w:p>
      <w:pPr>
        <w:spacing w:after="0" w:line="227" w:lineRule="exact"/>
        <w:rPr>
          <w:sz w:val="20"/>
          <w:szCs w:val="20"/>
          <w:color w:val="auto"/>
        </w:rPr>
      </w:pPr>
    </w:p>
    <w:p>
      <w:pPr>
        <w:ind w:left="20" w:right="520"/>
        <w:spacing w:after="0" w:line="277" w:lineRule="auto"/>
        <w:rPr>
          <w:sz w:val="20"/>
          <w:szCs w:val="20"/>
          <w:color w:val="auto"/>
        </w:rPr>
      </w:pPr>
      <w:r>
        <w:rPr>
          <w:rFonts w:ascii="Arial" w:cs="Arial" w:eastAsia="Arial" w:hAnsi="Arial"/>
          <w:sz w:val="18"/>
          <w:szCs w:val="18"/>
          <w:color w:val="auto"/>
        </w:rPr>
        <w:t>*LELIO MARMORA Lelio Marmora</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*DAVID J. SHULKIN, M.D.</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J. Shulkin, M.D.</w:t>
      </w:r>
    </w:p>
    <w:p>
      <w:pPr>
        <w:spacing w:after="0" w:line="292" w:lineRule="exact"/>
        <w:rPr>
          <w:sz w:val="20"/>
          <w:szCs w:val="20"/>
          <w:color w:val="auto"/>
        </w:rPr>
      </w:pPr>
    </w:p>
    <w:p>
      <w:pPr>
        <w:ind w:left="20" w:right="320"/>
        <w:spacing w:after="0" w:line="308" w:lineRule="auto"/>
        <w:rPr>
          <w:sz w:val="20"/>
          <w:szCs w:val="20"/>
          <w:color w:val="auto"/>
        </w:rPr>
      </w:pPr>
      <w:r>
        <w:rPr>
          <w:rFonts w:ascii="Arial" w:cs="Arial" w:eastAsia="Arial" w:hAnsi="Arial"/>
          <w:sz w:val="17"/>
          <w:szCs w:val="17"/>
          <w:color w:val="auto"/>
        </w:rPr>
        <w:t>*ANNE C. WHITAKER Anne C. Whitaker</w:t>
      </w:r>
    </w:p>
    <w:p>
      <w:pPr>
        <w:spacing w:after="0" w:line="254"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u w:val="single" w:color="auto"/>
          <w:color w:val="auto"/>
        </w:rPr>
        <w:t>/s/Stefano Taucer</w:t>
      </w:r>
    </w:p>
    <w:p>
      <w:pPr>
        <w:spacing w:after="0" w:line="63" w:lineRule="exact"/>
        <w:rPr>
          <w:sz w:val="20"/>
          <w:szCs w:val="20"/>
          <w:color w:val="auto"/>
        </w:rPr>
      </w:pPr>
    </w:p>
    <w:p>
      <w:pPr>
        <w:ind w:left="640" w:right="160"/>
        <w:spacing w:after="0" w:line="374" w:lineRule="auto"/>
        <w:rPr>
          <w:sz w:val="20"/>
          <w:szCs w:val="20"/>
          <w:color w:val="auto"/>
        </w:rPr>
      </w:pPr>
      <w:r>
        <w:rPr>
          <w:rFonts w:ascii="Arial" w:cs="Arial" w:eastAsia="Arial" w:hAnsi="Arial"/>
          <w:sz w:val="17"/>
          <w:szCs w:val="17"/>
          <w:color w:val="auto"/>
        </w:rPr>
        <w:t>Stefano Taucer (Attorney-in-Fact)</w:t>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spacing w:after="0"/>
        <w:tabs>
          <w:tab w:leader="none" w:pos="5860" w:val="left"/>
        </w:tabs>
        <w:rPr>
          <w:sz w:val="20"/>
          <w:szCs w:val="20"/>
          <w:color w:val="auto"/>
        </w:rPr>
      </w:pPr>
      <w:r>
        <w:rPr>
          <w:rFonts w:ascii="Arial" w:cs="Arial" w:eastAsia="Arial" w:hAnsi="Arial"/>
          <w:sz w:val="14"/>
          <w:szCs w:val="14"/>
          <w:color w:val="auto"/>
        </w:rPr>
        <w:t>SIGNATURE</w:t>
      </w:r>
      <w:r>
        <w:rPr>
          <w:sz w:val="20"/>
          <w:szCs w:val="20"/>
          <w:color w:val="auto"/>
        </w:rPr>
        <w:tab/>
      </w:r>
      <w:r>
        <w:rPr>
          <w:rFonts w:ascii="Arial" w:cs="Arial" w:eastAsia="Arial" w:hAnsi="Arial"/>
          <w:sz w:val="14"/>
          <w:szCs w:val="14"/>
          <w:color w:val="auto"/>
        </w:rPr>
        <w:t>TITLE</w:t>
      </w:r>
    </w:p>
    <w:p>
      <w:pPr>
        <w:spacing w:after="0" w:line="370"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President, Chief Executive Officer and Director</w:t>
      </w:r>
    </w:p>
    <w:p>
      <w:pPr>
        <w:spacing w:after="0" w:line="23"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(Principal Executive Officer)</w:t>
      </w:r>
    </w:p>
    <w:p>
      <w:pPr>
        <w:spacing w:after="0" w:line="292"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54" w:lineRule="exact"/>
        <w:rPr>
          <w:sz w:val="20"/>
          <w:szCs w:val="20"/>
          <w:color w:val="auto"/>
        </w:rPr>
      </w:pPr>
    </w:p>
    <w:p>
      <w:pPr>
        <w:ind w:left="3600"/>
        <w:spacing w:after="0"/>
        <w:rPr>
          <w:sz w:val="20"/>
          <w:szCs w:val="20"/>
          <w:color w:val="auto"/>
        </w:rPr>
      </w:pPr>
      <w:r>
        <w:rPr>
          <w:rFonts w:ascii="Arial" w:cs="Arial" w:eastAsia="Arial" w:hAnsi="Arial"/>
          <w:sz w:val="16"/>
          <w:szCs w:val="16"/>
          <w:color w:val="auto"/>
        </w:rPr>
        <w:t>Senior Vice President, Controller &amp; Chief Accounting Officer</w:t>
      </w:r>
    </w:p>
    <w:p>
      <w:pPr>
        <w:spacing w:after="0" w:line="46"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(Principal Accounting Officer)</w:t>
      </w:r>
    </w:p>
    <w:p>
      <w:pPr>
        <w:spacing w:after="0" w:line="292"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22"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22"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22"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22"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22"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Director</w:t>
      </w:r>
    </w:p>
    <w:p>
      <w:pPr>
        <w:spacing w:after="0" w:line="1628" w:lineRule="exact"/>
        <w:rPr>
          <w:sz w:val="20"/>
          <w:szCs w:val="20"/>
          <w:color w:val="auto"/>
        </w:rPr>
      </w:pPr>
    </w:p>
    <w:p>
      <w:pPr>
        <w:sectPr>
          <w:pgSz w:w="11900" w:h="16838" w:orient="portrait"/>
          <w:cols w:equalWidth="0" w:num="2">
            <w:col w:w="2140" w:space="500"/>
            <w:col w:w="8600"/>
          </w:cols>
          <w:pgMar w:left="320" w:top="368" w:right="339" w:bottom="1440" w:gutter="0" w:footer="0" w:header="0"/>
          <w:type w:val="continuous"/>
        </w:sectPr>
      </w:pP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65" w:lineRule="exact"/>
        <w:rPr>
          <w:sz w:val="20"/>
          <w:szCs w:val="20"/>
          <w:color w:val="auto"/>
        </w:rPr>
      </w:pPr>
    </w:p>
    <w:tbl>
      <w:tblPr>
        <w:tblLayout w:type="fixed"/>
        <w:tblInd w:w="10" w:type="dxa"/>
        <w:tblCellMar>
          <w:top w:w="0" w:type="dxa"/>
          <w:left w:w="0" w:type="dxa"/>
          <w:bottom w:w="0" w:type="dxa"/>
          <w:right w:w="0" w:type="dxa"/>
        </w:tblCellMar>
      </w:tblPr>
      <w:tr>
        <w:trPr>
          <w:trHeight w:val="181"/>
        </w:trPr>
        <w:tc>
          <w:tcPr>
            <w:tcW w:w="2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82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Page</w:t>
            </w:r>
          </w:p>
        </w:tc>
      </w:tr>
      <w:tr>
        <w:trPr>
          <w:trHeight w:val="291"/>
        </w:trPr>
        <w:tc>
          <w:tcPr>
            <w:tcW w:w="10420" w:type="dxa"/>
            <w:vAlign w:val="bottom"/>
            <w:gridSpan w:val="8"/>
          </w:tcPr>
          <w:p>
            <w:pPr>
              <w:ind w:left="20"/>
              <w:spacing w:after="0"/>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000000"/>
              </w:rPr>
              <w:t>(KPMG LLP, Philadelphia, PA, Auditor Firm ID:185)</w:t>
            </w:r>
          </w:p>
        </w:tc>
        <w:tc>
          <w:tcPr>
            <w:tcW w:w="820" w:type="dxa"/>
            <w:vAlign w:val="bottom"/>
          </w:tcPr>
          <w:p>
            <w:pPr>
              <w:ind w:left="560"/>
              <w:spacing w:after="0"/>
              <w:rPr>
                <w:sz w:val="20"/>
                <w:szCs w:val="20"/>
                <w:color w:val="auto"/>
              </w:rPr>
            </w:pPr>
            <w:r>
              <w:rPr>
                <w:rFonts w:ascii="Arial" w:cs="Arial" w:eastAsia="Arial" w:hAnsi="Arial"/>
                <w:sz w:val="18"/>
                <w:szCs w:val="18"/>
                <w:color w:val="auto"/>
                <w:w w:val="88"/>
              </w:rPr>
              <w:t>F-2</w:t>
            </w:r>
          </w:p>
        </w:tc>
      </w:tr>
      <w:tr>
        <w:trPr>
          <w:trHeight w:val="344"/>
        </w:trPr>
        <w:tc>
          <w:tcPr>
            <w:tcW w:w="4240" w:type="dxa"/>
            <w:vAlign w:val="bottom"/>
            <w:tcBorders>
              <w:top w:val="single" w:sz="8" w:color="0000FF"/>
            </w:tcBorders>
            <w:gridSpan w:val="6"/>
          </w:tcPr>
          <w:p>
            <w:pPr>
              <w:ind w:left="20"/>
              <w:spacing w:after="0"/>
              <w:rPr>
                <w:sz w:val="20"/>
                <w:szCs w:val="20"/>
                <w:color w:val="auto"/>
              </w:rPr>
            </w:pPr>
            <w:r>
              <w:rPr>
                <w:rFonts w:ascii="Arial" w:cs="Arial" w:eastAsia="Arial" w:hAnsi="Arial"/>
                <w:sz w:val="18"/>
                <w:szCs w:val="18"/>
                <w:color w:val="0000FF"/>
              </w:rPr>
              <w:t>Consolidated Balance Sheets</w:t>
            </w:r>
          </w:p>
        </w:tc>
        <w:tc>
          <w:tcPr>
            <w:tcW w:w="6180" w:type="dxa"/>
            <w:vAlign w:val="bottom"/>
            <w:gridSpan w:val="2"/>
          </w:tcPr>
          <w:p>
            <w:pPr>
              <w:spacing w:after="0"/>
              <w:rPr>
                <w:sz w:val="24"/>
                <w:szCs w:val="24"/>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w w:val="88"/>
              </w:rPr>
              <w:t>F-4</w:t>
            </w:r>
          </w:p>
        </w:tc>
      </w:tr>
      <w:tr>
        <w:trPr>
          <w:trHeight w:val="20"/>
        </w:trPr>
        <w:tc>
          <w:tcPr>
            <w:tcW w:w="212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45"/>
        </w:trPr>
        <w:tc>
          <w:tcPr>
            <w:tcW w:w="10420" w:type="dxa"/>
            <w:vAlign w:val="bottom"/>
            <w:gridSpan w:val="8"/>
          </w:tcPr>
          <w:p>
            <w:pPr>
              <w:ind w:left="20"/>
              <w:spacing w:after="0"/>
              <w:rPr>
                <w:sz w:val="20"/>
                <w:szCs w:val="20"/>
                <w:color w:val="auto"/>
              </w:rPr>
            </w:pPr>
            <w:r>
              <w:rPr>
                <w:rFonts w:ascii="Arial" w:cs="Arial" w:eastAsia="Arial" w:hAnsi="Arial"/>
                <w:sz w:val="18"/>
                <w:szCs w:val="18"/>
                <w:color w:val="0000FF"/>
              </w:rPr>
              <w:t>Consolidated Statements of Operations</w:t>
            </w:r>
          </w:p>
        </w:tc>
        <w:tc>
          <w:tcPr>
            <w:tcW w:w="820" w:type="dxa"/>
            <w:vAlign w:val="bottom"/>
          </w:tcPr>
          <w:p>
            <w:pPr>
              <w:ind w:left="560"/>
              <w:spacing w:after="0"/>
              <w:rPr>
                <w:sz w:val="20"/>
                <w:szCs w:val="20"/>
                <w:color w:val="auto"/>
              </w:rPr>
            </w:pPr>
            <w:r>
              <w:rPr>
                <w:rFonts w:ascii="Arial" w:cs="Arial" w:eastAsia="Arial" w:hAnsi="Arial"/>
                <w:sz w:val="18"/>
                <w:szCs w:val="18"/>
                <w:color w:val="auto"/>
                <w:w w:val="88"/>
              </w:rPr>
              <w:t>F-5</w:t>
            </w:r>
          </w:p>
        </w:tc>
      </w:tr>
      <w:tr>
        <w:trPr>
          <w:trHeight w:val="20"/>
        </w:trPr>
        <w:tc>
          <w:tcPr>
            <w:tcW w:w="212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44"/>
        </w:trPr>
        <w:tc>
          <w:tcPr>
            <w:tcW w:w="10420" w:type="dxa"/>
            <w:vAlign w:val="bottom"/>
            <w:gridSpan w:val="8"/>
          </w:tcPr>
          <w:p>
            <w:pPr>
              <w:ind w:left="20"/>
              <w:spacing w:after="0"/>
              <w:rPr>
                <w:sz w:val="20"/>
                <w:szCs w:val="20"/>
                <w:color w:val="auto"/>
              </w:rPr>
            </w:pPr>
            <w:r>
              <w:rPr>
                <w:rFonts w:ascii="Arial" w:cs="Arial" w:eastAsia="Arial" w:hAnsi="Arial"/>
                <w:sz w:val="18"/>
                <w:szCs w:val="18"/>
                <w:color w:val="0000FF"/>
              </w:rPr>
              <w:t>Consolidated Statements of Comprehensive Income (Loss)</w:t>
            </w:r>
          </w:p>
        </w:tc>
        <w:tc>
          <w:tcPr>
            <w:tcW w:w="820" w:type="dxa"/>
            <w:vAlign w:val="bottom"/>
          </w:tcPr>
          <w:p>
            <w:pPr>
              <w:ind w:left="560"/>
              <w:spacing w:after="0"/>
              <w:rPr>
                <w:sz w:val="20"/>
                <w:szCs w:val="20"/>
                <w:color w:val="auto"/>
              </w:rPr>
            </w:pPr>
            <w:r>
              <w:rPr>
                <w:rFonts w:ascii="Arial" w:cs="Arial" w:eastAsia="Arial" w:hAnsi="Arial"/>
                <w:sz w:val="18"/>
                <w:szCs w:val="18"/>
                <w:color w:val="auto"/>
                <w:w w:val="88"/>
              </w:rPr>
              <w:t>F-6</w:t>
            </w:r>
          </w:p>
        </w:tc>
      </w:tr>
      <w:tr>
        <w:trPr>
          <w:trHeight w:val="344"/>
        </w:trPr>
        <w:tc>
          <w:tcPr>
            <w:tcW w:w="4260" w:type="dxa"/>
            <w:vAlign w:val="bottom"/>
            <w:tcBorders>
              <w:top w:val="single" w:sz="8" w:color="0000FF"/>
            </w:tcBorders>
            <w:gridSpan w:val="7"/>
          </w:tcPr>
          <w:p>
            <w:pPr>
              <w:ind w:left="20"/>
              <w:spacing w:after="0"/>
              <w:rPr>
                <w:sz w:val="20"/>
                <w:szCs w:val="20"/>
                <w:color w:val="auto"/>
              </w:rPr>
            </w:pPr>
            <w:r>
              <w:rPr>
                <w:rFonts w:ascii="Arial" w:cs="Arial" w:eastAsia="Arial" w:hAnsi="Arial"/>
                <w:sz w:val="18"/>
                <w:szCs w:val="18"/>
                <w:color w:val="0000FF"/>
              </w:rPr>
              <w:t>Consolidated Statements of Stockholders’ Equity</w:t>
            </w:r>
          </w:p>
        </w:tc>
        <w:tc>
          <w:tcPr>
            <w:tcW w:w="6160" w:type="dxa"/>
            <w:vAlign w:val="bottom"/>
          </w:tcPr>
          <w:p>
            <w:pPr>
              <w:spacing w:after="0"/>
              <w:rPr>
                <w:sz w:val="24"/>
                <w:szCs w:val="24"/>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w w:val="88"/>
              </w:rPr>
              <w:t>F-7</w:t>
            </w:r>
          </w:p>
        </w:tc>
      </w:tr>
      <w:tr>
        <w:trPr>
          <w:trHeight w:val="345"/>
        </w:trPr>
        <w:tc>
          <w:tcPr>
            <w:tcW w:w="2900" w:type="dxa"/>
            <w:vAlign w:val="bottom"/>
            <w:tcBorders>
              <w:top w:val="single" w:sz="8" w:color="0000FF"/>
              <w:bottom w:val="single" w:sz="8" w:color="0000FF"/>
            </w:tcBorders>
            <w:gridSpan w:val="3"/>
          </w:tcPr>
          <w:p>
            <w:pPr>
              <w:ind w:left="20"/>
              <w:spacing w:after="0"/>
              <w:rPr>
                <w:sz w:val="20"/>
                <w:szCs w:val="20"/>
                <w:color w:val="auto"/>
              </w:rPr>
            </w:pPr>
            <w:r>
              <w:rPr>
                <w:rFonts w:ascii="Arial" w:cs="Arial" w:eastAsia="Arial" w:hAnsi="Arial"/>
                <w:sz w:val="18"/>
                <w:szCs w:val="18"/>
                <w:color w:val="0000FF"/>
                <w:w w:val="89"/>
              </w:rPr>
              <w:t>Consolidated Statements of Cash Flows</w:t>
            </w:r>
          </w:p>
        </w:tc>
        <w:tc>
          <w:tcPr>
            <w:tcW w:w="660" w:type="dxa"/>
            <w:vAlign w:val="bottom"/>
            <w:tcBorders>
              <w:top w:val="single" w:sz="8" w:color="0000FF"/>
            </w:tcBorders>
            <w:gridSpan w:val="2"/>
          </w:tcPr>
          <w:p>
            <w:pPr>
              <w:spacing w:after="0"/>
              <w:rPr>
                <w:sz w:val="24"/>
                <w:szCs w:val="24"/>
                <w:color w:val="auto"/>
              </w:rPr>
            </w:pPr>
          </w:p>
        </w:tc>
        <w:tc>
          <w:tcPr>
            <w:tcW w:w="6860" w:type="dxa"/>
            <w:vAlign w:val="bottom"/>
            <w:gridSpan w:val="3"/>
          </w:tcPr>
          <w:p>
            <w:pPr>
              <w:spacing w:after="0"/>
              <w:rPr>
                <w:sz w:val="24"/>
                <w:szCs w:val="24"/>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w w:val="88"/>
              </w:rPr>
              <w:t>F-8</w:t>
            </w:r>
          </w:p>
        </w:tc>
      </w:tr>
      <w:tr>
        <w:trPr>
          <w:trHeight w:val="344"/>
        </w:trPr>
        <w:tc>
          <w:tcPr>
            <w:tcW w:w="10420" w:type="dxa"/>
            <w:vAlign w:val="bottom"/>
            <w:gridSpan w:val="8"/>
          </w:tcPr>
          <w:p>
            <w:pPr>
              <w:ind w:left="20"/>
              <w:spacing w:after="0"/>
              <w:rPr>
                <w:sz w:val="20"/>
                <w:szCs w:val="20"/>
                <w:color w:val="auto"/>
              </w:rPr>
            </w:pPr>
            <w:r>
              <w:rPr>
                <w:rFonts w:ascii="Arial" w:cs="Arial" w:eastAsia="Arial" w:hAnsi="Arial"/>
                <w:sz w:val="18"/>
                <w:szCs w:val="18"/>
                <w:color w:val="0000FF"/>
              </w:rPr>
              <w:t>Notes to the Consolidated Financial Statements</w:t>
            </w:r>
          </w:p>
        </w:tc>
        <w:tc>
          <w:tcPr>
            <w:tcW w:w="820" w:type="dxa"/>
            <w:vAlign w:val="bottom"/>
          </w:tcPr>
          <w:p>
            <w:pPr>
              <w:ind w:left="560"/>
              <w:spacing w:after="0"/>
              <w:rPr>
                <w:sz w:val="20"/>
                <w:szCs w:val="20"/>
                <w:color w:val="auto"/>
              </w:rPr>
            </w:pPr>
            <w:r>
              <w:rPr>
                <w:rFonts w:ascii="Arial" w:cs="Arial" w:eastAsia="Arial" w:hAnsi="Arial"/>
                <w:sz w:val="18"/>
                <w:szCs w:val="18"/>
                <w:color w:val="auto"/>
                <w:w w:val="88"/>
              </w:rPr>
              <w:t>F-9</w:t>
            </w:r>
          </w:p>
        </w:tc>
      </w:tr>
      <w:tr>
        <w:trPr>
          <w:trHeight w:val="480"/>
        </w:trPr>
        <w:tc>
          <w:tcPr>
            <w:tcW w:w="212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60" w:type="dxa"/>
            <w:vAlign w:val="bottom"/>
          </w:tcPr>
          <w:p>
            <w:pPr>
              <w:ind w:left="1240"/>
              <w:spacing w:after="0"/>
              <w:rPr>
                <w:sz w:val="20"/>
                <w:szCs w:val="20"/>
                <w:color w:val="auto"/>
              </w:rPr>
            </w:pPr>
            <w:r>
              <w:rPr>
                <w:rFonts w:ascii="Arial" w:cs="Arial" w:eastAsia="Arial" w:hAnsi="Arial"/>
                <w:sz w:val="18"/>
                <w:szCs w:val="18"/>
                <w:color w:val="auto"/>
              </w:rPr>
              <w:t>F-1</w:t>
            </w:r>
          </w:p>
        </w:tc>
        <w:tc>
          <w:tcPr>
            <w:tcW w:w="820" w:type="dxa"/>
            <w:vAlign w:val="bottom"/>
          </w:tcPr>
          <w:p>
            <w:pPr>
              <w:spacing w:after="0"/>
              <w:rPr>
                <w:sz w:val="24"/>
                <w:szCs w:val="24"/>
                <w:color w:val="auto"/>
              </w:rPr>
            </w:pPr>
          </w:p>
        </w:tc>
      </w:tr>
      <w:tr>
        <w:trPr>
          <w:trHeight w:val="358"/>
        </w:trPr>
        <w:tc>
          <w:tcPr>
            <w:tcW w:w="21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1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OraSure Technologies,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2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have audited the accompanying consolidated balance sheets of OraSure Technologies, Inc. and subsidiaries (the Company) as of December 31, 2022 and 2021, the related consolidated statements of operations, comprehensive income (loss), stockholders’ equity, and cash flows for each of the years in the three-year period ended December 31, 2022, and the related notes (collectively, the consolidated financial statements). In our opinion, the consolidated financial statements present fairly, in all material respects, the financial position of the Company as of December 31, 2022 and 2021, and the results of its operations and its cash flows for each of the years in the three-year period ended December 31, 2022, in conformity with U.S. generally accepted accounting principles.</w:t>
      </w:r>
    </w:p>
    <w:p>
      <w:pPr>
        <w:spacing w:after="0" w:line="19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issued by the Committee of Sponsoring Organizations of the Treadway Commission, and our report dated March 3, 2023 expressed an unqualified opinion on the effectiveness of the Company’s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3"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23"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Evaluation of net realizable value adjustments to inventories for excess or obsolescence</w:t>
      </w:r>
    </w:p>
    <w:p>
      <w:pPr>
        <w:spacing w:after="0" w:line="23" w:lineRule="exact"/>
        <w:rPr>
          <w:sz w:val="20"/>
          <w:szCs w:val="20"/>
          <w:color w:val="auto"/>
        </w:rPr>
      </w:pPr>
    </w:p>
    <w:p>
      <w:pPr>
        <w:ind w:left="520"/>
        <w:spacing w:after="0" w:line="269" w:lineRule="auto"/>
        <w:rPr>
          <w:sz w:val="20"/>
          <w:szCs w:val="20"/>
          <w:color w:val="auto"/>
        </w:rPr>
      </w:pPr>
      <w:r>
        <w:rPr>
          <w:rFonts w:ascii="Arial" w:cs="Arial" w:eastAsia="Arial" w:hAnsi="Arial"/>
          <w:sz w:val="17"/>
          <w:szCs w:val="17"/>
          <w:color w:val="auto"/>
        </w:rPr>
        <w:t>As discussed in Notes 2 and 5 to the consolidated financial statements, the Company has inventories with a carrying value of $96,232 thousand as of December 31, 2022. Inventories are stated at the lower of cost or net realizable value, with cost determined on a first-in, first-out basis. The majority of the inventories are subject to expiration dating, which can be extended in certain circumstances. The Company continually evaluates quantities on hand and the carrying value of inventories to determine the need for net realizable value adjustments for excess and obsolete inventories, based primarily on prior experience with consideration of expected changes in the business and estimated forecasts of product sales. The Company reserves for unidentified scrap or spoilage based on historical write-off rates. The Company also considers items identified through specific identification procedures in assessing the adequacy of the reserve.</w:t>
      </w:r>
    </w:p>
    <w:p>
      <w:pPr>
        <w:spacing w:after="0" w:line="180" w:lineRule="exact"/>
        <w:rPr>
          <w:sz w:val="20"/>
          <w:szCs w:val="20"/>
          <w:color w:val="auto"/>
        </w:rPr>
      </w:pPr>
    </w:p>
    <w:p>
      <w:pPr>
        <w:ind w:left="520" w:right="140"/>
        <w:spacing w:after="0" w:line="311" w:lineRule="auto"/>
        <w:rPr>
          <w:sz w:val="20"/>
          <w:szCs w:val="20"/>
          <w:color w:val="auto"/>
        </w:rPr>
      </w:pPr>
      <w:r>
        <w:rPr>
          <w:rFonts w:ascii="Arial" w:cs="Arial" w:eastAsia="Arial" w:hAnsi="Arial"/>
          <w:sz w:val="16"/>
          <w:szCs w:val="16"/>
          <w:color w:val="auto"/>
        </w:rPr>
        <w:t>We identified the evaluation of net realizable value adjustments to inventories for excess or obsolescence as a critical audit matter. Evaluating the Company’s specific identification procedures, which included reviewing historical inventory consumption as compared to inventory balances as of year-end and the resulting inventory consumption and ability to extend inventory expiration dates, required a high degree of auditor judgment.</w:t>
      </w:r>
    </w:p>
    <w:p>
      <w:pPr>
        <w:spacing w:after="0" w:line="149" w:lineRule="exact"/>
        <w:rPr>
          <w:sz w:val="20"/>
          <w:szCs w:val="20"/>
          <w:color w:val="auto"/>
        </w:rPr>
      </w:pPr>
    </w:p>
    <w:p>
      <w:pPr>
        <w:ind w:left="520" w:right="160"/>
        <w:spacing w:after="0" w:line="255" w:lineRule="auto"/>
        <w:rPr>
          <w:sz w:val="20"/>
          <w:szCs w:val="20"/>
          <w:color w:val="auto"/>
        </w:rPr>
      </w:pPr>
      <w:r>
        <w:rPr>
          <w:rFonts w:ascii="Arial" w:cs="Arial" w:eastAsia="Arial" w:hAnsi="Arial"/>
          <w:sz w:val="18"/>
          <w:szCs w:val="18"/>
          <w:color w:val="auto"/>
        </w:rPr>
        <w:t>The following are the primary procedures we performed to address this critical audit matter. We evaluated the design and tested the operating effectiveness of certain internal controls related to the Company’s process for determining net realizable value adjustments for inventory excess or obsolescence, which included controls related to the review of the specific identification</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76" w:name="page77"/>
    <w:bookmarkEnd w:id="76"/>
    <w:p>
      <w:pPr>
        <w:ind w:left="520"/>
        <w:spacing w:after="0" w:line="285" w:lineRule="auto"/>
        <w:rPr>
          <w:sz w:val="20"/>
          <w:szCs w:val="20"/>
          <w:color w:val="auto"/>
        </w:rPr>
      </w:pPr>
      <w:r>
        <w:rPr>
          <w:rFonts w:ascii="Arial" w:cs="Arial" w:eastAsia="Arial" w:hAnsi="Arial"/>
          <w:sz w:val="16"/>
          <w:szCs w:val="16"/>
          <w:color w:val="auto"/>
        </w:rPr>
        <w:t>procedures. For a selection of inventory items, we compared the Company’s historic estimates of net realizable value adjustments for excess and obsolescence to the actual physical inventory disposals to evaluate the Company’s ability to accurately estimate the net realizable value adjustments. In addition, we selected inventory items from the underlying data used in the Company’s analysis and evaluated the Company’s determination of net realizable value adjustments for those items by: (1) testing historical inventory consumption by independently recalculating the historical consumption and comparing it to the company determined consumption, (2) comparing that consumption to inventory balances as of year-end, and</w:t>
      </w:r>
    </w:p>
    <w:p>
      <w:pPr>
        <w:spacing w:after="0" w:line="2" w:lineRule="exact"/>
        <w:rPr>
          <w:sz w:val="20"/>
          <w:szCs w:val="20"/>
          <w:color w:val="auto"/>
        </w:rPr>
      </w:pPr>
    </w:p>
    <w:p>
      <w:pPr>
        <w:ind w:left="520" w:right="360" w:hanging="3"/>
        <w:spacing w:after="0" w:line="255" w:lineRule="auto"/>
        <w:tabs>
          <w:tab w:leader="none" w:pos="775" w:val="left"/>
        </w:tabs>
        <w:numPr>
          <w:ilvl w:val="0"/>
          <w:numId w:val="41"/>
        </w:numPr>
        <w:rPr>
          <w:rFonts w:ascii="Arial" w:cs="Arial" w:eastAsia="Arial" w:hAnsi="Arial"/>
          <w:sz w:val="18"/>
          <w:szCs w:val="18"/>
          <w:color w:val="auto"/>
        </w:rPr>
      </w:pPr>
      <w:r>
        <w:rPr>
          <w:rFonts w:ascii="Arial" w:cs="Arial" w:eastAsia="Arial" w:hAnsi="Arial"/>
          <w:sz w:val="18"/>
          <w:szCs w:val="18"/>
          <w:color w:val="auto"/>
        </w:rPr>
        <w:t>evaluating changes in the business that could impact future inventory consumption, as applicable. We also selected inventory items from the underlying data used in the Company’s analysis and evaluated the ability to extend the expiration dates by inspecting relevant supporting documentation.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 2023</w:t>
      </w: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77" w:name="page78"/>
    <w:bookmarkEnd w:id="77"/>
    <w:p>
      <w:pPr>
        <w:jc w:val="center"/>
        <w:ind w:right="40"/>
        <w:spacing w:after="0"/>
        <w:rPr>
          <w:sz w:val="20"/>
          <w:szCs w:val="20"/>
          <w:color w:val="auto"/>
        </w:rPr>
      </w:pPr>
      <w:r>
        <w:rPr>
          <w:rFonts w:ascii="Arial" w:cs="Arial" w:eastAsia="Arial" w:hAnsi="Arial"/>
          <w:sz w:val="18"/>
          <w:szCs w:val="18"/>
          <w:b w:val="1"/>
          <w:bCs w:val="1"/>
          <w:color w:val="auto"/>
        </w:rPr>
        <w:t>ORASURE TECHNOLOGIES, INC. AND SUBSIDIARIES</w:t>
      </w:r>
    </w:p>
    <w:p>
      <w:pPr>
        <w:spacing w:after="0" w:line="2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6"/>
              </w:rPr>
              <w:t>December 31, 2022</w:t>
            </w:r>
          </w:p>
        </w:tc>
        <w:tc>
          <w:tcPr>
            <w:tcW w:w="160" w:type="dxa"/>
            <w:vAlign w:val="bottom"/>
          </w:tcPr>
          <w:p>
            <w:pPr>
              <w:spacing w:after="0"/>
              <w:rPr>
                <w:sz w:val="16"/>
                <w:szCs w:val="16"/>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December 31, 2021</w:t>
            </w:r>
          </w:p>
        </w:tc>
      </w:tr>
      <w:tr>
        <w:trPr>
          <w:trHeight w:val="236"/>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FF0FC"/>
          </w:tcPr>
          <w:p>
            <w:pPr>
              <w:spacing w:after="0"/>
              <w:rPr>
                <w:sz w:val="20"/>
                <w:szCs w:val="20"/>
                <w:color w:val="auto"/>
              </w:rPr>
            </w:pPr>
          </w:p>
        </w:tc>
        <w:tc>
          <w:tcPr>
            <w:tcW w:w="146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4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83,980</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116,762</w:t>
            </w:r>
          </w:p>
        </w:tc>
        <w:tc>
          <w:tcPr>
            <w:tcW w:w="10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26,867</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36,279</w:t>
            </w:r>
          </w:p>
        </w:tc>
        <w:tc>
          <w:tcPr>
            <w:tcW w:w="100" w:type="dxa"/>
            <w:vAlign w:val="bottom"/>
          </w:tcPr>
          <w:p>
            <w:pPr>
              <w:spacing w:after="0"/>
              <w:rPr>
                <w:sz w:val="20"/>
                <w:szCs w:val="20"/>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receivable, net of allowance for doubtful accounts of $2,365 and $3,418</w:t>
            </w: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70,797</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45,323</w:t>
            </w:r>
          </w:p>
        </w:tc>
        <w:tc>
          <w:tcPr>
            <w:tcW w:w="10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96,232</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53,138</w:t>
            </w:r>
          </w:p>
        </w:tc>
        <w:tc>
          <w:tcPr>
            <w:tcW w:w="100" w:type="dxa"/>
            <w:vAlign w:val="bottom"/>
          </w:tcPr>
          <w:p>
            <w:pPr>
              <w:spacing w:after="0"/>
              <w:rPr>
                <w:sz w:val="20"/>
                <w:szCs w:val="20"/>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Prepaid expenses</w:t>
            </w: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6,273</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7,939</w:t>
            </w:r>
          </w:p>
        </w:tc>
        <w:tc>
          <w:tcPr>
            <w:tcW w:w="100" w:type="dxa"/>
            <w:vAlign w:val="bottom"/>
            <w:shd w:val="clear" w:color="auto" w:fill="CFF0FC"/>
          </w:tcPr>
          <w:p>
            <w:pPr>
              <w:spacing w:after="0"/>
              <w:rPr>
                <w:sz w:val="21"/>
                <w:szCs w:val="21"/>
                <w:color w:val="auto"/>
              </w:rPr>
            </w:pPr>
          </w:p>
        </w:tc>
      </w:tr>
      <w:tr>
        <w:trPr>
          <w:trHeight w:val="243"/>
        </w:trPr>
        <w:tc>
          <w:tcPr>
            <w:tcW w:w="7600" w:type="dxa"/>
            <w:vAlign w:val="bottom"/>
          </w:tcPr>
          <w:p>
            <w:pPr>
              <w:ind w:left="20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41,569</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39,865</w:t>
            </w:r>
          </w:p>
        </w:tc>
        <w:tc>
          <w:tcPr>
            <w:tcW w:w="100" w:type="dxa"/>
            <w:vAlign w:val="bottom"/>
          </w:tcPr>
          <w:p>
            <w:pPr>
              <w:spacing w:after="0"/>
              <w:rPr>
                <w:sz w:val="21"/>
                <w:szCs w:val="21"/>
                <w:color w:val="auto"/>
              </w:rPr>
            </w:pPr>
          </w:p>
        </w:tc>
      </w:tr>
      <w:tr>
        <w:trPr>
          <w:trHeight w:val="236"/>
        </w:trPr>
        <w:tc>
          <w:tcPr>
            <w:tcW w:w="7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325,718</w:t>
            </w: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299,306</w:t>
            </w:r>
          </w:p>
        </w:tc>
        <w:tc>
          <w:tcPr>
            <w:tcW w:w="100" w:type="dxa"/>
            <w:vAlign w:val="bottom"/>
            <w:shd w:val="clear" w:color="auto" w:fill="CFF0FC"/>
          </w:tcPr>
          <w:p>
            <w:pPr>
              <w:spacing w:after="0"/>
              <w:rPr>
                <w:sz w:val="20"/>
                <w:szCs w:val="20"/>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59,413</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73,435</w:t>
            </w:r>
          </w:p>
        </w:tc>
        <w:tc>
          <w:tcPr>
            <w:tcW w:w="10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Operating right-of-use assets, net</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10,399</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9,056</w:t>
            </w:r>
          </w:p>
        </w:tc>
        <w:tc>
          <w:tcPr>
            <w:tcW w:w="100" w:type="dxa"/>
            <w:vAlign w:val="bottom"/>
          </w:tcPr>
          <w:p>
            <w:pPr>
              <w:spacing w:after="0"/>
              <w:rPr>
                <w:sz w:val="20"/>
                <w:szCs w:val="20"/>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Finance right-of-use assets, net</w:t>
            </w: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1,293</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2,493</w:t>
            </w:r>
          </w:p>
        </w:tc>
        <w:tc>
          <w:tcPr>
            <w:tcW w:w="10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11,694</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14,343</w:t>
            </w:r>
          </w:p>
        </w:tc>
        <w:tc>
          <w:tcPr>
            <w:tcW w:w="100" w:type="dxa"/>
            <w:vAlign w:val="bottom"/>
          </w:tcPr>
          <w:p>
            <w:pPr>
              <w:spacing w:after="0"/>
              <w:rPr>
                <w:sz w:val="20"/>
                <w:szCs w:val="20"/>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35,104</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40,279</w:t>
            </w:r>
          </w:p>
        </w:tc>
        <w:tc>
          <w:tcPr>
            <w:tcW w:w="10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Long-term investments</w:t>
            </w:r>
          </w:p>
        </w:tc>
        <w:tc>
          <w:tcPr>
            <w:tcW w:w="160" w:type="dxa"/>
            <w:vAlign w:val="bottom"/>
          </w:tcPr>
          <w:p>
            <w:pPr>
              <w:spacing w:after="0"/>
              <w:rPr>
                <w:sz w:val="20"/>
                <w:szCs w:val="20"/>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17,009</w:t>
            </w:r>
          </w:p>
        </w:tc>
        <w:tc>
          <w:tcPr>
            <w:tcW w:w="100" w:type="dxa"/>
            <w:vAlign w:val="bottom"/>
          </w:tcPr>
          <w:p>
            <w:pPr>
              <w:spacing w:after="0"/>
              <w:rPr>
                <w:sz w:val="20"/>
                <w:szCs w:val="20"/>
                <w:color w:val="auto"/>
              </w:rPr>
            </w:pPr>
          </w:p>
        </w:tc>
      </w:tr>
      <w:tr>
        <w:trPr>
          <w:trHeight w:val="249"/>
        </w:trPr>
        <w:tc>
          <w:tcPr>
            <w:tcW w:w="7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noncurrent assets</w:t>
            </w:r>
          </w:p>
        </w:tc>
        <w:tc>
          <w:tcPr>
            <w:tcW w:w="16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1,087</w:t>
            </w: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600" w:type="dxa"/>
            <w:vAlign w:val="bottom"/>
          </w:tcPr>
          <w:p>
            <w:pPr>
              <w:ind w:left="380"/>
              <w:spacing w:after="0"/>
              <w:rPr>
                <w:sz w:val="20"/>
                <w:szCs w:val="20"/>
                <w:color w:val="auto"/>
              </w:rPr>
            </w:pPr>
            <w:r>
              <w:rPr>
                <w:rFonts w:ascii="Arial" w:cs="Arial" w:eastAsia="Arial" w:hAnsi="Arial"/>
                <w:sz w:val="18"/>
                <w:szCs w:val="18"/>
                <w:color w:val="auto"/>
              </w:rPr>
              <w:t>Total noncurrent assets</w:t>
            </w: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118,990</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161,684</w:t>
            </w:r>
          </w:p>
        </w:tc>
        <w:tc>
          <w:tcPr>
            <w:tcW w:w="100" w:type="dxa"/>
            <w:vAlign w:val="bottom"/>
          </w:tcPr>
          <w:p>
            <w:pPr>
              <w:spacing w:after="0"/>
              <w:rPr>
                <w:sz w:val="20"/>
                <w:szCs w:val="20"/>
                <w:color w:val="auto"/>
              </w:rPr>
            </w:pPr>
          </w:p>
        </w:tc>
      </w:tr>
      <w:tr>
        <w:trPr>
          <w:trHeight w:val="276"/>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444,708</w:t>
            </w:r>
          </w:p>
        </w:tc>
        <w:tc>
          <w:tcPr>
            <w:tcW w:w="3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460,990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19"/>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39,349</w:t>
            </w:r>
          </w:p>
        </w:tc>
        <w:tc>
          <w:tcPr>
            <w:tcW w:w="3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28,024</w:t>
            </w:r>
          </w:p>
        </w:tc>
        <w:tc>
          <w:tcPr>
            <w:tcW w:w="100" w:type="dxa"/>
            <w:vAlign w:val="bottom"/>
          </w:tcPr>
          <w:p>
            <w:pPr>
              <w:spacing w:after="0"/>
              <w:rPr>
                <w:sz w:val="20"/>
                <w:szCs w:val="20"/>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2,273</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2,936</w:t>
            </w:r>
          </w:p>
        </w:tc>
        <w:tc>
          <w:tcPr>
            <w:tcW w:w="10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25,762</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33,778</w:t>
            </w:r>
          </w:p>
        </w:tc>
        <w:tc>
          <w:tcPr>
            <w:tcW w:w="100" w:type="dxa"/>
            <w:vAlign w:val="bottom"/>
          </w:tcPr>
          <w:p>
            <w:pPr>
              <w:spacing w:after="0"/>
              <w:rPr>
                <w:sz w:val="20"/>
                <w:szCs w:val="20"/>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Finance lease liability</w:t>
            </w: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1,179</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939</w:t>
            </w:r>
          </w:p>
        </w:tc>
        <w:tc>
          <w:tcPr>
            <w:tcW w:w="10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Operating lease liability</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1,764</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2,181</w:t>
            </w:r>
          </w:p>
        </w:tc>
        <w:tc>
          <w:tcPr>
            <w:tcW w:w="100" w:type="dxa"/>
            <w:vAlign w:val="bottom"/>
          </w:tcPr>
          <w:p>
            <w:pPr>
              <w:spacing w:after="0"/>
              <w:rPr>
                <w:sz w:val="20"/>
                <w:szCs w:val="20"/>
                <w:color w:val="auto"/>
              </w:rPr>
            </w:pPr>
          </w:p>
        </w:tc>
      </w:tr>
      <w:tr>
        <w:trPr>
          <w:trHeight w:val="249"/>
        </w:trPr>
        <w:tc>
          <w:tcPr>
            <w:tcW w:w="7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Acquisition-related contingent consideration obligation</w:t>
            </w:r>
          </w:p>
        </w:tc>
        <w:tc>
          <w:tcPr>
            <w:tcW w:w="16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760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70,392</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68,064</w:t>
            </w:r>
          </w:p>
        </w:tc>
        <w:tc>
          <w:tcPr>
            <w:tcW w:w="100" w:type="dxa"/>
            <w:vAlign w:val="bottom"/>
          </w:tcPr>
          <w:p>
            <w:pPr>
              <w:spacing w:after="0"/>
              <w:rPr>
                <w:sz w:val="20"/>
                <w:szCs w:val="20"/>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Noncurrent Liabilities:</w:t>
            </w: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Finance lease liability</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503</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1,952</w:t>
            </w:r>
          </w:p>
        </w:tc>
        <w:tc>
          <w:tcPr>
            <w:tcW w:w="100" w:type="dxa"/>
            <w:vAlign w:val="bottom"/>
          </w:tcPr>
          <w:p>
            <w:pPr>
              <w:spacing w:after="0"/>
              <w:rPr>
                <w:sz w:val="20"/>
                <w:szCs w:val="20"/>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lease liability</w:t>
            </w: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9,101</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7,202</w:t>
            </w:r>
          </w:p>
        </w:tc>
        <w:tc>
          <w:tcPr>
            <w:tcW w:w="10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Acquisition-related contingent consideration obligation</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99</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0"/>
                <w:szCs w:val="20"/>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noncurrent liabilities</w:t>
            </w: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w:t>
            </w:r>
          </w:p>
        </w:tc>
        <w:tc>
          <w:tcPr>
            <w:tcW w:w="100" w:type="dxa"/>
            <w:vAlign w:val="bottom"/>
            <w:shd w:val="clear" w:color="auto" w:fill="CFF0FC"/>
          </w:tcPr>
          <w:p>
            <w:pPr>
              <w:spacing w:after="0"/>
              <w:rPr>
                <w:sz w:val="21"/>
                <w:szCs w:val="21"/>
                <w:color w:val="auto"/>
              </w:rPr>
            </w:pPr>
          </w:p>
        </w:tc>
      </w:tr>
      <w:tr>
        <w:trPr>
          <w:trHeight w:val="243"/>
        </w:trPr>
        <w:tc>
          <w:tcPr>
            <w:tcW w:w="760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2,234</w:t>
            </w:r>
          </w:p>
        </w:tc>
        <w:tc>
          <w:tcPr>
            <w:tcW w:w="100" w:type="dxa"/>
            <w:vAlign w:val="bottom"/>
          </w:tcPr>
          <w:p>
            <w:pPr>
              <w:spacing w:after="0"/>
              <w:rPr>
                <w:sz w:val="21"/>
                <w:szCs w:val="21"/>
                <w:color w:val="auto"/>
              </w:rPr>
            </w:pPr>
          </w:p>
        </w:tc>
      </w:tr>
      <w:tr>
        <w:trPr>
          <w:trHeight w:val="236"/>
        </w:trPr>
        <w:tc>
          <w:tcPr>
            <w:tcW w:w="76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noncurrent liabilities</w:t>
            </w:r>
          </w:p>
        </w:tc>
        <w:tc>
          <w:tcPr>
            <w:tcW w:w="16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10,692</w:t>
            </w:r>
          </w:p>
        </w:tc>
        <w:tc>
          <w:tcPr>
            <w:tcW w:w="3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12,393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81,084</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80,457</w:t>
            </w:r>
          </w:p>
        </w:tc>
        <w:tc>
          <w:tcPr>
            <w:tcW w:w="100" w:type="dxa"/>
            <w:vAlign w:val="bottom"/>
          </w:tcPr>
          <w:p>
            <w:pPr>
              <w:spacing w:after="0"/>
              <w:rPr>
                <w:sz w:val="20"/>
                <w:szCs w:val="20"/>
                <w:color w:val="auto"/>
              </w:rPr>
            </w:pPr>
          </w:p>
        </w:tc>
      </w:tr>
      <w:tr>
        <w:trPr>
          <w:trHeight w:val="237"/>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14)</w:t>
            </w:r>
          </w:p>
        </w:tc>
        <w:tc>
          <w:tcPr>
            <w:tcW w:w="16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Preferred stock, par value $.000001, 25,000 shares authorized, none issued</w:t>
            </w:r>
          </w:p>
        </w:tc>
        <w:tc>
          <w:tcPr>
            <w:tcW w:w="160" w:type="dxa"/>
            <w:vAlign w:val="bottom"/>
            <w:shd w:val="clear" w:color="auto" w:fill="CFF0FC"/>
          </w:tcPr>
          <w:p>
            <w:pPr>
              <w:spacing w:after="0"/>
              <w:rPr>
                <w:sz w:val="21"/>
                <w:szCs w:val="21"/>
                <w:color w:val="auto"/>
              </w:rPr>
            </w:pPr>
          </w:p>
        </w:tc>
        <w:tc>
          <w:tcPr>
            <w:tcW w:w="17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7600" w:type="dxa"/>
            <w:vAlign w:val="bottom"/>
          </w:tcPr>
          <w:p>
            <w:pPr>
              <w:ind w:left="200"/>
              <w:spacing w:after="0"/>
              <w:rPr>
                <w:sz w:val="20"/>
                <w:szCs w:val="20"/>
                <w:color w:val="auto"/>
              </w:rPr>
            </w:pPr>
            <w:r>
              <w:rPr>
                <w:rFonts w:ascii="Arial" w:cs="Arial" w:eastAsia="Arial" w:hAnsi="Arial"/>
                <w:sz w:val="18"/>
                <w:szCs w:val="18"/>
                <w:color w:val="auto"/>
                <w:w w:val="90"/>
              </w:rPr>
              <w:t>Common stock, par value $.000001, 120,000 shares authorized, 72,734 and 72,069 shares issued and</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outstanding</w:t>
            </w:r>
          </w:p>
        </w:tc>
        <w:tc>
          <w:tcPr>
            <w:tcW w:w="160" w:type="dxa"/>
            <w:vAlign w:val="bottom"/>
          </w:tcPr>
          <w:p>
            <w:pPr>
              <w:spacing w:after="0"/>
              <w:rPr>
                <w:sz w:val="20"/>
                <w:szCs w:val="20"/>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520,446</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511,063</w:t>
            </w:r>
          </w:p>
        </w:tc>
        <w:tc>
          <w:tcPr>
            <w:tcW w:w="10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20"/>
                <w:szCs w:val="20"/>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(18,435 )</w:t>
            </w:r>
          </w:p>
        </w:tc>
        <w:tc>
          <w:tcPr>
            <w:tcW w:w="160" w:type="dxa"/>
            <w:vAlign w:val="bottom"/>
          </w:tcPr>
          <w:p>
            <w:pPr>
              <w:spacing w:after="0"/>
              <w:rPr>
                <w:sz w:val="20"/>
                <w:szCs w:val="20"/>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(10,077 )</w:t>
            </w: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FF0FC"/>
          </w:tcPr>
          <w:p>
            <w:pPr>
              <w:spacing w:after="0"/>
              <w:rPr>
                <w:sz w:val="21"/>
                <w:szCs w:val="21"/>
                <w:color w:val="auto"/>
              </w:rPr>
            </w:pPr>
          </w:p>
        </w:tc>
        <w:tc>
          <w:tcPr>
            <w:tcW w:w="17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(138,387 )</w:t>
            </w:r>
          </w:p>
        </w:tc>
        <w:tc>
          <w:tcPr>
            <w:tcW w:w="16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(120,453 )</w:t>
            </w:r>
          </w:p>
        </w:tc>
      </w:tr>
      <w:tr>
        <w:trPr>
          <w:trHeight w:val="236"/>
        </w:trPr>
        <w:tc>
          <w:tcPr>
            <w:tcW w:w="760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363,624</w:t>
            </w:r>
          </w:p>
        </w:tc>
        <w:tc>
          <w:tcPr>
            <w:tcW w:w="30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380,533</w:t>
            </w:r>
          </w:p>
        </w:tc>
        <w:tc>
          <w:tcPr>
            <w:tcW w:w="100" w:type="dxa"/>
            <w:vAlign w:val="bottom"/>
            <w:tcBorders>
              <w:top w:val="single" w:sz="8" w:color="CFF0FC"/>
            </w:tcBorders>
          </w:tcPr>
          <w:p>
            <w:pPr>
              <w:spacing w:after="0"/>
              <w:rPr>
                <w:sz w:val="20"/>
                <w:szCs w:val="20"/>
                <w:color w:val="auto"/>
              </w:rPr>
            </w:pPr>
          </w:p>
        </w:tc>
      </w:tr>
      <w:tr>
        <w:trPr>
          <w:trHeight w:val="276"/>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444,708</w:t>
            </w:r>
          </w:p>
        </w:tc>
        <w:tc>
          <w:tcPr>
            <w:tcW w:w="3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460,990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-4577080</wp:posOffset>
            </wp:positionV>
            <wp:extent cx="76835" cy="1714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4">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-4577080</wp:posOffset>
            </wp:positionV>
            <wp:extent cx="68580" cy="1714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-4251325</wp:posOffset>
            </wp:positionV>
            <wp:extent cx="1276985" cy="1803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6">
                      <a:extLst>
                        <a:ext uri="{28A0092B-C50C-407E-A947-70E740481C1C}"/>
                      </a:extLst>
                    </a:blip>
                    <a:srcRect/>
                    <a:stretch>
                      <a:fillRect/>
                    </a:stretch>
                  </pic:blipFill>
                  <pic:spPr bwMode="auto">
                    <a:xfrm>
                      <a:off x="0" y="0"/>
                      <a:ext cx="1276985" cy="18034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-2990850</wp:posOffset>
            </wp:positionV>
            <wp:extent cx="76835" cy="1631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7">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-2990850</wp:posOffset>
            </wp:positionV>
            <wp:extent cx="68580" cy="1631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-1739265</wp:posOffset>
            </wp:positionV>
            <wp:extent cx="76835" cy="1714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9">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-1739265</wp:posOffset>
            </wp:positionV>
            <wp:extent cx="68580" cy="1714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-350520</wp:posOffset>
            </wp:positionV>
            <wp:extent cx="76835" cy="1714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1">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-24765</wp:posOffset>
            </wp:positionV>
            <wp:extent cx="7683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-8255</wp:posOffset>
            </wp:positionV>
            <wp:extent cx="7683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8" w:name="page79"/>
    <w:bookmarkEnd w:id="78"/>
    <w:p>
      <w:pPr>
        <w:jc w:val="center"/>
        <w:ind w:right="40"/>
        <w:spacing w:after="0"/>
        <w:rPr>
          <w:sz w:val="20"/>
          <w:szCs w:val="20"/>
          <w:color w:val="auto"/>
        </w:rPr>
      </w:pPr>
      <w:r>
        <w:rPr>
          <w:rFonts w:ascii="Arial" w:cs="Arial" w:eastAsia="Arial" w:hAnsi="Arial"/>
          <w:sz w:val="18"/>
          <w:szCs w:val="18"/>
          <w:b w:val="1"/>
          <w:bCs w:val="1"/>
          <w:color w:val="auto"/>
        </w:rPr>
        <w:t>ORASURE TECHNOLOGIES,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For the years ended December 31,</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REVENUES:</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6620" w:type="dxa"/>
            <w:vAlign w:val="bottom"/>
          </w:tcPr>
          <w:p>
            <w:pPr>
              <w:ind w:left="200"/>
              <w:spacing w:after="0"/>
              <w:rPr>
                <w:sz w:val="20"/>
                <w:szCs w:val="20"/>
                <w:color w:val="auto"/>
              </w:rPr>
            </w:pPr>
            <w:r>
              <w:rPr>
                <w:rFonts w:ascii="Arial" w:cs="Arial" w:eastAsia="Arial" w:hAnsi="Arial"/>
                <w:sz w:val="18"/>
                <w:szCs w:val="18"/>
                <w:color w:val="auto"/>
              </w:rPr>
              <w:t>Products and services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378,047</w:t>
            </w:r>
          </w:p>
        </w:tc>
        <w:tc>
          <w:tcPr>
            <w:tcW w:w="28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226,897</w:t>
            </w:r>
          </w:p>
        </w:tc>
        <w:tc>
          <w:tcPr>
            <w:tcW w:w="24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166,381</w:t>
            </w:r>
          </w:p>
        </w:tc>
        <w:tc>
          <w:tcPr>
            <w:tcW w:w="100" w:type="dxa"/>
            <w:vAlign w:val="bottom"/>
          </w:tcPr>
          <w:p>
            <w:pPr>
              <w:spacing w:after="0"/>
              <w:rPr>
                <w:sz w:val="20"/>
                <w:szCs w:val="20"/>
                <w:color w:val="auto"/>
              </w:rPr>
            </w:pPr>
          </w:p>
        </w:tc>
      </w:tr>
      <w:tr>
        <w:trPr>
          <w:trHeight w:val="249"/>
        </w:trPr>
        <w:tc>
          <w:tcPr>
            <w:tcW w:w="66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9,432</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6,777</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6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387,479</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233,674</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171,721</w:t>
            </w:r>
          </w:p>
        </w:tc>
        <w:tc>
          <w:tcPr>
            <w:tcW w:w="100" w:type="dxa"/>
            <w:vAlign w:val="bottom"/>
          </w:tcPr>
          <w:p>
            <w:pPr>
              <w:spacing w:after="0"/>
              <w:rPr>
                <w:sz w:val="20"/>
                <w:szCs w:val="20"/>
                <w:color w:val="auto"/>
              </w:rPr>
            </w:pPr>
          </w:p>
        </w:tc>
      </w:tr>
      <w:tr>
        <w:trPr>
          <w:trHeight w:val="249"/>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COST OF PRODUCTS AND SERVICES SOLD</w:t>
            </w: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239,842</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116,074</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69,853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620" w:type="dxa"/>
            <w:vAlign w:val="bottom"/>
          </w:tcPr>
          <w:p>
            <w:pPr>
              <w:ind w:left="20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147,637</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117,600</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101,868</w:t>
            </w:r>
          </w:p>
        </w:tc>
        <w:tc>
          <w:tcPr>
            <w:tcW w:w="100" w:type="dxa"/>
            <w:vAlign w:val="bottom"/>
          </w:tcPr>
          <w:p>
            <w:pPr>
              <w:spacing w:after="0"/>
              <w:rPr>
                <w:sz w:val="20"/>
                <w:szCs w:val="20"/>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66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36,237</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34,170</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31,032</w:t>
            </w:r>
          </w:p>
        </w:tc>
        <w:tc>
          <w:tcPr>
            <w:tcW w:w="100" w:type="dxa"/>
            <w:vAlign w:val="bottom"/>
          </w:tcPr>
          <w:p>
            <w:pPr>
              <w:spacing w:after="0"/>
              <w:rPr>
                <w:sz w:val="20"/>
                <w:szCs w:val="20"/>
                <w:color w:val="auto"/>
              </w:rPr>
            </w:pPr>
          </w:p>
        </w:tc>
      </w:tr>
      <w:tr>
        <w:trPr>
          <w:trHeight w:val="249"/>
        </w:trPr>
        <w:tc>
          <w:tcPr>
            <w:tcW w:w="6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Sales and marketing</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49,238</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44,751</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34,459</w:t>
            </w:r>
          </w:p>
        </w:tc>
        <w:tc>
          <w:tcPr>
            <w:tcW w:w="100" w:type="dxa"/>
            <w:vAlign w:val="bottom"/>
            <w:shd w:val="clear" w:color="auto" w:fill="CFF0FC"/>
          </w:tcPr>
          <w:p>
            <w:pPr>
              <w:spacing w:after="0"/>
              <w:rPr>
                <w:sz w:val="21"/>
                <w:szCs w:val="21"/>
                <w:color w:val="auto"/>
              </w:rPr>
            </w:pPr>
          </w:p>
        </w:tc>
      </w:tr>
      <w:tr>
        <w:trPr>
          <w:trHeight w:val="237"/>
        </w:trPr>
        <w:tc>
          <w:tcPr>
            <w:tcW w:w="662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68,206</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50,328</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42,653</w:t>
            </w:r>
          </w:p>
        </w:tc>
        <w:tc>
          <w:tcPr>
            <w:tcW w:w="100" w:type="dxa"/>
            <w:vAlign w:val="bottom"/>
          </w:tcPr>
          <w:p>
            <w:pPr>
              <w:spacing w:after="0"/>
              <w:rPr>
                <w:sz w:val="20"/>
                <w:szCs w:val="20"/>
                <w:color w:val="auto"/>
              </w:rPr>
            </w:pPr>
          </w:p>
        </w:tc>
      </w:tr>
      <w:tr>
        <w:trPr>
          <w:trHeight w:val="249"/>
        </w:trPr>
        <w:tc>
          <w:tcPr>
            <w:tcW w:w="6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Loss on impairments</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17,101</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43"/>
        </w:trPr>
        <w:tc>
          <w:tcPr>
            <w:tcW w:w="6620" w:type="dxa"/>
            <w:vAlign w:val="bottom"/>
          </w:tcPr>
          <w:p>
            <w:pPr>
              <w:ind w:left="200"/>
              <w:spacing w:after="0"/>
              <w:rPr>
                <w:sz w:val="20"/>
                <w:szCs w:val="20"/>
                <w:color w:val="auto"/>
              </w:rPr>
            </w:pPr>
            <w:r>
              <w:rPr>
                <w:rFonts w:ascii="Arial" w:cs="Arial" w:eastAsia="Arial" w:hAnsi="Arial"/>
                <w:sz w:val="18"/>
                <w:szCs w:val="18"/>
                <w:color w:val="auto"/>
                <w:w w:val="99"/>
              </w:rPr>
              <w:t>Change in the estimated fair value of acquisition-related contingent consideration</w:t>
            </w:r>
          </w:p>
        </w:tc>
        <w:tc>
          <w:tcPr>
            <w:tcW w:w="320" w:type="dxa"/>
            <w:vAlign w:val="bottom"/>
          </w:tcPr>
          <w:p>
            <w:pPr>
              <w:spacing w:after="0"/>
              <w:rPr>
                <w:sz w:val="21"/>
                <w:szCs w:val="21"/>
                <w:color w:val="auto"/>
              </w:rPr>
            </w:pPr>
          </w:p>
        </w:tc>
        <w:tc>
          <w:tcPr>
            <w:tcW w:w="1300" w:type="dxa"/>
            <w:vAlign w:val="bottom"/>
            <w:gridSpan w:val="2"/>
          </w:tcPr>
          <w:p>
            <w:pPr>
              <w:jc w:val="right"/>
              <w:ind w:right="110"/>
              <w:spacing w:after="0"/>
              <w:rPr>
                <w:sz w:val="20"/>
                <w:szCs w:val="20"/>
                <w:color w:val="auto"/>
              </w:rPr>
            </w:pPr>
            <w:r>
              <w:rPr>
                <w:rFonts w:ascii="Arial" w:cs="Arial" w:eastAsia="Arial" w:hAnsi="Arial"/>
                <w:sz w:val="18"/>
                <w:szCs w:val="18"/>
                <w:color w:val="auto"/>
              </w:rPr>
              <w:t>(188 )</w:t>
            </w:r>
          </w:p>
        </w:tc>
        <w:tc>
          <w:tcPr>
            <w:tcW w:w="320" w:type="dxa"/>
            <w:vAlign w:val="bottom"/>
          </w:tcPr>
          <w:p>
            <w:pPr>
              <w:spacing w:after="0"/>
              <w:rPr>
                <w:sz w:val="21"/>
                <w:szCs w:val="21"/>
                <w:color w:val="auto"/>
              </w:rPr>
            </w:pPr>
          </w:p>
        </w:tc>
        <w:tc>
          <w:tcPr>
            <w:tcW w:w="1240" w:type="dxa"/>
            <w:vAlign w:val="bottom"/>
            <w:gridSpan w:val="2"/>
          </w:tcPr>
          <w:p>
            <w:pPr>
              <w:jc w:val="right"/>
              <w:ind w:right="101"/>
              <w:spacing w:after="0"/>
              <w:rPr>
                <w:sz w:val="20"/>
                <w:szCs w:val="20"/>
                <w:color w:val="auto"/>
              </w:rPr>
            </w:pPr>
            <w:r>
              <w:rPr>
                <w:rFonts w:ascii="Arial" w:cs="Arial" w:eastAsia="Arial" w:hAnsi="Arial"/>
                <w:sz w:val="18"/>
                <w:szCs w:val="18"/>
                <w:color w:val="auto"/>
              </w:rPr>
              <w:t>(1,485 )</w:t>
            </w:r>
          </w:p>
        </w:tc>
        <w:tc>
          <w:tcPr>
            <w:tcW w:w="32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(1,099 )</w:t>
            </w:r>
          </w:p>
        </w:tc>
      </w:tr>
      <w:tr>
        <w:trPr>
          <w:trHeight w:val="230"/>
        </w:trPr>
        <w:tc>
          <w:tcPr>
            <w:tcW w:w="66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170,594</w:t>
            </w:r>
          </w:p>
        </w:tc>
        <w:tc>
          <w:tcPr>
            <w:tcW w:w="2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127,764</w:t>
            </w: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107,045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6620" w:type="dxa"/>
            <w:vAlign w:val="bottom"/>
          </w:tcPr>
          <w:p>
            <w:pPr>
              <w:ind w:left="200"/>
              <w:spacing w:after="0"/>
              <w:rPr>
                <w:sz w:val="20"/>
                <w:szCs w:val="20"/>
                <w:color w:val="auto"/>
              </w:rPr>
            </w:pPr>
            <w:r>
              <w:rPr>
                <w:rFonts w:ascii="Arial" w:cs="Arial" w:eastAsia="Arial" w:hAnsi="Arial"/>
                <w:sz w:val="18"/>
                <w:szCs w:val="18"/>
                <w:color w:val="auto"/>
              </w:rPr>
              <w:t>Operating loss</w:t>
            </w:r>
          </w:p>
        </w:tc>
        <w:tc>
          <w:tcPr>
            <w:tcW w:w="320" w:type="dxa"/>
            <w:vAlign w:val="bottom"/>
          </w:tcPr>
          <w:p>
            <w:pPr>
              <w:spacing w:after="0"/>
              <w:rPr>
                <w:sz w:val="20"/>
                <w:szCs w:val="20"/>
                <w:color w:val="auto"/>
              </w:rPr>
            </w:pPr>
          </w:p>
        </w:tc>
        <w:tc>
          <w:tcPr>
            <w:tcW w:w="1300" w:type="dxa"/>
            <w:vAlign w:val="bottom"/>
            <w:gridSpan w:val="2"/>
          </w:tcPr>
          <w:p>
            <w:pPr>
              <w:jc w:val="right"/>
              <w:ind w:right="110"/>
              <w:spacing w:after="0"/>
              <w:rPr>
                <w:sz w:val="20"/>
                <w:szCs w:val="20"/>
                <w:color w:val="auto"/>
              </w:rPr>
            </w:pPr>
            <w:r>
              <w:rPr>
                <w:rFonts w:ascii="Arial" w:cs="Arial" w:eastAsia="Arial" w:hAnsi="Arial"/>
                <w:sz w:val="18"/>
                <w:szCs w:val="18"/>
                <w:color w:val="auto"/>
              </w:rPr>
              <w:t>(22,957 )</w:t>
            </w:r>
          </w:p>
        </w:tc>
        <w:tc>
          <w:tcPr>
            <w:tcW w:w="320" w:type="dxa"/>
            <w:vAlign w:val="bottom"/>
          </w:tcPr>
          <w:p>
            <w:pPr>
              <w:spacing w:after="0"/>
              <w:rPr>
                <w:sz w:val="20"/>
                <w:szCs w:val="20"/>
                <w:color w:val="auto"/>
              </w:rPr>
            </w:pPr>
          </w:p>
        </w:tc>
        <w:tc>
          <w:tcPr>
            <w:tcW w:w="1240" w:type="dxa"/>
            <w:vAlign w:val="bottom"/>
            <w:gridSpan w:val="2"/>
          </w:tcPr>
          <w:p>
            <w:pPr>
              <w:jc w:val="right"/>
              <w:ind w:right="101"/>
              <w:spacing w:after="0"/>
              <w:rPr>
                <w:sz w:val="20"/>
                <w:szCs w:val="20"/>
                <w:color w:val="auto"/>
              </w:rPr>
            </w:pPr>
            <w:r>
              <w:rPr>
                <w:rFonts w:ascii="Arial" w:cs="Arial" w:eastAsia="Arial" w:hAnsi="Arial"/>
                <w:sz w:val="18"/>
                <w:szCs w:val="18"/>
                <w:color w:val="auto"/>
              </w:rPr>
              <w:t>(10,164 )</w:t>
            </w:r>
          </w:p>
        </w:tc>
        <w:tc>
          <w:tcPr>
            <w:tcW w:w="3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(5,177 )</w:t>
            </w:r>
          </w:p>
        </w:tc>
      </w:tr>
      <w:tr>
        <w:trPr>
          <w:trHeight w:val="249"/>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INCOME</w:t>
            </w: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6,481</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872</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6620" w:type="dxa"/>
            <w:vAlign w:val="bottom"/>
          </w:tcPr>
          <w:p>
            <w:pPr>
              <w:ind w:left="200"/>
              <w:spacing w:after="0"/>
              <w:rPr>
                <w:sz w:val="20"/>
                <w:szCs w:val="20"/>
                <w:color w:val="auto"/>
              </w:rPr>
            </w:pPr>
            <w:r>
              <w:rPr>
                <w:rFonts w:ascii="Arial" w:cs="Arial" w:eastAsia="Arial" w:hAnsi="Arial"/>
                <w:sz w:val="18"/>
                <w:szCs w:val="18"/>
                <w:color w:val="auto"/>
              </w:rPr>
              <w:t>Loss before income taxes</w:t>
            </w:r>
          </w:p>
        </w:tc>
        <w:tc>
          <w:tcPr>
            <w:tcW w:w="320" w:type="dxa"/>
            <w:vAlign w:val="bottom"/>
          </w:tcPr>
          <w:p>
            <w:pPr>
              <w:spacing w:after="0"/>
              <w:rPr>
                <w:sz w:val="20"/>
                <w:szCs w:val="20"/>
                <w:color w:val="auto"/>
              </w:rPr>
            </w:pPr>
          </w:p>
        </w:tc>
        <w:tc>
          <w:tcPr>
            <w:tcW w:w="1300" w:type="dxa"/>
            <w:vAlign w:val="bottom"/>
            <w:gridSpan w:val="2"/>
          </w:tcPr>
          <w:p>
            <w:pPr>
              <w:jc w:val="right"/>
              <w:ind w:right="110"/>
              <w:spacing w:after="0"/>
              <w:rPr>
                <w:sz w:val="20"/>
                <w:szCs w:val="20"/>
                <w:color w:val="auto"/>
              </w:rPr>
            </w:pPr>
            <w:r>
              <w:rPr>
                <w:rFonts w:ascii="Arial" w:cs="Arial" w:eastAsia="Arial" w:hAnsi="Arial"/>
                <w:sz w:val="18"/>
                <w:szCs w:val="18"/>
                <w:color w:val="auto"/>
              </w:rPr>
              <w:t>(16,476 )</w:t>
            </w:r>
          </w:p>
        </w:tc>
        <w:tc>
          <w:tcPr>
            <w:tcW w:w="320" w:type="dxa"/>
            <w:vAlign w:val="bottom"/>
          </w:tcPr>
          <w:p>
            <w:pPr>
              <w:spacing w:after="0"/>
              <w:rPr>
                <w:sz w:val="20"/>
                <w:szCs w:val="20"/>
                <w:color w:val="auto"/>
              </w:rPr>
            </w:pPr>
          </w:p>
        </w:tc>
        <w:tc>
          <w:tcPr>
            <w:tcW w:w="1240" w:type="dxa"/>
            <w:vAlign w:val="bottom"/>
            <w:gridSpan w:val="2"/>
          </w:tcPr>
          <w:p>
            <w:pPr>
              <w:jc w:val="right"/>
              <w:ind w:right="101"/>
              <w:spacing w:after="0"/>
              <w:rPr>
                <w:sz w:val="20"/>
                <w:szCs w:val="20"/>
                <w:color w:val="auto"/>
              </w:rPr>
            </w:pPr>
            <w:r>
              <w:rPr>
                <w:rFonts w:ascii="Arial" w:cs="Arial" w:eastAsia="Arial" w:hAnsi="Arial"/>
                <w:sz w:val="18"/>
                <w:szCs w:val="18"/>
                <w:color w:val="auto"/>
              </w:rPr>
              <w:t>(9,292 )</w:t>
            </w:r>
          </w:p>
        </w:tc>
        <w:tc>
          <w:tcPr>
            <w:tcW w:w="3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(3,524 )</w:t>
            </w:r>
          </w:p>
        </w:tc>
      </w:tr>
      <w:tr>
        <w:trPr>
          <w:trHeight w:val="249"/>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1,458</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13,706</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11,398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62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10"/>
              <w:spacing w:after="0"/>
              <w:rPr>
                <w:sz w:val="20"/>
                <w:szCs w:val="20"/>
                <w:color w:val="auto"/>
              </w:rPr>
            </w:pPr>
            <w:r>
              <w:rPr>
                <w:rFonts w:ascii="Arial" w:cs="Arial" w:eastAsia="Arial" w:hAnsi="Arial"/>
                <w:sz w:val="18"/>
                <w:szCs w:val="18"/>
                <w:color w:val="auto"/>
              </w:rPr>
              <w:t>(17,934 )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1"/>
              <w:spacing w:after="0"/>
              <w:rPr>
                <w:sz w:val="20"/>
                <w:szCs w:val="20"/>
                <w:color w:val="auto"/>
              </w:rPr>
            </w:pPr>
            <w:r>
              <w:rPr>
                <w:rFonts w:ascii="Arial" w:cs="Arial" w:eastAsia="Arial" w:hAnsi="Arial"/>
                <w:sz w:val="18"/>
                <w:szCs w:val="18"/>
                <w:color w:val="auto"/>
              </w:rPr>
              <w:t>(22,998 )</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(14,922 )</w:t>
            </w:r>
          </w:p>
        </w:tc>
      </w:tr>
      <w:tr>
        <w:trPr>
          <w:trHeight w:val="20"/>
        </w:trPr>
        <w:tc>
          <w:tcPr>
            <w:tcW w:w="6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PER SHARE:</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3"/>
        </w:trPr>
        <w:tc>
          <w:tcPr>
            <w:tcW w:w="6620" w:type="dxa"/>
            <w:vAlign w:val="bottom"/>
          </w:tcPr>
          <w:p>
            <w:pPr>
              <w:ind w:left="20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10"/>
              <w:spacing w:after="0"/>
              <w:rPr>
                <w:sz w:val="20"/>
                <w:szCs w:val="20"/>
                <w:color w:val="auto"/>
              </w:rPr>
            </w:pPr>
            <w:r>
              <w:rPr>
                <w:rFonts w:ascii="Arial" w:cs="Arial" w:eastAsia="Arial" w:hAnsi="Arial"/>
                <w:sz w:val="18"/>
                <w:szCs w:val="18"/>
                <w:color w:val="auto"/>
              </w:rPr>
              <w:t>(0.25 )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1"/>
              <w:spacing w:after="0"/>
              <w:rPr>
                <w:sz w:val="20"/>
                <w:szCs w:val="20"/>
                <w:color w:val="auto"/>
              </w:rPr>
            </w:pPr>
            <w:r>
              <w:rPr>
                <w:rFonts w:ascii="Arial" w:cs="Arial" w:eastAsia="Arial" w:hAnsi="Arial"/>
                <w:sz w:val="18"/>
                <w:szCs w:val="18"/>
                <w:color w:val="auto"/>
              </w:rPr>
              <w:t>(0.32 )</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(0.22 )</w:t>
            </w:r>
          </w:p>
        </w:tc>
      </w:tr>
      <w:tr>
        <w:trPr>
          <w:trHeight w:val="20"/>
        </w:trPr>
        <w:tc>
          <w:tcPr>
            <w:tcW w:w="6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66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(0.25</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(0.32</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17"/>
        </w:trPr>
        <w:tc>
          <w:tcPr>
            <w:tcW w:w="6620" w:type="dxa"/>
            <w:vAlign w:val="bottom"/>
          </w:tcPr>
          <w:p>
            <w:pPr>
              <w:ind w:left="20"/>
              <w:spacing w:after="0"/>
              <w:rPr>
                <w:sz w:val="20"/>
                <w:szCs w:val="20"/>
                <w:color w:val="auto"/>
              </w:rPr>
            </w:pPr>
            <w:r>
              <w:rPr>
                <w:rFonts w:ascii="Arial" w:cs="Arial" w:eastAsia="Arial" w:hAnsi="Arial"/>
                <w:sz w:val="18"/>
                <w:szCs w:val="18"/>
                <w:color w:val="auto"/>
              </w:rPr>
              <w:t>SHARES USED IN COMPUTING LOSS PER SHARE:</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9"/>
        </w:trPr>
        <w:tc>
          <w:tcPr>
            <w:tcW w:w="66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72,505</w:t>
            </w: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71,981</w:t>
            </w:r>
          </w:p>
        </w:tc>
        <w:tc>
          <w:tcPr>
            <w:tcW w:w="2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67,505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4"/>
        </w:trPr>
        <w:tc>
          <w:tcPr>
            <w:tcW w:w="6620" w:type="dxa"/>
            <w:vAlign w:val="bottom"/>
          </w:tcPr>
          <w:p>
            <w:pPr>
              <w:ind w:left="20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72,505</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71,981</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67,505</w:t>
            </w:r>
          </w:p>
        </w:tc>
        <w:tc>
          <w:tcPr>
            <w:tcW w:w="10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-3428365</wp:posOffset>
            </wp:positionV>
            <wp:extent cx="77470" cy="1631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8">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-3428365</wp:posOffset>
            </wp:positionV>
            <wp:extent cx="68580" cy="1631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-3428365</wp:posOffset>
            </wp:positionV>
            <wp:extent cx="68580" cy="1631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-3110865</wp:posOffset>
            </wp:positionV>
            <wp:extent cx="77470" cy="1714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1">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-3110865</wp:posOffset>
            </wp:positionV>
            <wp:extent cx="68580" cy="1714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-3110865</wp:posOffset>
            </wp:positionV>
            <wp:extent cx="68580" cy="1714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-1851025</wp:posOffset>
            </wp:positionV>
            <wp:extent cx="77470" cy="1631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4">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-1851025</wp:posOffset>
            </wp:positionV>
            <wp:extent cx="68580" cy="1631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16319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-1534160</wp:posOffset>
            </wp:positionV>
            <wp:extent cx="77470" cy="1631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7">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-1534160</wp:posOffset>
            </wp:positionV>
            <wp:extent cx="68580" cy="1631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-1534160</wp:posOffset>
            </wp:positionV>
            <wp:extent cx="68580" cy="1631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-1216660</wp:posOffset>
            </wp:positionV>
            <wp:extent cx="77470" cy="1885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0">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-1216660</wp:posOffset>
            </wp:positionV>
            <wp:extent cx="68580" cy="1885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1885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-539115</wp:posOffset>
            </wp:positionV>
            <wp:extent cx="2082800" cy="1797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3">
                      <a:extLst>
                        <a:ext uri="{28A0092B-C50C-407E-A947-70E740481C1C}"/>
                      </a:extLst>
                    </a:blip>
                    <a:srcRect/>
                    <a:stretch>
                      <a:fillRect/>
                    </a:stretch>
                  </pic:blipFill>
                  <pic:spPr bwMode="auto">
                    <a:xfrm>
                      <a:off x="0" y="0"/>
                      <a:ext cx="2082800" cy="17970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-205105</wp:posOffset>
            </wp:positionV>
            <wp:extent cx="2082800" cy="2057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4">
                      <a:extLst>
                        <a:ext uri="{28A0092B-C50C-407E-A947-70E740481C1C}"/>
                      </a:extLst>
                    </a:blip>
                    <a:srcRect/>
                    <a:stretch>
                      <a:fillRect/>
                    </a:stretch>
                  </pic:blipFill>
                  <pic:spPr bwMode="auto">
                    <a:xfrm>
                      <a:off x="0" y="0"/>
                      <a:ext cx="2082800" cy="20574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9" w:name="page80"/>
    <w:bookmarkEnd w:id="79"/>
    <w:p>
      <w:pPr>
        <w:jc w:val="center"/>
        <w:ind w:right="40"/>
        <w:spacing w:after="0" w:line="266" w:lineRule="auto"/>
        <w:rPr>
          <w:sz w:val="20"/>
          <w:szCs w:val="20"/>
          <w:color w:val="auto"/>
        </w:rPr>
      </w:pPr>
      <w:r>
        <w:rPr>
          <w:rFonts w:ascii="Arial" w:cs="Arial" w:eastAsia="Arial" w:hAnsi="Arial"/>
          <w:sz w:val="18"/>
          <w:szCs w:val="18"/>
          <w:b w:val="1"/>
          <w:bCs w:val="1"/>
          <w:color w:val="auto"/>
        </w:rPr>
        <w:t>ORASURE TECHNOLOGIES, INC. AND SUBSIDIARIES CONSOLIDATED STATEMENTS OF COMPREHENSIVE INCOME (LOSS)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For the years ended December 31,</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(17,934</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(22,998</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(14,922</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662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Currency translation adjustments</w:t>
            </w: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(8,572 )</w:t>
            </w:r>
          </w:p>
        </w:tc>
        <w:tc>
          <w:tcPr>
            <w:tcW w:w="3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(894 )</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3,273</w:t>
            </w:r>
          </w:p>
        </w:tc>
        <w:tc>
          <w:tcPr>
            <w:tcW w:w="100" w:type="dxa"/>
            <w:vAlign w:val="bottom"/>
            <w:shd w:val="clear" w:color="auto" w:fill="CFF0FC"/>
          </w:tcPr>
          <w:p>
            <w:pPr>
              <w:spacing w:after="0"/>
              <w:rPr>
                <w:sz w:val="21"/>
                <w:szCs w:val="21"/>
                <w:color w:val="auto"/>
              </w:rPr>
            </w:pPr>
          </w:p>
        </w:tc>
      </w:tr>
      <w:tr>
        <w:trPr>
          <w:trHeight w:val="243"/>
        </w:trPr>
        <w:tc>
          <w:tcPr>
            <w:tcW w:w="6620" w:type="dxa"/>
            <w:vAlign w:val="bottom"/>
          </w:tcPr>
          <w:p>
            <w:pPr>
              <w:ind w:left="200"/>
              <w:spacing w:after="0"/>
              <w:rPr>
                <w:sz w:val="20"/>
                <w:szCs w:val="20"/>
                <w:color w:val="auto"/>
              </w:rPr>
            </w:pPr>
            <w:r>
              <w:rPr>
                <w:rFonts w:ascii="Arial" w:cs="Arial" w:eastAsia="Arial" w:hAnsi="Arial"/>
                <w:sz w:val="18"/>
                <w:szCs w:val="18"/>
                <w:color w:val="auto"/>
              </w:rPr>
              <w:t>Unrealized gain (loss) on marketable securities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214</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2"/>
          </w:tcPr>
          <w:p>
            <w:pPr>
              <w:jc w:val="right"/>
              <w:ind w:right="101"/>
              <w:spacing w:after="0"/>
              <w:rPr>
                <w:sz w:val="20"/>
                <w:szCs w:val="20"/>
                <w:color w:val="auto"/>
              </w:rPr>
            </w:pPr>
            <w:r>
              <w:rPr>
                <w:rFonts w:ascii="Arial" w:cs="Arial" w:eastAsia="Arial" w:hAnsi="Arial"/>
                <w:sz w:val="18"/>
                <w:szCs w:val="18"/>
                <w:color w:val="auto"/>
              </w:rPr>
              <w:t>(86 )</w:t>
            </w:r>
          </w:p>
        </w:tc>
        <w:tc>
          <w:tcPr>
            <w:tcW w:w="32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(234 )</w:t>
            </w:r>
          </w:p>
        </w:tc>
      </w:tr>
      <w:tr>
        <w:trPr>
          <w:trHeight w:val="277"/>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COMPREHENSIVE LOSS</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(26,292</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(23,978</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(11,883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-24765</wp:posOffset>
            </wp:positionV>
            <wp:extent cx="7747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7747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0" w:name="page81"/>
    <w:bookmarkEnd w:id="80"/>
    <w:p>
      <w:pPr>
        <w:jc w:val="center"/>
        <w:ind w:right="40"/>
        <w:spacing w:after="0"/>
        <w:rPr>
          <w:sz w:val="20"/>
          <w:szCs w:val="20"/>
          <w:color w:val="auto"/>
        </w:rPr>
      </w:pPr>
      <w:r>
        <w:rPr>
          <w:rFonts w:ascii="Arial" w:cs="Arial" w:eastAsia="Arial" w:hAnsi="Arial"/>
          <w:sz w:val="18"/>
          <w:szCs w:val="18"/>
          <w:b w:val="1"/>
          <w:bCs w:val="1"/>
          <w:color w:val="auto"/>
        </w:rPr>
        <w:t>ORASURE TECHNOLOGIES,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years ended December 31, 2022, 2021 and 2020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11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gridSpan w:val="4"/>
            <w:vMerge w:val="restart"/>
          </w:tcPr>
          <w:p>
            <w:pPr>
              <w:jc w:val="right"/>
              <w:ind w:right="414"/>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118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tcBorders>
              <w:bottom w:val="single" w:sz="8" w:color="auto"/>
            </w:tcBorders>
            <w:gridSpan w:val="4"/>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8"/>
              </w:rPr>
              <w:t>Paid-in</w:t>
            </w:r>
          </w:p>
        </w:tc>
        <w:tc>
          <w:tcPr>
            <w:tcW w:w="12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3"/>
          </w:tcPr>
          <w:p>
            <w:pPr>
              <w:ind w:left="320"/>
              <w:spacing w:after="0"/>
              <w:rPr>
                <w:sz w:val="20"/>
                <w:szCs w:val="20"/>
                <w:color w:val="auto"/>
              </w:rPr>
            </w:pPr>
            <w:r>
              <w:rPr>
                <w:rFonts w:ascii="Arial" w:cs="Arial" w:eastAsia="Arial" w:hAnsi="Arial"/>
                <w:sz w:val="14"/>
                <w:szCs w:val="14"/>
                <w:b w:val="1"/>
                <w:bCs w:val="1"/>
                <w:color w:val="auto"/>
              </w:rPr>
              <w:t>Shares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4"/>
                <w:szCs w:val="14"/>
                <w:color w:val="auto"/>
              </w:rPr>
            </w:pPr>
          </w:p>
        </w:tc>
        <w:tc>
          <w:tcPr>
            <w:tcW w:w="11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4"/>
                <w:szCs w:val="14"/>
                <w:color w:val="auto"/>
              </w:rPr>
            </w:pPr>
          </w:p>
        </w:tc>
        <w:tc>
          <w:tcPr>
            <w:tcW w:w="11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Deficit</w:t>
            </w:r>
          </w:p>
        </w:tc>
        <w:tc>
          <w:tcPr>
            <w:tcW w:w="24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7"/>
        </w:trPr>
        <w:tc>
          <w:tcPr>
            <w:tcW w:w="352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January 1, 2020</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61,731</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jc w:val="right"/>
              <w:ind w:right="674"/>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401,814</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(12,136</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(82,533</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307,145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520" w:type="dxa"/>
            <w:vAlign w:val="bottom"/>
            <w:gridSpan w:val="2"/>
          </w:tcPr>
          <w:p>
            <w:pPr>
              <w:ind w:left="20"/>
              <w:spacing w:after="0"/>
              <w:rPr>
                <w:sz w:val="20"/>
                <w:szCs w:val="20"/>
                <w:color w:val="auto"/>
              </w:rPr>
            </w:pPr>
            <w:r>
              <w:rPr>
                <w:rFonts w:ascii="Arial" w:cs="Arial" w:eastAsia="Arial" w:hAnsi="Arial"/>
                <w:sz w:val="18"/>
                <w:szCs w:val="18"/>
                <w:color w:val="auto"/>
              </w:rPr>
              <w:t>Common stock issued upon exercise</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520" w:type="dxa"/>
            <w:vAlign w:val="bottom"/>
            <w:gridSpan w:val="2"/>
          </w:tcPr>
          <w:p>
            <w:pPr>
              <w:ind w:left="160"/>
              <w:spacing w:after="0"/>
              <w:rPr>
                <w:sz w:val="20"/>
                <w:szCs w:val="20"/>
                <w:color w:val="auto"/>
              </w:rPr>
            </w:pPr>
            <w:r>
              <w:rPr>
                <w:rFonts w:ascii="Arial" w:cs="Arial" w:eastAsia="Arial" w:hAnsi="Arial"/>
                <w:sz w:val="18"/>
                <w:szCs w:val="18"/>
                <w:color w:val="auto"/>
              </w:rPr>
              <w:t>of options</w:t>
            </w:r>
          </w:p>
        </w:tc>
        <w:tc>
          <w:tcPr>
            <w:tcW w:w="1060" w:type="dxa"/>
            <w:vAlign w:val="bottom"/>
          </w:tcPr>
          <w:p>
            <w:pPr>
              <w:jc w:val="right"/>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5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Vesting of restricted stock and performance</w:t>
            </w: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5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stock units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18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8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520" w:type="dxa"/>
            <w:vAlign w:val="bottom"/>
            <w:gridSpan w:val="2"/>
          </w:tcPr>
          <w:p>
            <w:pPr>
              <w:ind w:left="20"/>
              <w:spacing w:after="0"/>
              <w:rPr>
                <w:sz w:val="20"/>
                <w:szCs w:val="20"/>
                <w:color w:val="auto"/>
              </w:rPr>
            </w:pPr>
            <w:r>
              <w:rPr>
                <w:rFonts w:ascii="Arial" w:cs="Arial" w:eastAsia="Arial" w:hAnsi="Arial"/>
                <w:sz w:val="18"/>
                <w:szCs w:val="18"/>
                <w:color w:val="auto"/>
                <w:w w:val="99"/>
              </w:rPr>
              <w:t>Purchase and retirement of common shares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(248 )</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(2,088 )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(2,088 )</w:t>
            </w:r>
          </w:p>
        </w:tc>
        <w:tc>
          <w:tcPr>
            <w:tcW w:w="0" w:type="dxa"/>
            <w:vAlign w:val="bottom"/>
          </w:tcPr>
          <w:p>
            <w:pPr>
              <w:spacing w:after="0"/>
              <w:rPr>
                <w:sz w:val="1"/>
                <w:szCs w:val="1"/>
                <w:color w:val="auto"/>
              </w:rPr>
            </w:pPr>
          </w:p>
        </w:tc>
      </w:tr>
      <w:tr>
        <w:trPr>
          <w:trHeight w:val="221"/>
        </w:trPr>
        <w:tc>
          <w:tcPr>
            <w:tcW w:w="35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w w:val="96"/>
              </w:rPr>
              <w:t>Issuance of common stock in connection with</w:t>
            </w: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public offering, net of commissions and</w:t>
            </w: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5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expenses of $6,200</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9,200</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95,036</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8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95,036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20" w:type="dxa"/>
            <w:vAlign w:val="bottom"/>
            <w:gridSpan w:val="2"/>
          </w:tcPr>
          <w:p>
            <w:pPr>
              <w:ind w:left="20"/>
              <w:spacing w:after="0"/>
              <w:rPr>
                <w:sz w:val="20"/>
                <w:szCs w:val="20"/>
                <w:color w:val="auto"/>
              </w:rPr>
            </w:pPr>
            <w:r>
              <w:rPr>
                <w:rFonts w:ascii="Arial" w:cs="Arial" w:eastAsia="Arial" w:hAnsi="Arial"/>
                <w:sz w:val="18"/>
                <w:szCs w:val="18"/>
                <w:color w:val="auto"/>
              </w:rPr>
              <w:t>Stock-based compensation</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0"/>
                <w:szCs w:val="20"/>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7,139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5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32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spacing w:after="0"/>
              <w:rPr>
                <w:sz w:val="21"/>
                <w:szCs w:val="21"/>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18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(14,922 )</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(14,922 )</w:t>
            </w:r>
          </w:p>
        </w:tc>
        <w:tc>
          <w:tcPr>
            <w:tcW w:w="0" w:type="dxa"/>
            <w:vAlign w:val="bottom"/>
          </w:tcPr>
          <w:p>
            <w:pPr>
              <w:spacing w:after="0"/>
              <w:rPr>
                <w:sz w:val="1"/>
                <w:szCs w:val="1"/>
                <w:color w:val="auto"/>
              </w:rPr>
            </w:pPr>
          </w:p>
        </w:tc>
      </w:tr>
      <w:tr>
        <w:trPr>
          <w:trHeight w:val="237"/>
        </w:trPr>
        <w:tc>
          <w:tcPr>
            <w:tcW w:w="3520" w:type="dxa"/>
            <w:vAlign w:val="bottom"/>
            <w:gridSpan w:val="2"/>
          </w:tcPr>
          <w:p>
            <w:pPr>
              <w:ind w:left="20"/>
              <w:spacing w:after="0"/>
              <w:rPr>
                <w:sz w:val="20"/>
                <w:szCs w:val="20"/>
                <w:color w:val="auto"/>
              </w:rPr>
            </w:pPr>
            <w:r>
              <w:rPr>
                <w:rFonts w:ascii="Arial" w:cs="Arial" w:eastAsia="Arial" w:hAnsi="Arial"/>
                <w:sz w:val="18"/>
                <w:szCs w:val="18"/>
                <w:color w:val="auto"/>
              </w:rPr>
              <w:t>Currency translation adjustments</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0"/>
                <w:szCs w:val="20"/>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3,273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5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Unrealized loss on marketable securities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(234 )</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8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(234 )</w:t>
            </w:r>
          </w:p>
        </w:tc>
        <w:tc>
          <w:tcPr>
            <w:tcW w:w="0" w:type="dxa"/>
            <w:vAlign w:val="bottom"/>
          </w:tcPr>
          <w:p>
            <w:pPr>
              <w:spacing w:after="0"/>
              <w:rPr>
                <w:sz w:val="1"/>
                <w:szCs w:val="1"/>
                <w:color w:val="auto"/>
              </w:rPr>
            </w:pPr>
          </w:p>
        </w:tc>
      </w:tr>
      <w:tr>
        <w:trPr>
          <w:trHeight w:val="20"/>
        </w:trPr>
        <w:tc>
          <w:tcPr>
            <w:tcW w:w="34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352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1060" w:type="dxa"/>
            <w:vAlign w:val="bottom"/>
          </w:tcPr>
          <w:p>
            <w:pPr>
              <w:jc w:val="right"/>
              <w:spacing w:after="0"/>
              <w:rPr>
                <w:sz w:val="20"/>
                <w:szCs w:val="20"/>
                <w:color w:val="auto"/>
              </w:rPr>
            </w:pPr>
            <w:r>
              <w:rPr>
                <w:rFonts w:ascii="Arial" w:cs="Arial" w:eastAsia="Arial" w:hAnsi="Arial"/>
                <w:sz w:val="18"/>
                <w:szCs w:val="18"/>
                <w:color w:val="auto"/>
              </w:rPr>
              <w:t>71,738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674"/>
              <w:spacing w:after="0"/>
              <w:rPr>
                <w:sz w:val="20"/>
                <w:szCs w:val="20"/>
                <w:color w:val="auto"/>
              </w:rPr>
            </w:pPr>
            <w:r>
              <w:rPr>
                <w:rFonts w:ascii="Arial" w:cs="Arial" w:eastAsia="Arial" w:hAnsi="Arial"/>
                <w:sz w:val="18"/>
                <w:szCs w:val="18"/>
                <w:color w:val="auto"/>
                <w:w w:val="79"/>
              </w:rPr>
              <w:t>$</w:t>
            </w: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240" w:type="dxa"/>
            <w:vAlign w:val="bottom"/>
            <w:gridSpan w:val="2"/>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505,123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(9,097 )</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(97,455 )</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398,571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35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Common stock issued upon exercise</w:t>
            </w: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52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of options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8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520" w:type="dxa"/>
            <w:vAlign w:val="bottom"/>
            <w:gridSpan w:val="2"/>
          </w:tcPr>
          <w:p>
            <w:pPr>
              <w:ind w:left="20"/>
              <w:spacing w:after="0"/>
              <w:rPr>
                <w:sz w:val="20"/>
                <w:szCs w:val="20"/>
                <w:color w:val="auto"/>
              </w:rPr>
            </w:pPr>
            <w:r>
              <w:rPr>
                <w:rFonts w:ascii="Arial" w:cs="Arial" w:eastAsia="Arial" w:hAnsi="Arial"/>
                <w:sz w:val="18"/>
                <w:szCs w:val="18"/>
                <w:color w:val="auto"/>
              </w:rPr>
              <w:t>Vesting of restricted stock and performance</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520" w:type="dxa"/>
            <w:vAlign w:val="bottom"/>
            <w:gridSpan w:val="2"/>
          </w:tcPr>
          <w:p>
            <w:pPr>
              <w:ind w:left="20"/>
              <w:spacing w:after="0"/>
              <w:rPr>
                <w:sz w:val="20"/>
                <w:szCs w:val="20"/>
                <w:color w:val="auto"/>
              </w:rPr>
            </w:pPr>
            <w:r>
              <w:rPr>
                <w:rFonts w:ascii="Arial" w:cs="Arial" w:eastAsia="Arial" w:hAnsi="Arial"/>
                <w:sz w:val="18"/>
                <w:szCs w:val="18"/>
                <w:color w:val="auto"/>
              </w:rPr>
              <w:t>stock units</w:t>
            </w:r>
          </w:p>
        </w:tc>
        <w:tc>
          <w:tcPr>
            <w:tcW w:w="1060" w:type="dxa"/>
            <w:vAlign w:val="bottom"/>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5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w w:val="99"/>
              </w:rPr>
              <w:t>Purchase and retirement of common shares</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(153 )</w:t>
            </w: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(2,113 )</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8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(2,113 )</w:t>
            </w:r>
          </w:p>
        </w:tc>
        <w:tc>
          <w:tcPr>
            <w:tcW w:w="0" w:type="dxa"/>
            <w:vAlign w:val="bottom"/>
          </w:tcPr>
          <w:p>
            <w:pPr>
              <w:spacing w:after="0"/>
              <w:rPr>
                <w:sz w:val="1"/>
                <w:szCs w:val="1"/>
                <w:color w:val="auto"/>
              </w:rPr>
            </w:pPr>
          </w:p>
        </w:tc>
      </w:tr>
      <w:tr>
        <w:trPr>
          <w:trHeight w:val="237"/>
        </w:trPr>
        <w:tc>
          <w:tcPr>
            <w:tcW w:w="3520" w:type="dxa"/>
            <w:vAlign w:val="bottom"/>
            <w:gridSpan w:val="2"/>
          </w:tcPr>
          <w:p>
            <w:pPr>
              <w:ind w:left="20"/>
              <w:spacing w:after="0"/>
              <w:rPr>
                <w:sz w:val="20"/>
                <w:szCs w:val="20"/>
                <w:color w:val="auto"/>
              </w:rPr>
            </w:pPr>
            <w:r>
              <w:rPr>
                <w:rFonts w:ascii="Arial" w:cs="Arial" w:eastAsia="Arial" w:hAnsi="Arial"/>
                <w:sz w:val="18"/>
                <w:szCs w:val="18"/>
                <w:color w:val="auto"/>
              </w:rPr>
              <w:t>Stock-based compensation</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0"/>
                <w:szCs w:val="20"/>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7,807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5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32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spacing w:after="0"/>
              <w:rPr>
                <w:sz w:val="21"/>
                <w:szCs w:val="21"/>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18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(22,998 )</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(22,998 )</w:t>
            </w:r>
          </w:p>
        </w:tc>
        <w:tc>
          <w:tcPr>
            <w:tcW w:w="0" w:type="dxa"/>
            <w:vAlign w:val="bottom"/>
          </w:tcPr>
          <w:p>
            <w:pPr>
              <w:spacing w:after="0"/>
              <w:rPr>
                <w:sz w:val="1"/>
                <w:szCs w:val="1"/>
                <w:color w:val="auto"/>
              </w:rPr>
            </w:pPr>
          </w:p>
        </w:tc>
      </w:tr>
      <w:tr>
        <w:trPr>
          <w:trHeight w:val="237"/>
        </w:trPr>
        <w:tc>
          <w:tcPr>
            <w:tcW w:w="3520" w:type="dxa"/>
            <w:vAlign w:val="bottom"/>
            <w:gridSpan w:val="2"/>
          </w:tcPr>
          <w:p>
            <w:pPr>
              <w:ind w:left="20"/>
              <w:spacing w:after="0"/>
              <w:rPr>
                <w:sz w:val="20"/>
                <w:szCs w:val="20"/>
                <w:color w:val="auto"/>
              </w:rPr>
            </w:pPr>
            <w:r>
              <w:rPr>
                <w:rFonts w:ascii="Arial" w:cs="Arial" w:eastAsia="Arial" w:hAnsi="Arial"/>
                <w:sz w:val="18"/>
                <w:szCs w:val="18"/>
                <w:color w:val="auto"/>
              </w:rPr>
              <w:t>Currency translation adjustments</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0"/>
                <w:szCs w:val="20"/>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(894 )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(894 )</w:t>
            </w:r>
          </w:p>
        </w:tc>
        <w:tc>
          <w:tcPr>
            <w:tcW w:w="0" w:type="dxa"/>
            <w:vAlign w:val="bottom"/>
          </w:tcPr>
          <w:p>
            <w:pPr>
              <w:spacing w:after="0"/>
              <w:rPr>
                <w:sz w:val="1"/>
                <w:szCs w:val="1"/>
                <w:color w:val="auto"/>
              </w:rPr>
            </w:pPr>
          </w:p>
        </w:tc>
      </w:tr>
      <w:tr>
        <w:trPr>
          <w:trHeight w:val="249"/>
        </w:trPr>
        <w:tc>
          <w:tcPr>
            <w:tcW w:w="35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Unrealized loss on marketable securities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(86 )</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8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(86 )</w:t>
            </w:r>
          </w:p>
        </w:tc>
        <w:tc>
          <w:tcPr>
            <w:tcW w:w="0" w:type="dxa"/>
            <w:vAlign w:val="bottom"/>
          </w:tcPr>
          <w:p>
            <w:pPr>
              <w:spacing w:after="0"/>
              <w:rPr>
                <w:sz w:val="1"/>
                <w:szCs w:val="1"/>
                <w:color w:val="auto"/>
              </w:rPr>
            </w:pPr>
          </w:p>
        </w:tc>
      </w:tr>
      <w:tr>
        <w:trPr>
          <w:trHeight w:val="20"/>
        </w:trPr>
        <w:tc>
          <w:tcPr>
            <w:tcW w:w="34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352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1060" w:type="dxa"/>
            <w:vAlign w:val="bottom"/>
          </w:tcPr>
          <w:p>
            <w:pPr>
              <w:jc w:val="right"/>
              <w:spacing w:after="0"/>
              <w:rPr>
                <w:sz w:val="20"/>
                <w:szCs w:val="20"/>
                <w:color w:val="auto"/>
              </w:rPr>
            </w:pPr>
            <w:r>
              <w:rPr>
                <w:rFonts w:ascii="Arial" w:cs="Arial" w:eastAsia="Arial" w:hAnsi="Arial"/>
                <w:sz w:val="18"/>
                <w:szCs w:val="18"/>
                <w:color w:val="auto"/>
              </w:rPr>
              <w:t>72,069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674"/>
              <w:spacing w:after="0"/>
              <w:rPr>
                <w:sz w:val="20"/>
                <w:szCs w:val="20"/>
                <w:color w:val="auto"/>
              </w:rPr>
            </w:pPr>
            <w:r>
              <w:rPr>
                <w:rFonts w:ascii="Arial" w:cs="Arial" w:eastAsia="Arial" w:hAnsi="Arial"/>
                <w:sz w:val="18"/>
                <w:szCs w:val="18"/>
                <w:color w:val="auto"/>
                <w:w w:val="79"/>
              </w:rPr>
              <w:t>$</w:t>
            </w: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240" w:type="dxa"/>
            <w:vAlign w:val="bottom"/>
            <w:gridSpan w:val="2"/>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511,063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(10,077 )</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(120,453 )</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380,533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35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Common stock issued upon exercise</w:t>
            </w: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52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of options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8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520" w:type="dxa"/>
            <w:vAlign w:val="bottom"/>
            <w:gridSpan w:val="2"/>
          </w:tcPr>
          <w:p>
            <w:pPr>
              <w:ind w:left="20"/>
              <w:spacing w:after="0"/>
              <w:rPr>
                <w:sz w:val="20"/>
                <w:szCs w:val="20"/>
                <w:color w:val="auto"/>
              </w:rPr>
            </w:pPr>
            <w:r>
              <w:rPr>
                <w:rFonts w:ascii="Arial" w:cs="Arial" w:eastAsia="Arial" w:hAnsi="Arial"/>
                <w:sz w:val="18"/>
                <w:szCs w:val="18"/>
                <w:color w:val="auto"/>
              </w:rPr>
              <w:t>Vesting of restricted stock and performance</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520" w:type="dxa"/>
            <w:vAlign w:val="bottom"/>
            <w:gridSpan w:val="2"/>
          </w:tcPr>
          <w:p>
            <w:pPr>
              <w:ind w:left="20"/>
              <w:spacing w:after="0"/>
              <w:rPr>
                <w:sz w:val="20"/>
                <w:szCs w:val="20"/>
                <w:color w:val="auto"/>
              </w:rPr>
            </w:pPr>
            <w:r>
              <w:rPr>
                <w:rFonts w:ascii="Arial" w:cs="Arial" w:eastAsia="Arial" w:hAnsi="Arial"/>
                <w:sz w:val="18"/>
                <w:szCs w:val="18"/>
                <w:color w:val="auto"/>
              </w:rPr>
              <w:t>stock units</w:t>
            </w:r>
          </w:p>
        </w:tc>
        <w:tc>
          <w:tcPr>
            <w:tcW w:w="1060" w:type="dxa"/>
            <w:vAlign w:val="bottom"/>
          </w:tcPr>
          <w:p>
            <w:pPr>
              <w:jc w:val="right"/>
              <w:spacing w:after="0"/>
              <w:rPr>
                <w:sz w:val="20"/>
                <w:szCs w:val="20"/>
                <w:color w:val="auto"/>
              </w:rPr>
            </w:pPr>
            <w:r>
              <w:rPr>
                <w:rFonts w:ascii="Arial" w:cs="Arial" w:eastAsia="Arial" w:hAnsi="Arial"/>
                <w:sz w:val="18"/>
                <w:szCs w:val="18"/>
                <w:color w:val="auto"/>
              </w:rPr>
              <w:t>992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5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w w:val="99"/>
              </w:rPr>
              <w:t>Purchase and retirement of common shares</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(329 )</w:t>
            </w: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(2,254 )</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8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(2,254 )</w:t>
            </w:r>
          </w:p>
        </w:tc>
        <w:tc>
          <w:tcPr>
            <w:tcW w:w="0" w:type="dxa"/>
            <w:vAlign w:val="bottom"/>
          </w:tcPr>
          <w:p>
            <w:pPr>
              <w:spacing w:after="0"/>
              <w:rPr>
                <w:sz w:val="1"/>
                <w:szCs w:val="1"/>
                <w:color w:val="auto"/>
              </w:rPr>
            </w:pPr>
          </w:p>
        </w:tc>
      </w:tr>
      <w:tr>
        <w:trPr>
          <w:trHeight w:val="237"/>
        </w:trPr>
        <w:tc>
          <w:tcPr>
            <w:tcW w:w="3520" w:type="dxa"/>
            <w:vAlign w:val="bottom"/>
            <w:gridSpan w:val="2"/>
          </w:tcPr>
          <w:p>
            <w:pPr>
              <w:ind w:left="20"/>
              <w:spacing w:after="0"/>
              <w:rPr>
                <w:sz w:val="20"/>
                <w:szCs w:val="20"/>
                <w:color w:val="auto"/>
              </w:rPr>
            </w:pPr>
            <w:r>
              <w:rPr>
                <w:rFonts w:ascii="Arial" w:cs="Arial" w:eastAsia="Arial" w:hAnsi="Arial"/>
                <w:sz w:val="18"/>
                <w:szCs w:val="18"/>
                <w:color w:val="auto"/>
              </w:rPr>
              <w:t>Stock-based compensation</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0"/>
                <w:szCs w:val="20"/>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11,622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5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32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spacing w:after="0"/>
              <w:rPr>
                <w:sz w:val="21"/>
                <w:szCs w:val="21"/>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18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(17,934 )</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(17,934 )</w:t>
            </w:r>
          </w:p>
        </w:tc>
        <w:tc>
          <w:tcPr>
            <w:tcW w:w="0" w:type="dxa"/>
            <w:vAlign w:val="bottom"/>
          </w:tcPr>
          <w:p>
            <w:pPr>
              <w:spacing w:after="0"/>
              <w:rPr>
                <w:sz w:val="1"/>
                <w:szCs w:val="1"/>
                <w:color w:val="auto"/>
              </w:rPr>
            </w:pPr>
          </w:p>
        </w:tc>
      </w:tr>
      <w:tr>
        <w:trPr>
          <w:trHeight w:val="230"/>
        </w:trPr>
        <w:tc>
          <w:tcPr>
            <w:tcW w:w="3520" w:type="dxa"/>
            <w:vAlign w:val="bottom"/>
            <w:gridSpan w:val="2"/>
          </w:tcPr>
          <w:p>
            <w:pPr>
              <w:ind w:left="20"/>
              <w:spacing w:after="0"/>
              <w:rPr>
                <w:sz w:val="20"/>
                <w:szCs w:val="20"/>
                <w:color w:val="auto"/>
              </w:rPr>
            </w:pPr>
            <w:r>
              <w:rPr>
                <w:rFonts w:ascii="Arial" w:cs="Arial" w:eastAsia="Arial" w:hAnsi="Arial"/>
                <w:sz w:val="18"/>
                <w:szCs w:val="18"/>
                <w:color w:val="auto"/>
              </w:rPr>
              <w:t>Currency translation adjustments</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0"/>
                <w:szCs w:val="20"/>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(8,572 )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(8,572 )</w:t>
            </w:r>
          </w:p>
        </w:tc>
        <w:tc>
          <w:tcPr>
            <w:tcW w:w="0" w:type="dxa"/>
            <w:vAlign w:val="bottom"/>
          </w:tcPr>
          <w:p>
            <w:pPr>
              <w:spacing w:after="0"/>
              <w:rPr>
                <w:sz w:val="1"/>
                <w:szCs w:val="1"/>
                <w:color w:val="auto"/>
              </w:rPr>
            </w:pPr>
          </w:p>
        </w:tc>
      </w:tr>
      <w:tr>
        <w:trPr>
          <w:trHeight w:val="256"/>
        </w:trPr>
        <w:tc>
          <w:tcPr>
            <w:tcW w:w="3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Unrealized gain on marketable securities</w:t>
            </w:r>
          </w:p>
        </w:tc>
        <w:tc>
          <w:tcPr>
            <w:tcW w:w="120" w:type="dxa"/>
            <w:vAlign w:val="bottom"/>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Borders>
              <w:bottom w:val="single" w:sz="8" w:color="auto"/>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FF0FC"/>
            </w:tcBorders>
            <w:shd w:val="clear" w:color="auto" w:fill="CFF0FC"/>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FF0FC"/>
            </w:tcBorders>
            <w:shd w:val="clear" w:color="auto" w:fill="CFF0FC"/>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352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at December 31, 2022</w:t>
            </w:r>
          </w:p>
        </w:tc>
        <w:tc>
          <w:tcPr>
            <w:tcW w:w="1060" w:type="dxa"/>
            <w:vAlign w:val="bottom"/>
          </w:tcPr>
          <w:p>
            <w:pPr>
              <w:jc w:val="right"/>
              <w:spacing w:after="0"/>
              <w:rPr>
                <w:sz w:val="20"/>
                <w:szCs w:val="20"/>
                <w:color w:val="auto"/>
              </w:rPr>
            </w:pPr>
            <w:r>
              <w:rPr>
                <w:rFonts w:ascii="Arial" w:cs="Arial" w:eastAsia="Arial" w:hAnsi="Arial"/>
                <w:sz w:val="18"/>
                <w:szCs w:val="18"/>
                <w:color w:val="auto"/>
              </w:rPr>
              <w:t>72,734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674"/>
              <w:spacing w:after="0"/>
              <w:rPr>
                <w:sz w:val="20"/>
                <w:szCs w:val="20"/>
                <w:color w:val="auto"/>
              </w:rPr>
            </w:pPr>
            <w:r>
              <w:rPr>
                <w:rFonts w:ascii="Arial" w:cs="Arial" w:eastAsia="Arial" w:hAnsi="Arial"/>
                <w:sz w:val="18"/>
                <w:szCs w:val="18"/>
                <w:color w:val="auto"/>
                <w:w w:val="79"/>
              </w:rPr>
              <w:t>$</w:t>
            </w: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520,446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(18,435 )</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(138,387 )</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363,624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-3222625</wp:posOffset>
            </wp:positionV>
            <wp:extent cx="76835" cy="16319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3">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-3222625</wp:posOffset>
            </wp:positionV>
            <wp:extent cx="76835" cy="16319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4">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-3222625</wp:posOffset>
            </wp:positionV>
            <wp:extent cx="68580" cy="1631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-3222625</wp:posOffset>
            </wp:positionV>
            <wp:extent cx="68580" cy="16319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-3222625</wp:posOffset>
            </wp:positionV>
            <wp:extent cx="68580" cy="16319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-3222625</wp:posOffset>
            </wp:positionV>
            <wp:extent cx="68580" cy="16319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-1705610</wp:posOffset>
            </wp:positionV>
            <wp:extent cx="76835" cy="16319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9">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-1705610</wp:posOffset>
            </wp:positionV>
            <wp:extent cx="76835" cy="16319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0">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-1705610</wp:posOffset>
            </wp:positionV>
            <wp:extent cx="68580" cy="16319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-1705610</wp:posOffset>
            </wp:positionV>
            <wp:extent cx="68580" cy="16319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-1705610</wp:posOffset>
            </wp:positionV>
            <wp:extent cx="68580" cy="16319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-1705610</wp:posOffset>
            </wp:positionV>
            <wp:extent cx="68580" cy="16319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-187960</wp:posOffset>
            </wp:positionV>
            <wp:extent cx="76835" cy="18859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5">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-187960</wp:posOffset>
            </wp:positionV>
            <wp:extent cx="76835" cy="18859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6">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-187960</wp:posOffset>
            </wp:positionV>
            <wp:extent cx="68580" cy="18859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-187960</wp:posOffset>
            </wp:positionV>
            <wp:extent cx="68580" cy="18859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-187960</wp:posOffset>
            </wp:positionV>
            <wp:extent cx="68580" cy="18859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ORASURE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7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180" w:type="dxa"/>
            <w:vAlign w:val="bottom"/>
            <w:tcBorders>
              <w:bottom w:val="single" w:sz="8" w:color="auto"/>
            </w:tcBorders>
            <w:gridSpan w:val="9"/>
          </w:tcPr>
          <w:p>
            <w:pPr>
              <w:ind w:left="700"/>
              <w:spacing w:after="0"/>
              <w:rPr>
                <w:sz w:val="20"/>
                <w:szCs w:val="20"/>
                <w:color w:val="auto"/>
              </w:rPr>
            </w:pPr>
            <w:r>
              <w:rPr>
                <w:rFonts w:ascii="Arial" w:cs="Arial" w:eastAsia="Arial" w:hAnsi="Arial"/>
                <w:sz w:val="17"/>
                <w:szCs w:val="17"/>
                <w:b w:val="1"/>
                <w:bCs w:val="1"/>
                <w:color w:val="auto"/>
              </w:rPr>
              <w:t>For the years ended December 31,</w:t>
            </w:r>
          </w:p>
        </w:tc>
      </w:tr>
      <w:tr>
        <w:trPr>
          <w:trHeight w:val="223"/>
        </w:trPr>
        <w:tc>
          <w:tcPr>
            <w:tcW w:w="67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2022</w:t>
            </w: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2021</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8"/>
        </w:trPr>
        <w:tc>
          <w:tcPr>
            <w:tcW w:w="6780" w:type="dxa"/>
            <w:vAlign w:val="bottom"/>
            <w:shd w:val="clear" w:color="auto" w:fill="CFF0FC"/>
          </w:tcPr>
          <w:p>
            <w:pPr>
              <w:ind w:left="20"/>
              <w:spacing w:after="0"/>
              <w:rPr>
                <w:sz w:val="20"/>
                <w:szCs w:val="20"/>
                <w:color w:val="auto"/>
              </w:rPr>
            </w:pPr>
            <w:r>
              <w:rPr>
                <w:rFonts w:ascii="Arial" w:cs="Arial" w:eastAsia="Arial" w:hAnsi="Arial"/>
                <w:sz w:val="17"/>
                <w:szCs w:val="17"/>
                <w:color w:val="auto"/>
              </w:rPr>
              <w:t>OPERATING ACTIVITIES:</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Pr>
          <w:p>
            <w:pPr>
              <w:spacing w:after="0"/>
              <w:rPr>
                <w:sz w:val="19"/>
                <w:szCs w:val="19"/>
                <w:color w:val="auto"/>
              </w:rPr>
            </w:pPr>
          </w:p>
        </w:tc>
      </w:tr>
      <w:tr>
        <w:trPr>
          <w:trHeight w:val="223"/>
        </w:trPr>
        <w:tc>
          <w:tcPr>
            <w:tcW w:w="6780" w:type="dxa"/>
            <w:vAlign w:val="bottom"/>
          </w:tcPr>
          <w:p>
            <w:pPr>
              <w:ind w:left="20"/>
              <w:spacing w:after="0"/>
              <w:rPr>
                <w:sz w:val="20"/>
                <w:szCs w:val="20"/>
                <w:color w:val="auto"/>
              </w:rPr>
            </w:pPr>
            <w:r>
              <w:rPr>
                <w:rFonts w:ascii="Arial" w:cs="Arial" w:eastAsia="Arial" w:hAnsi="Arial"/>
                <w:sz w:val="17"/>
                <w:szCs w:val="17"/>
                <w:color w:val="auto"/>
              </w:rPr>
              <w:t>Net loss</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240" w:type="dxa"/>
            <w:vAlign w:val="bottom"/>
            <w:gridSpan w:val="2"/>
          </w:tcPr>
          <w:p>
            <w:pPr>
              <w:jc w:val="right"/>
              <w:ind w:right="115"/>
              <w:spacing w:after="0"/>
              <w:rPr>
                <w:sz w:val="20"/>
                <w:szCs w:val="20"/>
                <w:color w:val="auto"/>
              </w:rPr>
            </w:pPr>
            <w:r>
              <w:rPr>
                <w:rFonts w:ascii="Arial" w:cs="Arial" w:eastAsia="Arial" w:hAnsi="Arial"/>
                <w:sz w:val="17"/>
                <w:szCs w:val="17"/>
                <w:color w:val="auto"/>
              </w:rPr>
              <w:t>(17,934 )</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(22,998 )</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(14,922 )</w:t>
            </w:r>
          </w:p>
        </w:tc>
        <w:tc>
          <w:tcPr>
            <w:tcW w:w="140" w:type="dxa"/>
            <w:vAlign w:val="bottom"/>
          </w:tcPr>
          <w:p>
            <w:pPr>
              <w:spacing w:after="0"/>
              <w:rPr>
                <w:sz w:val="19"/>
                <w:szCs w:val="19"/>
                <w:color w:val="auto"/>
              </w:rPr>
            </w:pPr>
          </w:p>
        </w:tc>
      </w:tr>
      <w:tr>
        <w:trPr>
          <w:trHeight w:val="236"/>
        </w:trPr>
        <w:tc>
          <w:tcPr>
            <w:tcW w:w="6780" w:type="dxa"/>
            <w:vAlign w:val="bottom"/>
            <w:shd w:val="clear" w:color="auto" w:fill="CFF0FC"/>
          </w:tcPr>
          <w:p>
            <w:pPr>
              <w:ind w:left="200"/>
              <w:spacing w:after="0"/>
              <w:rPr>
                <w:sz w:val="20"/>
                <w:szCs w:val="20"/>
                <w:color w:val="auto"/>
              </w:rPr>
            </w:pPr>
            <w:r>
              <w:rPr>
                <w:rFonts w:ascii="Arial" w:cs="Arial" w:eastAsia="Arial" w:hAnsi="Arial"/>
                <w:sz w:val="17"/>
                <w:szCs w:val="17"/>
                <w:color w:val="auto"/>
              </w:rPr>
              <w:t>Adjustments to reconcile net loss to net cash (used in) provided by operating activities:</w:t>
            </w: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6780" w:type="dxa"/>
            <w:vAlign w:val="bottom"/>
          </w:tcPr>
          <w:p>
            <w:pPr>
              <w:ind w:left="380"/>
              <w:spacing w:after="0"/>
              <w:rPr>
                <w:sz w:val="20"/>
                <w:szCs w:val="20"/>
                <w:color w:val="auto"/>
              </w:rPr>
            </w:pPr>
            <w:r>
              <w:rPr>
                <w:rFonts w:ascii="Arial" w:cs="Arial" w:eastAsia="Arial" w:hAnsi="Arial"/>
                <w:sz w:val="17"/>
                <w:szCs w:val="17"/>
                <w:color w:val="auto"/>
              </w:rPr>
              <w:t>Stock-based compensation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11,622</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7,807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7,139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6"/>
        </w:trPr>
        <w:tc>
          <w:tcPr>
            <w:tcW w:w="6780" w:type="dxa"/>
            <w:vAlign w:val="bottom"/>
            <w:shd w:val="clear" w:color="auto" w:fill="CFF0FC"/>
          </w:tcPr>
          <w:p>
            <w:pPr>
              <w:ind w:left="380"/>
              <w:spacing w:after="0"/>
              <w:rPr>
                <w:sz w:val="20"/>
                <w:szCs w:val="20"/>
                <w:color w:val="auto"/>
              </w:rPr>
            </w:pPr>
            <w:r>
              <w:rPr>
                <w:rFonts w:ascii="Arial" w:cs="Arial" w:eastAsia="Arial" w:hAnsi="Arial"/>
                <w:sz w:val="17"/>
                <w:szCs w:val="17"/>
                <w:color w:val="auto"/>
              </w:rPr>
              <w:t>Depreciation and amortization</w:t>
            </w: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15,308</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11,658</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9,387</w:t>
            </w:r>
          </w:p>
        </w:tc>
        <w:tc>
          <w:tcPr>
            <w:tcW w:w="120" w:type="dxa"/>
            <w:vAlign w:val="bottom"/>
            <w:shd w:val="clear" w:color="auto" w:fill="CFF0FC"/>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6780" w:type="dxa"/>
            <w:vAlign w:val="bottom"/>
          </w:tcPr>
          <w:p>
            <w:pPr>
              <w:ind w:left="380"/>
              <w:spacing w:after="0"/>
              <w:rPr>
                <w:sz w:val="20"/>
                <w:szCs w:val="20"/>
                <w:color w:val="auto"/>
              </w:rPr>
            </w:pPr>
            <w:r>
              <w:rPr>
                <w:rFonts w:ascii="Arial" w:cs="Arial" w:eastAsia="Arial" w:hAnsi="Arial"/>
                <w:sz w:val="17"/>
                <w:szCs w:val="17"/>
                <w:color w:val="auto"/>
              </w:rPr>
              <w:t>Loss on impairments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17,101</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3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r>
      <w:tr>
        <w:trPr>
          <w:trHeight w:val="236"/>
        </w:trPr>
        <w:tc>
          <w:tcPr>
            <w:tcW w:w="6780" w:type="dxa"/>
            <w:vAlign w:val="bottom"/>
            <w:shd w:val="clear" w:color="auto" w:fill="CFF0FC"/>
          </w:tcPr>
          <w:p>
            <w:pPr>
              <w:ind w:left="380"/>
              <w:spacing w:after="0"/>
              <w:rPr>
                <w:sz w:val="20"/>
                <w:szCs w:val="20"/>
                <w:color w:val="auto"/>
              </w:rPr>
            </w:pPr>
            <w:r>
              <w:rPr>
                <w:rFonts w:ascii="Arial" w:cs="Arial" w:eastAsia="Arial" w:hAnsi="Arial"/>
                <w:sz w:val="17"/>
                <w:szCs w:val="17"/>
                <w:color w:val="auto"/>
              </w:rPr>
              <w:t>Other non-cash amortization</w:t>
            </w: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228</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837</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327</w:t>
            </w:r>
          </w:p>
        </w:tc>
        <w:tc>
          <w:tcPr>
            <w:tcW w:w="120" w:type="dxa"/>
            <w:vAlign w:val="bottom"/>
            <w:shd w:val="clear" w:color="auto" w:fill="CFF0FC"/>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6780" w:type="dxa"/>
            <w:vAlign w:val="bottom"/>
          </w:tcPr>
          <w:p>
            <w:pPr>
              <w:ind w:left="380"/>
              <w:spacing w:after="0"/>
              <w:rPr>
                <w:sz w:val="20"/>
                <w:szCs w:val="20"/>
                <w:color w:val="auto"/>
              </w:rPr>
            </w:pPr>
            <w:r>
              <w:rPr>
                <w:rFonts w:ascii="Arial" w:cs="Arial" w:eastAsia="Arial" w:hAnsi="Arial"/>
                <w:sz w:val="17"/>
                <w:szCs w:val="17"/>
                <w:color w:val="auto"/>
              </w:rPr>
              <w:t>Provision for doubtful accounts</w:t>
            </w:r>
          </w:p>
        </w:tc>
        <w:tc>
          <w:tcPr>
            <w:tcW w:w="280" w:type="dxa"/>
            <w:vAlign w:val="bottom"/>
          </w:tcPr>
          <w:p>
            <w:pPr>
              <w:spacing w:after="0"/>
              <w:rPr>
                <w:sz w:val="19"/>
                <w:szCs w:val="19"/>
                <w:color w:val="auto"/>
              </w:rPr>
            </w:pPr>
          </w:p>
        </w:tc>
        <w:tc>
          <w:tcPr>
            <w:tcW w:w="1240" w:type="dxa"/>
            <w:vAlign w:val="bottom"/>
            <w:gridSpan w:val="2"/>
          </w:tcPr>
          <w:p>
            <w:pPr>
              <w:jc w:val="right"/>
              <w:ind w:right="115"/>
              <w:spacing w:after="0"/>
              <w:rPr>
                <w:sz w:val="20"/>
                <w:szCs w:val="20"/>
                <w:color w:val="auto"/>
              </w:rPr>
            </w:pPr>
            <w:r>
              <w:rPr>
                <w:rFonts w:ascii="Arial" w:cs="Arial" w:eastAsia="Arial" w:hAnsi="Arial"/>
                <w:sz w:val="17"/>
                <w:szCs w:val="17"/>
                <w:color w:val="auto"/>
              </w:rPr>
              <w:t>(1,032 )</w:t>
            </w:r>
          </w:p>
        </w:tc>
        <w:tc>
          <w:tcPr>
            <w:tcW w:w="26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(253 )</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941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6"/>
        </w:trPr>
        <w:tc>
          <w:tcPr>
            <w:tcW w:w="6780" w:type="dxa"/>
            <w:vAlign w:val="bottom"/>
            <w:shd w:val="clear" w:color="auto" w:fill="CFF0FC"/>
          </w:tcPr>
          <w:p>
            <w:pPr>
              <w:ind w:left="380"/>
              <w:spacing w:after="0"/>
              <w:rPr>
                <w:sz w:val="20"/>
                <w:szCs w:val="20"/>
                <w:color w:val="auto"/>
              </w:rPr>
            </w:pPr>
            <w:r>
              <w:rPr>
                <w:rFonts w:ascii="Arial" w:cs="Arial" w:eastAsia="Arial" w:hAnsi="Arial"/>
                <w:sz w:val="17"/>
                <w:szCs w:val="17"/>
                <w:color w:val="auto"/>
              </w:rPr>
              <w:t>Inventory reserve</w:t>
            </w:r>
          </w:p>
        </w:tc>
        <w:tc>
          <w:tcPr>
            <w:tcW w:w="2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15"/>
              <w:spacing w:after="0"/>
              <w:rPr>
                <w:sz w:val="20"/>
                <w:szCs w:val="20"/>
                <w:color w:val="auto"/>
              </w:rPr>
            </w:pPr>
            <w:r>
              <w:rPr>
                <w:rFonts w:ascii="Arial" w:cs="Arial" w:eastAsia="Arial" w:hAnsi="Arial"/>
                <w:sz w:val="17"/>
                <w:szCs w:val="17"/>
                <w:color w:val="auto"/>
              </w:rPr>
              <w:t>(754 )</w:t>
            </w: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6,731</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736</w:t>
            </w:r>
          </w:p>
        </w:tc>
        <w:tc>
          <w:tcPr>
            <w:tcW w:w="120" w:type="dxa"/>
            <w:vAlign w:val="bottom"/>
            <w:shd w:val="clear" w:color="auto" w:fill="CFF0FC"/>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6780" w:type="dxa"/>
            <w:vAlign w:val="bottom"/>
          </w:tcPr>
          <w:p>
            <w:pPr>
              <w:ind w:left="380"/>
              <w:spacing w:after="0"/>
              <w:rPr>
                <w:sz w:val="20"/>
                <w:szCs w:val="20"/>
                <w:color w:val="auto"/>
              </w:rPr>
            </w:pPr>
            <w:r>
              <w:rPr>
                <w:rFonts w:ascii="Arial" w:cs="Arial" w:eastAsia="Arial" w:hAnsi="Arial"/>
                <w:sz w:val="17"/>
                <w:szCs w:val="17"/>
                <w:color w:val="auto"/>
              </w:rPr>
              <w:t>Unrealized foreign currency (gain) loss</w:t>
            </w:r>
          </w:p>
        </w:tc>
        <w:tc>
          <w:tcPr>
            <w:tcW w:w="280" w:type="dxa"/>
            <w:vAlign w:val="bottom"/>
          </w:tcPr>
          <w:p>
            <w:pPr>
              <w:spacing w:after="0"/>
              <w:rPr>
                <w:sz w:val="19"/>
                <w:szCs w:val="19"/>
                <w:color w:val="auto"/>
              </w:rPr>
            </w:pPr>
          </w:p>
        </w:tc>
        <w:tc>
          <w:tcPr>
            <w:tcW w:w="1240" w:type="dxa"/>
            <w:vAlign w:val="bottom"/>
            <w:gridSpan w:val="2"/>
          </w:tcPr>
          <w:p>
            <w:pPr>
              <w:jc w:val="right"/>
              <w:ind w:right="115"/>
              <w:spacing w:after="0"/>
              <w:rPr>
                <w:sz w:val="20"/>
                <w:szCs w:val="20"/>
                <w:color w:val="auto"/>
              </w:rPr>
            </w:pPr>
            <w:r>
              <w:rPr>
                <w:rFonts w:ascii="Arial" w:cs="Arial" w:eastAsia="Arial" w:hAnsi="Arial"/>
                <w:sz w:val="17"/>
                <w:szCs w:val="17"/>
                <w:color w:val="auto"/>
              </w:rPr>
              <w:t>(161 )</w:t>
            </w:r>
          </w:p>
        </w:tc>
        <w:tc>
          <w:tcPr>
            <w:tcW w:w="26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(210 )</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269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6"/>
        </w:trPr>
        <w:tc>
          <w:tcPr>
            <w:tcW w:w="6780" w:type="dxa"/>
            <w:vAlign w:val="bottom"/>
            <w:shd w:val="clear" w:color="auto" w:fill="CFF0FC"/>
          </w:tcPr>
          <w:p>
            <w:pPr>
              <w:ind w:left="380"/>
              <w:spacing w:after="0"/>
              <w:rPr>
                <w:sz w:val="20"/>
                <w:szCs w:val="20"/>
                <w:color w:val="auto"/>
              </w:rPr>
            </w:pPr>
            <w:r>
              <w:rPr>
                <w:rFonts w:ascii="Arial" w:cs="Arial" w:eastAsia="Arial" w:hAnsi="Arial"/>
                <w:sz w:val="17"/>
                <w:szCs w:val="17"/>
                <w:color w:val="auto"/>
              </w:rPr>
              <w:t>Interest expense on finance leases</w:t>
            </w: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94</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82</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w:t>
            </w:r>
          </w:p>
        </w:tc>
        <w:tc>
          <w:tcPr>
            <w:tcW w:w="120" w:type="dxa"/>
            <w:vAlign w:val="bottom"/>
            <w:shd w:val="clear" w:color="auto" w:fill="CFF0FC"/>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6780" w:type="dxa"/>
            <w:vAlign w:val="bottom"/>
          </w:tcPr>
          <w:p>
            <w:pPr>
              <w:ind w:left="380"/>
              <w:spacing w:after="0"/>
              <w:rPr>
                <w:sz w:val="20"/>
                <w:szCs w:val="20"/>
                <w:color w:val="auto"/>
              </w:rPr>
            </w:pPr>
            <w:r>
              <w:rPr>
                <w:rFonts w:ascii="Arial" w:cs="Arial" w:eastAsia="Arial" w:hAnsi="Arial"/>
                <w:sz w:val="17"/>
                <w:szCs w:val="17"/>
                <w:color w:val="auto"/>
              </w:rPr>
              <w:t>Deferred income taxes</w:t>
            </w:r>
          </w:p>
        </w:tc>
        <w:tc>
          <w:tcPr>
            <w:tcW w:w="280" w:type="dxa"/>
            <w:vAlign w:val="bottom"/>
          </w:tcPr>
          <w:p>
            <w:pPr>
              <w:spacing w:after="0"/>
              <w:rPr>
                <w:sz w:val="19"/>
                <w:szCs w:val="19"/>
                <w:color w:val="auto"/>
              </w:rPr>
            </w:pPr>
          </w:p>
        </w:tc>
        <w:tc>
          <w:tcPr>
            <w:tcW w:w="1240" w:type="dxa"/>
            <w:vAlign w:val="bottom"/>
            <w:gridSpan w:val="2"/>
          </w:tcPr>
          <w:p>
            <w:pPr>
              <w:jc w:val="right"/>
              <w:ind w:right="115"/>
              <w:spacing w:after="0"/>
              <w:rPr>
                <w:sz w:val="20"/>
                <w:szCs w:val="20"/>
                <w:color w:val="auto"/>
              </w:rPr>
            </w:pPr>
            <w:r>
              <w:rPr>
                <w:rFonts w:ascii="Arial" w:cs="Arial" w:eastAsia="Arial" w:hAnsi="Arial"/>
                <w:sz w:val="17"/>
                <w:szCs w:val="17"/>
                <w:color w:val="auto"/>
              </w:rPr>
              <w:t>(1,651 )</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1,026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(392 )</w:t>
            </w:r>
          </w:p>
        </w:tc>
        <w:tc>
          <w:tcPr>
            <w:tcW w:w="140" w:type="dxa"/>
            <w:vAlign w:val="bottom"/>
          </w:tcPr>
          <w:p>
            <w:pPr>
              <w:spacing w:after="0"/>
              <w:rPr>
                <w:sz w:val="19"/>
                <w:szCs w:val="19"/>
                <w:color w:val="auto"/>
              </w:rPr>
            </w:pPr>
          </w:p>
        </w:tc>
      </w:tr>
      <w:tr>
        <w:trPr>
          <w:trHeight w:val="236"/>
        </w:trPr>
        <w:tc>
          <w:tcPr>
            <w:tcW w:w="6780" w:type="dxa"/>
            <w:vAlign w:val="bottom"/>
            <w:shd w:val="clear" w:color="auto" w:fill="CFF0FC"/>
          </w:tcPr>
          <w:p>
            <w:pPr>
              <w:ind w:left="380"/>
              <w:spacing w:after="0"/>
              <w:rPr>
                <w:sz w:val="20"/>
                <w:szCs w:val="20"/>
                <w:color w:val="auto"/>
              </w:rPr>
            </w:pPr>
            <w:r>
              <w:rPr>
                <w:rFonts w:ascii="Arial" w:cs="Arial" w:eastAsia="Arial" w:hAnsi="Arial"/>
                <w:sz w:val="17"/>
                <w:szCs w:val="17"/>
                <w:color w:val="auto"/>
              </w:rPr>
              <w:t>Loss on sale of fixed assets</w:t>
            </w: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729</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114</w:t>
            </w:r>
          </w:p>
        </w:tc>
        <w:tc>
          <w:tcPr>
            <w:tcW w:w="120" w:type="dxa"/>
            <w:vAlign w:val="bottom"/>
            <w:shd w:val="clear" w:color="auto" w:fill="CFF0FC"/>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6780" w:type="dxa"/>
            <w:vAlign w:val="bottom"/>
          </w:tcPr>
          <w:p>
            <w:pPr>
              <w:ind w:left="380"/>
              <w:spacing w:after="0"/>
              <w:rPr>
                <w:sz w:val="20"/>
                <w:szCs w:val="20"/>
                <w:color w:val="auto"/>
              </w:rPr>
            </w:pPr>
            <w:r>
              <w:rPr>
                <w:rFonts w:ascii="Arial" w:cs="Arial" w:eastAsia="Arial" w:hAnsi="Arial"/>
                <w:sz w:val="17"/>
                <w:szCs w:val="17"/>
                <w:color w:val="auto"/>
              </w:rPr>
              <w:t>Gain on sale of product line</w:t>
            </w:r>
          </w:p>
        </w:tc>
        <w:tc>
          <w:tcPr>
            <w:tcW w:w="280" w:type="dxa"/>
            <w:vAlign w:val="bottom"/>
          </w:tcPr>
          <w:p>
            <w:pPr>
              <w:spacing w:after="0"/>
              <w:rPr>
                <w:sz w:val="19"/>
                <w:szCs w:val="19"/>
                <w:color w:val="auto"/>
              </w:rPr>
            </w:pPr>
          </w:p>
        </w:tc>
        <w:tc>
          <w:tcPr>
            <w:tcW w:w="1240" w:type="dxa"/>
            <w:vAlign w:val="bottom"/>
            <w:gridSpan w:val="2"/>
          </w:tcPr>
          <w:p>
            <w:pPr>
              <w:jc w:val="right"/>
              <w:ind w:right="19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(225 )</w:t>
            </w:r>
          </w:p>
        </w:tc>
        <w:tc>
          <w:tcPr>
            <w:tcW w:w="140" w:type="dxa"/>
            <w:vAlign w:val="bottom"/>
          </w:tcPr>
          <w:p>
            <w:pPr>
              <w:spacing w:after="0"/>
              <w:rPr>
                <w:sz w:val="19"/>
                <w:szCs w:val="19"/>
                <w:color w:val="auto"/>
              </w:rPr>
            </w:pPr>
          </w:p>
        </w:tc>
      </w:tr>
      <w:tr>
        <w:trPr>
          <w:trHeight w:val="236"/>
        </w:trPr>
        <w:tc>
          <w:tcPr>
            <w:tcW w:w="6780" w:type="dxa"/>
            <w:vAlign w:val="bottom"/>
            <w:shd w:val="clear" w:color="auto" w:fill="CFF0FC"/>
          </w:tcPr>
          <w:p>
            <w:pPr>
              <w:ind w:left="380"/>
              <w:spacing w:after="0"/>
              <w:rPr>
                <w:sz w:val="20"/>
                <w:szCs w:val="20"/>
                <w:color w:val="auto"/>
              </w:rPr>
            </w:pPr>
            <w:r>
              <w:rPr>
                <w:rFonts w:ascii="Arial" w:cs="Arial" w:eastAsia="Arial" w:hAnsi="Arial"/>
                <w:sz w:val="17"/>
                <w:szCs w:val="17"/>
                <w:color w:val="auto"/>
              </w:rPr>
              <w:t>Change in the estimated fair value of acquisition-related contingent consideration</w:t>
            </w:r>
          </w:p>
        </w:tc>
        <w:tc>
          <w:tcPr>
            <w:tcW w:w="2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15"/>
              <w:spacing w:after="0"/>
              <w:rPr>
                <w:sz w:val="20"/>
                <w:szCs w:val="20"/>
                <w:color w:val="auto"/>
              </w:rPr>
            </w:pPr>
            <w:r>
              <w:rPr>
                <w:rFonts w:ascii="Arial" w:cs="Arial" w:eastAsia="Arial" w:hAnsi="Arial"/>
                <w:sz w:val="17"/>
                <w:szCs w:val="17"/>
                <w:color w:val="auto"/>
              </w:rPr>
              <w:t>(188 )</w:t>
            </w:r>
          </w:p>
        </w:tc>
        <w:tc>
          <w:tcPr>
            <w:tcW w:w="26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(1,485 )</w:t>
            </w:r>
          </w:p>
        </w:tc>
        <w:tc>
          <w:tcPr>
            <w:tcW w:w="2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(1,099 )</w:t>
            </w:r>
          </w:p>
        </w:tc>
        <w:tc>
          <w:tcPr>
            <w:tcW w:w="140" w:type="dxa"/>
            <w:vAlign w:val="bottom"/>
          </w:tcPr>
          <w:p>
            <w:pPr>
              <w:spacing w:after="0"/>
              <w:rPr>
                <w:sz w:val="20"/>
                <w:szCs w:val="20"/>
                <w:color w:val="auto"/>
              </w:rPr>
            </w:pPr>
          </w:p>
        </w:tc>
      </w:tr>
      <w:tr>
        <w:trPr>
          <w:trHeight w:val="223"/>
        </w:trPr>
        <w:tc>
          <w:tcPr>
            <w:tcW w:w="6780" w:type="dxa"/>
            <w:vAlign w:val="bottom"/>
          </w:tcPr>
          <w:p>
            <w:pPr>
              <w:ind w:left="380"/>
              <w:spacing w:after="0"/>
              <w:rPr>
                <w:sz w:val="20"/>
                <w:szCs w:val="20"/>
                <w:color w:val="auto"/>
              </w:rPr>
            </w:pPr>
            <w:r>
              <w:rPr>
                <w:rFonts w:ascii="Arial" w:cs="Arial" w:eastAsia="Arial" w:hAnsi="Arial"/>
                <w:sz w:val="17"/>
                <w:szCs w:val="17"/>
                <w:color w:val="auto"/>
              </w:rPr>
              <w:t>Payment of acquisition-related contingent consideration</w:t>
            </w:r>
          </w:p>
        </w:tc>
        <w:tc>
          <w:tcPr>
            <w:tcW w:w="280" w:type="dxa"/>
            <w:vAlign w:val="bottom"/>
          </w:tcPr>
          <w:p>
            <w:pPr>
              <w:spacing w:after="0"/>
              <w:rPr>
                <w:sz w:val="19"/>
                <w:szCs w:val="19"/>
                <w:color w:val="auto"/>
              </w:rPr>
            </w:pPr>
          </w:p>
        </w:tc>
        <w:tc>
          <w:tcPr>
            <w:tcW w:w="1240" w:type="dxa"/>
            <w:vAlign w:val="bottom"/>
            <w:gridSpan w:val="2"/>
          </w:tcPr>
          <w:p>
            <w:pPr>
              <w:jc w:val="right"/>
              <w:ind w:right="19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(142 )</w:t>
            </w:r>
          </w:p>
        </w:tc>
        <w:tc>
          <w:tcPr>
            <w:tcW w:w="2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(496 )</w:t>
            </w:r>
          </w:p>
        </w:tc>
        <w:tc>
          <w:tcPr>
            <w:tcW w:w="140" w:type="dxa"/>
            <w:vAlign w:val="bottom"/>
          </w:tcPr>
          <w:p>
            <w:pPr>
              <w:spacing w:after="0"/>
              <w:rPr>
                <w:sz w:val="19"/>
                <w:szCs w:val="19"/>
                <w:color w:val="auto"/>
              </w:rPr>
            </w:pPr>
          </w:p>
        </w:tc>
      </w:tr>
      <w:tr>
        <w:trPr>
          <w:trHeight w:val="236"/>
        </w:trPr>
        <w:tc>
          <w:tcPr>
            <w:tcW w:w="6780" w:type="dxa"/>
            <w:vAlign w:val="bottom"/>
            <w:shd w:val="clear" w:color="auto" w:fill="CFF0FC"/>
          </w:tcPr>
          <w:p>
            <w:pPr>
              <w:ind w:left="380"/>
              <w:spacing w:after="0"/>
              <w:rPr>
                <w:sz w:val="20"/>
                <w:szCs w:val="20"/>
                <w:color w:val="auto"/>
              </w:rPr>
            </w:pPr>
            <w:r>
              <w:rPr>
                <w:rFonts w:ascii="Arial" w:cs="Arial" w:eastAsia="Arial" w:hAnsi="Arial"/>
                <w:sz w:val="17"/>
                <w:szCs w:val="17"/>
                <w:color w:val="auto"/>
              </w:rPr>
              <w:t>Changes in assets and liabilities</w:t>
            </w: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6780" w:type="dxa"/>
            <w:vAlign w:val="bottom"/>
          </w:tcPr>
          <w:p>
            <w:pPr>
              <w:ind w:left="560"/>
              <w:spacing w:after="0"/>
              <w:rPr>
                <w:sz w:val="20"/>
                <w:szCs w:val="20"/>
                <w:color w:val="auto"/>
              </w:rPr>
            </w:pPr>
            <w:r>
              <w:rPr>
                <w:rFonts w:ascii="Arial" w:cs="Arial" w:eastAsia="Arial" w:hAnsi="Arial"/>
                <w:sz w:val="17"/>
                <w:szCs w:val="17"/>
                <w:color w:val="auto"/>
              </w:rPr>
              <w:t>Accounts receivable</w:t>
            </w:r>
          </w:p>
        </w:tc>
        <w:tc>
          <w:tcPr>
            <w:tcW w:w="280" w:type="dxa"/>
            <w:vAlign w:val="bottom"/>
          </w:tcPr>
          <w:p>
            <w:pPr>
              <w:spacing w:after="0"/>
              <w:rPr>
                <w:sz w:val="19"/>
                <w:szCs w:val="19"/>
                <w:color w:val="auto"/>
              </w:rPr>
            </w:pPr>
          </w:p>
        </w:tc>
        <w:tc>
          <w:tcPr>
            <w:tcW w:w="1240" w:type="dxa"/>
            <w:vAlign w:val="bottom"/>
            <w:gridSpan w:val="2"/>
          </w:tcPr>
          <w:p>
            <w:pPr>
              <w:jc w:val="right"/>
              <w:ind w:right="115"/>
              <w:spacing w:after="0"/>
              <w:rPr>
                <w:sz w:val="20"/>
                <w:szCs w:val="20"/>
                <w:color w:val="auto"/>
              </w:rPr>
            </w:pPr>
            <w:r>
              <w:rPr>
                <w:rFonts w:ascii="Arial" w:cs="Arial" w:eastAsia="Arial" w:hAnsi="Arial"/>
                <w:sz w:val="17"/>
                <w:szCs w:val="17"/>
                <w:color w:val="auto"/>
              </w:rPr>
              <w:t>(25,162 )</w:t>
            </w:r>
          </w:p>
        </w:tc>
        <w:tc>
          <w:tcPr>
            <w:tcW w:w="26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(6,451 )</w:t>
            </w:r>
          </w:p>
        </w:tc>
        <w:tc>
          <w:tcPr>
            <w:tcW w:w="2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(2,324 )</w:t>
            </w:r>
          </w:p>
        </w:tc>
        <w:tc>
          <w:tcPr>
            <w:tcW w:w="140" w:type="dxa"/>
            <w:vAlign w:val="bottom"/>
          </w:tcPr>
          <w:p>
            <w:pPr>
              <w:spacing w:after="0"/>
              <w:rPr>
                <w:sz w:val="19"/>
                <w:szCs w:val="19"/>
                <w:color w:val="auto"/>
              </w:rPr>
            </w:pPr>
          </w:p>
        </w:tc>
      </w:tr>
      <w:tr>
        <w:trPr>
          <w:trHeight w:val="236"/>
        </w:trPr>
        <w:tc>
          <w:tcPr>
            <w:tcW w:w="6780" w:type="dxa"/>
            <w:vAlign w:val="bottom"/>
            <w:shd w:val="clear" w:color="auto" w:fill="CFF0FC"/>
          </w:tcPr>
          <w:p>
            <w:pPr>
              <w:ind w:left="560"/>
              <w:spacing w:after="0"/>
              <w:rPr>
                <w:sz w:val="20"/>
                <w:szCs w:val="20"/>
                <w:color w:val="auto"/>
              </w:rPr>
            </w:pPr>
            <w:r>
              <w:rPr>
                <w:rFonts w:ascii="Arial" w:cs="Arial" w:eastAsia="Arial" w:hAnsi="Arial"/>
                <w:sz w:val="17"/>
                <w:szCs w:val="17"/>
                <w:color w:val="auto"/>
              </w:rPr>
              <w:t>Inventories</w:t>
            </w:r>
          </w:p>
        </w:tc>
        <w:tc>
          <w:tcPr>
            <w:tcW w:w="2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15"/>
              <w:spacing w:after="0"/>
              <w:rPr>
                <w:sz w:val="20"/>
                <w:szCs w:val="20"/>
                <w:color w:val="auto"/>
              </w:rPr>
            </w:pPr>
            <w:r>
              <w:rPr>
                <w:rFonts w:ascii="Arial" w:cs="Arial" w:eastAsia="Arial" w:hAnsi="Arial"/>
                <w:sz w:val="17"/>
                <w:szCs w:val="17"/>
                <w:color w:val="auto"/>
              </w:rPr>
              <w:t>(43,048 )</w:t>
            </w:r>
          </w:p>
        </w:tc>
        <w:tc>
          <w:tcPr>
            <w:tcW w:w="26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(27,941 )</w:t>
            </w:r>
          </w:p>
        </w:tc>
        <w:tc>
          <w:tcPr>
            <w:tcW w:w="2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(9,343 )</w:t>
            </w:r>
          </w:p>
        </w:tc>
        <w:tc>
          <w:tcPr>
            <w:tcW w:w="140" w:type="dxa"/>
            <w:vAlign w:val="bottom"/>
          </w:tcPr>
          <w:p>
            <w:pPr>
              <w:spacing w:after="0"/>
              <w:rPr>
                <w:sz w:val="20"/>
                <w:szCs w:val="20"/>
                <w:color w:val="auto"/>
              </w:rPr>
            </w:pPr>
          </w:p>
        </w:tc>
      </w:tr>
      <w:tr>
        <w:trPr>
          <w:trHeight w:val="223"/>
        </w:trPr>
        <w:tc>
          <w:tcPr>
            <w:tcW w:w="6780" w:type="dxa"/>
            <w:vAlign w:val="bottom"/>
          </w:tcPr>
          <w:p>
            <w:pPr>
              <w:ind w:left="560"/>
              <w:spacing w:after="0"/>
              <w:rPr>
                <w:sz w:val="20"/>
                <w:szCs w:val="20"/>
                <w:color w:val="auto"/>
              </w:rPr>
            </w:pPr>
            <w:r>
              <w:rPr>
                <w:rFonts w:ascii="Arial" w:cs="Arial" w:eastAsia="Arial" w:hAnsi="Arial"/>
                <w:sz w:val="17"/>
                <w:szCs w:val="17"/>
                <w:color w:val="auto"/>
              </w:rPr>
              <w:t>Prepaid expenses and other assets</w:t>
            </w:r>
          </w:p>
        </w:tc>
        <w:tc>
          <w:tcPr>
            <w:tcW w:w="280" w:type="dxa"/>
            <w:vAlign w:val="bottom"/>
          </w:tcPr>
          <w:p>
            <w:pPr>
              <w:spacing w:after="0"/>
              <w:rPr>
                <w:sz w:val="19"/>
                <w:szCs w:val="19"/>
                <w:color w:val="auto"/>
              </w:rPr>
            </w:pPr>
          </w:p>
        </w:tc>
        <w:tc>
          <w:tcPr>
            <w:tcW w:w="1240" w:type="dxa"/>
            <w:vAlign w:val="bottom"/>
            <w:gridSpan w:val="2"/>
          </w:tcPr>
          <w:p>
            <w:pPr>
              <w:jc w:val="right"/>
              <w:ind w:right="115"/>
              <w:spacing w:after="0"/>
              <w:rPr>
                <w:sz w:val="20"/>
                <w:szCs w:val="20"/>
                <w:color w:val="auto"/>
              </w:rPr>
            </w:pPr>
            <w:r>
              <w:rPr>
                <w:rFonts w:ascii="Arial" w:cs="Arial" w:eastAsia="Arial" w:hAnsi="Arial"/>
                <w:sz w:val="17"/>
                <w:szCs w:val="17"/>
                <w:color w:val="auto"/>
              </w:rPr>
              <w:t>(7,091 )</w:t>
            </w:r>
          </w:p>
        </w:tc>
        <w:tc>
          <w:tcPr>
            <w:tcW w:w="26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(8,674 )</w:t>
            </w:r>
          </w:p>
        </w:tc>
        <w:tc>
          <w:tcPr>
            <w:tcW w:w="2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(104 )</w:t>
            </w:r>
          </w:p>
        </w:tc>
        <w:tc>
          <w:tcPr>
            <w:tcW w:w="140" w:type="dxa"/>
            <w:vAlign w:val="bottom"/>
          </w:tcPr>
          <w:p>
            <w:pPr>
              <w:spacing w:after="0"/>
              <w:rPr>
                <w:sz w:val="19"/>
                <w:szCs w:val="19"/>
                <w:color w:val="auto"/>
              </w:rPr>
            </w:pPr>
          </w:p>
        </w:tc>
      </w:tr>
      <w:tr>
        <w:trPr>
          <w:trHeight w:val="236"/>
        </w:trPr>
        <w:tc>
          <w:tcPr>
            <w:tcW w:w="6780" w:type="dxa"/>
            <w:vAlign w:val="bottom"/>
            <w:shd w:val="clear" w:color="auto" w:fill="CFF0FC"/>
          </w:tcPr>
          <w:p>
            <w:pPr>
              <w:ind w:left="560"/>
              <w:spacing w:after="0"/>
              <w:rPr>
                <w:sz w:val="20"/>
                <w:szCs w:val="20"/>
                <w:color w:val="auto"/>
              </w:rPr>
            </w:pPr>
            <w:r>
              <w:rPr>
                <w:rFonts w:ascii="Arial" w:cs="Arial" w:eastAsia="Arial" w:hAnsi="Arial"/>
                <w:sz w:val="17"/>
                <w:szCs w:val="17"/>
                <w:color w:val="auto"/>
              </w:rPr>
              <w:t>Accounts payable</w:t>
            </w: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3,963</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3,234</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7,379</w:t>
            </w:r>
          </w:p>
        </w:tc>
        <w:tc>
          <w:tcPr>
            <w:tcW w:w="120" w:type="dxa"/>
            <w:vAlign w:val="bottom"/>
            <w:shd w:val="clear" w:color="auto" w:fill="CFF0FC"/>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6780" w:type="dxa"/>
            <w:vAlign w:val="bottom"/>
          </w:tcPr>
          <w:p>
            <w:pPr>
              <w:ind w:left="560"/>
              <w:spacing w:after="0"/>
              <w:rPr>
                <w:sz w:val="20"/>
                <w:szCs w:val="20"/>
                <w:color w:val="auto"/>
              </w:rPr>
            </w:pPr>
            <w:r>
              <w:rPr>
                <w:rFonts w:ascii="Arial" w:cs="Arial" w:eastAsia="Arial" w:hAnsi="Arial"/>
                <w:sz w:val="17"/>
                <w:szCs w:val="17"/>
                <w:color w:val="auto"/>
              </w:rPr>
              <w:t>Deferred revenue</w:t>
            </w:r>
          </w:p>
        </w:tc>
        <w:tc>
          <w:tcPr>
            <w:tcW w:w="280" w:type="dxa"/>
            <w:vAlign w:val="bottom"/>
          </w:tcPr>
          <w:p>
            <w:pPr>
              <w:spacing w:after="0"/>
              <w:rPr>
                <w:sz w:val="19"/>
                <w:szCs w:val="19"/>
                <w:color w:val="auto"/>
              </w:rPr>
            </w:pPr>
          </w:p>
        </w:tc>
        <w:tc>
          <w:tcPr>
            <w:tcW w:w="1240" w:type="dxa"/>
            <w:vAlign w:val="bottom"/>
            <w:gridSpan w:val="2"/>
          </w:tcPr>
          <w:p>
            <w:pPr>
              <w:jc w:val="right"/>
              <w:ind w:right="115"/>
              <w:spacing w:after="0"/>
              <w:rPr>
                <w:sz w:val="20"/>
                <w:szCs w:val="20"/>
                <w:color w:val="auto"/>
              </w:rPr>
            </w:pPr>
            <w:r>
              <w:rPr>
                <w:rFonts w:ascii="Arial" w:cs="Arial" w:eastAsia="Arial" w:hAnsi="Arial"/>
                <w:sz w:val="17"/>
                <w:szCs w:val="17"/>
                <w:color w:val="auto"/>
              </w:rPr>
              <w:t>(596 )</w:t>
            </w:r>
          </w:p>
        </w:tc>
        <w:tc>
          <w:tcPr>
            <w:tcW w:w="26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(1,891 )</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1,051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4"/>
        </w:trPr>
        <w:tc>
          <w:tcPr>
            <w:tcW w:w="678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7"/>
                <w:szCs w:val="17"/>
                <w:color w:val="auto"/>
              </w:rPr>
              <w:t>Accrued expenses and other liabilities</w:t>
            </w:r>
          </w:p>
        </w:tc>
        <w:tc>
          <w:tcPr>
            <w:tcW w:w="28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1,370</w:t>
            </w:r>
          </w:p>
        </w:tc>
        <w:tc>
          <w:tcPr>
            <w:tcW w:w="2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3,288</w:t>
            </w: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7,297</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6780" w:type="dxa"/>
            <w:vAlign w:val="bottom"/>
          </w:tcPr>
          <w:p>
            <w:pPr>
              <w:ind w:left="740"/>
              <w:spacing w:after="0"/>
              <w:rPr>
                <w:sz w:val="20"/>
                <w:szCs w:val="20"/>
                <w:color w:val="auto"/>
              </w:rPr>
            </w:pPr>
            <w:r>
              <w:rPr>
                <w:rFonts w:ascii="Arial" w:cs="Arial" w:eastAsia="Arial" w:hAnsi="Arial"/>
                <w:sz w:val="17"/>
                <w:szCs w:val="17"/>
                <w:color w:val="auto"/>
              </w:rPr>
              <w:t>Net cash (used in) provided by operating activities</w:t>
            </w:r>
          </w:p>
        </w:tc>
        <w:tc>
          <w:tcPr>
            <w:tcW w:w="280" w:type="dxa"/>
            <w:vAlign w:val="bottom"/>
          </w:tcPr>
          <w:p>
            <w:pPr>
              <w:spacing w:after="0"/>
              <w:rPr>
                <w:sz w:val="19"/>
                <w:szCs w:val="19"/>
                <w:color w:val="auto"/>
              </w:rPr>
            </w:pPr>
          </w:p>
        </w:tc>
        <w:tc>
          <w:tcPr>
            <w:tcW w:w="1240" w:type="dxa"/>
            <w:vAlign w:val="bottom"/>
            <w:gridSpan w:val="2"/>
          </w:tcPr>
          <w:p>
            <w:pPr>
              <w:jc w:val="right"/>
              <w:ind w:right="115"/>
              <w:spacing w:after="0"/>
              <w:rPr>
                <w:sz w:val="20"/>
                <w:szCs w:val="20"/>
                <w:color w:val="auto"/>
              </w:rPr>
            </w:pPr>
            <w:r>
              <w:rPr>
                <w:rFonts w:ascii="Arial" w:cs="Arial" w:eastAsia="Arial" w:hAnsi="Arial"/>
                <w:sz w:val="17"/>
                <w:szCs w:val="17"/>
                <w:color w:val="auto"/>
              </w:rPr>
              <w:t>(47,202 )</w:t>
            </w:r>
          </w:p>
        </w:tc>
        <w:tc>
          <w:tcPr>
            <w:tcW w:w="26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(35,382 )</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5,807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5"/>
        </w:trPr>
        <w:tc>
          <w:tcPr>
            <w:tcW w:w="6780" w:type="dxa"/>
            <w:vAlign w:val="bottom"/>
            <w:shd w:val="clear" w:color="auto" w:fill="CFF0FC"/>
          </w:tcPr>
          <w:p>
            <w:pPr>
              <w:ind w:left="20"/>
              <w:spacing w:after="0"/>
              <w:rPr>
                <w:sz w:val="20"/>
                <w:szCs w:val="20"/>
                <w:color w:val="auto"/>
              </w:rPr>
            </w:pPr>
            <w:r>
              <w:rPr>
                <w:rFonts w:ascii="Arial" w:cs="Arial" w:eastAsia="Arial" w:hAnsi="Arial"/>
                <w:sz w:val="17"/>
                <w:szCs w:val="17"/>
                <w:color w:val="auto"/>
              </w:rPr>
              <w:t>INVESTING ACTIVITIES:</w:t>
            </w:r>
          </w:p>
        </w:tc>
        <w:tc>
          <w:tcPr>
            <w:tcW w:w="2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Pr>
          <w:p>
            <w:pPr>
              <w:spacing w:after="0"/>
              <w:rPr>
                <w:sz w:val="19"/>
                <w:szCs w:val="19"/>
                <w:color w:val="auto"/>
              </w:rPr>
            </w:pPr>
          </w:p>
        </w:tc>
      </w:tr>
      <w:tr>
        <w:trPr>
          <w:trHeight w:val="223"/>
        </w:trPr>
        <w:tc>
          <w:tcPr>
            <w:tcW w:w="6780" w:type="dxa"/>
            <w:vAlign w:val="bottom"/>
          </w:tcPr>
          <w:p>
            <w:pPr>
              <w:ind w:left="380"/>
              <w:spacing w:after="0"/>
              <w:rPr>
                <w:sz w:val="20"/>
                <w:szCs w:val="20"/>
                <w:color w:val="auto"/>
              </w:rPr>
            </w:pPr>
            <w:r>
              <w:rPr>
                <w:rFonts w:ascii="Arial" w:cs="Arial" w:eastAsia="Arial" w:hAnsi="Arial"/>
                <w:sz w:val="17"/>
                <w:szCs w:val="17"/>
                <w:color w:val="auto"/>
              </w:rPr>
              <w:t>Purchases of investments</w:t>
            </w:r>
          </w:p>
        </w:tc>
        <w:tc>
          <w:tcPr>
            <w:tcW w:w="280" w:type="dxa"/>
            <w:vAlign w:val="bottom"/>
          </w:tcPr>
          <w:p>
            <w:pPr>
              <w:spacing w:after="0"/>
              <w:rPr>
                <w:sz w:val="19"/>
                <w:szCs w:val="19"/>
                <w:color w:val="auto"/>
              </w:rPr>
            </w:pPr>
          </w:p>
        </w:tc>
        <w:tc>
          <w:tcPr>
            <w:tcW w:w="1240" w:type="dxa"/>
            <w:vAlign w:val="bottom"/>
            <w:gridSpan w:val="2"/>
          </w:tcPr>
          <w:p>
            <w:pPr>
              <w:jc w:val="right"/>
              <w:ind w:right="115"/>
              <w:spacing w:after="0"/>
              <w:rPr>
                <w:sz w:val="20"/>
                <w:szCs w:val="20"/>
                <w:color w:val="auto"/>
              </w:rPr>
            </w:pPr>
            <w:r>
              <w:rPr>
                <w:rFonts w:ascii="Arial" w:cs="Arial" w:eastAsia="Arial" w:hAnsi="Arial"/>
                <w:sz w:val="17"/>
                <w:szCs w:val="17"/>
                <w:color w:val="auto"/>
              </w:rPr>
              <w:t>(22,873 )</w:t>
            </w:r>
          </w:p>
        </w:tc>
        <w:tc>
          <w:tcPr>
            <w:tcW w:w="26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(25,822 )</w:t>
            </w:r>
          </w:p>
        </w:tc>
        <w:tc>
          <w:tcPr>
            <w:tcW w:w="2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(90,137 )</w:t>
            </w:r>
          </w:p>
        </w:tc>
        <w:tc>
          <w:tcPr>
            <w:tcW w:w="140" w:type="dxa"/>
            <w:vAlign w:val="bottom"/>
          </w:tcPr>
          <w:p>
            <w:pPr>
              <w:spacing w:after="0"/>
              <w:rPr>
                <w:sz w:val="19"/>
                <w:szCs w:val="19"/>
                <w:color w:val="auto"/>
              </w:rPr>
            </w:pPr>
          </w:p>
        </w:tc>
      </w:tr>
      <w:tr>
        <w:trPr>
          <w:trHeight w:val="236"/>
        </w:trPr>
        <w:tc>
          <w:tcPr>
            <w:tcW w:w="6780" w:type="dxa"/>
            <w:vAlign w:val="bottom"/>
            <w:shd w:val="clear" w:color="auto" w:fill="CFF0FC"/>
          </w:tcPr>
          <w:p>
            <w:pPr>
              <w:ind w:left="380"/>
              <w:spacing w:after="0"/>
              <w:rPr>
                <w:sz w:val="20"/>
                <w:szCs w:val="20"/>
                <w:color w:val="auto"/>
              </w:rPr>
            </w:pPr>
            <w:r>
              <w:rPr>
                <w:rFonts w:ascii="Arial" w:cs="Arial" w:eastAsia="Arial" w:hAnsi="Arial"/>
                <w:sz w:val="17"/>
                <w:szCs w:val="17"/>
                <w:color w:val="auto"/>
              </w:rPr>
              <w:t>Proceeds from maturities and redemptions of investments</w:t>
            </w: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47,415</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67,925</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107,718</w:t>
            </w:r>
          </w:p>
        </w:tc>
        <w:tc>
          <w:tcPr>
            <w:tcW w:w="120" w:type="dxa"/>
            <w:vAlign w:val="bottom"/>
            <w:shd w:val="clear" w:color="auto" w:fill="CFF0FC"/>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6780" w:type="dxa"/>
            <w:vAlign w:val="bottom"/>
          </w:tcPr>
          <w:p>
            <w:pPr>
              <w:ind w:left="380"/>
              <w:spacing w:after="0"/>
              <w:rPr>
                <w:sz w:val="20"/>
                <w:szCs w:val="20"/>
                <w:color w:val="auto"/>
              </w:rPr>
            </w:pPr>
            <w:r>
              <w:rPr>
                <w:rFonts w:ascii="Arial" w:cs="Arial" w:eastAsia="Arial" w:hAnsi="Arial"/>
                <w:sz w:val="17"/>
                <w:szCs w:val="17"/>
                <w:color w:val="auto"/>
              </w:rPr>
              <w:t>Proceeds from sale of assets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121</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3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r>
      <w:tr>
        <w:trPr>
          <w:trHeight w:val="236"/>
        </w:trPr>
        <w:tc>
          <w:tcPr>
            <w:tcW w:w="6780" w:type="dxa"/>
            <w:vAlign w:val="bottom"/>
            <w:shd w:val="clear" w:color="auto" w:fill="CFF0FC"/>
          </w:tcPr>
          <w:p>
            <w:pPr>
              <w:ind w:left="380"/>
              <w:spacing w:after="0"/>
              <w:rPr>
                <w:sz w:val="20"/>
                <w:szCs w:val="20"/>
                <w:color w:val="auto"/>
              </w:rPr>
            </w:pPr>
            <w:r>
              <w:rPr>
                <w:rFonts w:ascii="Arial" w:cs="Arial" w:eastAsia="Arial" w:hAnsi="Arial"/>
                <w:sz w:val="17"/>
                <w:szCs w:val="17"/>
                <w:color w:val="auto"/>
              </w:rPr>
              <w:t>Purchases of property and equipment</w:t>
            </w:r>
          </w:p>
        </w:tc>
        <w:tc>
          <w:tcPr>
            <w:tcW w:w="2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15"/>
              <w:spacing w:after="0"/>
              <w:rPr>
                <w:sz w:val="20"/>
                <w:szCs w:val="20"/>
                <w:color w:val="auto"/>
              </w:rPr>
            </w:pPr>
            <w:r>
              <w:rPr>
                <w:rFonts w:ascii="Arial" w:cs="Arial" w:eastAsia="Arial" w:hAnsi="Arial"/>
                <w:sz w:val="17"/>
                <w:szCs w:val="17"/>
                <w:color w:val="auto"/>
              </w:rPr>
              <w:t>(6,774 )</w:t>
            </w:r>
          </w:p>
        </w:tc>
        <w:tc>
          <w:tcPr>
            <w:tcW w:w="26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(21,893 )</w:t>
            </w:r>
          </w:p>
        </w:tc>
        <w:tc>
          <w:tcPr>
            <w:tcW w:w="2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(26,674 )</w:t>
            </w:r>
          </w:p>
        </w:tc>
        <w:tc>
          <w:tcPr>
            <w:tcW w:w="140" w:type="dxa"/>
            <w:vAlign w:val="bottom"/>
          </w:tcPr>
          <w:p>
            <w:pPr>
              <w:spacing w:after="0"/>
              <w:rPr>
                <w:sz w:val="20"/>
                <w:szCs w:val="20"/>
                <w:color w:val="auto"/>
              </w:rPr>
            </w:pPr>
          </w:p>
        </w:tc>
      </w:tr>
      <w:tr>
        <w:trPr>
          <w:trHeight w:val="216"/>
        </w:trPr>
        <w:tc>
          <w:tcPr>
            <w:tcW w:w="6780" w:type="dxa"/>
            <w:vAlign w:val="bottom"/>
          </w:tcPr>
          <w:p>
            <w:pPr>
              <w:ind w:left="380"/>
              <w:spacing w:after="0"/>
              <w:rPr>
                <w:sz w:val="20"/>
                <w:szCs w:val="20"/>
                <w:color w:val="auto"/>
              </w:rPr>
            </w:pPr>
            <w:r>
              <w:rPr>
                <w:rFonts w:ascii="Arial" w:cs="Arial" w:eastAsia="Arial" w:hAnsi="Arial"/>
                <w:sz w:val="17"/>
                <w:szCs w:val="17"/>
                <w:color w:val="auto"/>
              </w:rPr>
              <w:t>Purchase of property and equipment under government contracts</w:t>
            </w:r>
          </w:p>
        </w:tc>
        <w:tc>
          <w:tcPr>
            <w:tcW w:w="280" w:type="dxa"/>
            <w:vAlign w:val="bottom"/>
          </w:tcPr>
          <w:p>
            <w:pPr>
              <w:spacing w:after="0"/>
              <w:rPr>
                <w:sz w:val="18"/>
                <w:szCs w:val="18"/>
                <w:color w:val="auto"/>
              </w:rPr>
            </w:pPr>
          </w:p>
        </w:tc>
        <w:tc>
          <w:tcPr>
            <w:tcW w:w="1240" w:type="dxa"/>
            <w:vAlign w:val="bottom"/>
            <w:gridSpan w:val="2"/>
          </w:tcPr>
          <w:p>
            <w:pPr>
              <w:jc w:val="right"/>
              <w:ind w:right="115"/>
              <w:spacing w:after="0"/>
              <w:rPr>
                <w:sz w:val="20"/>
                <w:szCs w:val="20"/>
                <w:color w:val="auto"/>
              </w:rPr>
            </w:pPr>
            <w:r>
              <w:rPr>
                <w:rFonts w:ascii="Arial" w:cs="Arial" w:eastAsia="Arial" w:hAnsi="Arial"/>
                <w:sz w:val="17"/>
                <w:szCs w:val="17"/>
                <w:color w:val="auto"/>
              </w:rPr>
              <w:t>(57,135 )</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(26,224 )</w:t>
            </w:r>
          </w:p>
        </w:tc>
        <w:tc>
          <w:tcPr>
            <w:tcW w:w="280" w:type="dxa"/>
            <w:vAlign w:val="bottom"/>
          </w:tcPr>
          <w:p>
            <w:pPr>
              <w:spacing w:after="0"/>
              <w:rPr>
                <w:sz w:val="18"/>
                <w:szCs w:val="18"/>
                <w:color w:val="auto"/>
              </w:rPr>
            </w:pPr>
          </w:p>
        </w:tc>
        <w:tc>
          <w:tcPr>
            <w:tcW w:w="1060" w:type="dxa"/>
            <w:vAlign w:val="bottom"/>
            <w:gridSpan w:val="2"/>
          </w:tcPr>
          <w:p>
            <w:pPr>
              <w:jc w:val="right"/>
              <w:ind w:right="3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r>
      <w:tr>
        <w:trPr>
          <w:trHeight w:val="243"/>
        </w:trPr>
        <w:tc>
          <w:tcPr>
            <w:tcW w:w="6780" w:type="dxa"/>
            <w:vAlign w:val="bottom"/>
            <w:shd w:val="clear" w:color="auto" w:fill="CFF0FC"/>
          </w:tcPr>
          <w:p>
            <w:pPr>
              <w:ind w:left="380"/>
              <w:spacing w:after="0"/>
              <w:rPr>
                <w:sz w:val="20"/>
                <w:szCs w:val="20"/>
                <w:color w:val="auto"/>
              </w:rPr>
            </w:pPr>
            <w:r>
              <w:rPr>
                <w:rFonts w:ascii="Arial" w:cs="Arial" w:eastAsia="Arial" w:hAnsi="Arial"/>
                <w:sz w:val="17"/>
                <w:szCs w:val="17"/>
                <w:color w:val="auto"/>
              </w:rPr>
              <w:t>Proceeds from funding under government contract</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60,331</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531</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3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r>
      <w:tr>
        <w:trPr>
          <w:trHeight w:val="223"/>
        </w:trPr>
        <w:tc>
          <w:tcPr>
            <w:tcW w:w="6780" w:type="dxa"/>
            <w:vAlign w:val="bottom"/>
          </w:tcPr>
          <w:p>
            <w:pPr>
              <w:ind w:left="380"/>
              <w:spacing w:after="0"/>
              <w:rPr>
                <w:sz w:val="20"/>
                <w:szCs w:val="20"/>
                <w:color w:val="auto"/>
              </w:rPr>
            </w:pPr>
            <w:r>
              <w:rPr>
                <w:rFonts w:ascii="Arial" w:cs="Arial" w:eastAsia="Arial" w:hAnsi="Arial"/>
                <w:sz w:val="17"/>
                <w:szCs w:val="17"/>
                <w:color w:val="auto"/>
              </w:rPr>
              <w:t>Purchase of patent and product rights</w:t>
            </w:r>
          </w:p>
        </w:tc>
        <w:tc>
          <w:tcPr>
            <w:tcW w:w="280" w:type="dxa"/>
            <w:vAlign w:val="bottom"/>
          </w:tcPr>
          <w:p>
            <w:pPr>
              <w:spacing w:after="0"/>
              <w:rPr>
                <w:sz w:val="19"/>
                <w:szCs w:val="19"/>
                <w:color w:val="auto"/>
              </w:rPr>
            </w:pPr>
          </w:p>
        </w:tc>
        <w:tc>
          <w:tcPr>
            <w:tcW w:w="1240" w:type="dxa"/>
            <w:vAlign w:val="bottom"/>
            <w:gridSpan w:val="2"/>
          </w:tcPr>
          <w:p>
            <w:pPr>
              <w:jc w:val="right"/>
              <w:ind w:right="19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(2,250 )</w:t>
            </w:r>
          </w:p>
        </w:tc>
        <w:tc>
          <w:tcPr>
            <w:tcW w:w="140" w:type="dxa"/>
            <w:vAlign w:val="bottom"/>
          </w:tcPr>
          <w:p>
            <w:pPr>
              <w:spacing w:after="0"/>
              <w:rPr>
                <w:sz w:val="19"/>
                <w:szCs w:val="19"/>
                <w:color w:val="auto"/>
              </w:rPr>
            </w:pPr>
          </w:p>
        </w:tc>
      </w:tr>
      <w:tr>
        <w:trPr>
          <w:trHeight w:val="236"/>
        </w:trPr>
        <w:tc>
          <w:tcPr>
            <w:tcW w:w="6780" w:type="dxa"/>
            <w:vAlign w:val="bottom"/>
            <w:shd w:val="clear" w:color="auto" w:fill="CFF0FC"/>
          </w:tcPr>
          <w:p>
            <w:pPr>
              <w:ind w:left="380"/>
              <w:spacing w:after="0"/>
              <w:rPr>
                <w:sz w:val="20"/>
                <w:szCs w:val="20"/>
                <w:color w:val="auto"/>
              </w:rPr>
            </w:pPr>
            <w:r>
              <w:rPr>
                <w:rFonts w:ascii="Arial" w:cs="Arial" w:eastAsia="Arial" w:hAnsi="Arial"/>
                <w:sz w:val="17"/>
                <w:szCs w:val="17"/>
                <w:color w:val="auto"/>
              </w:rPr>
              <w:t>Acquisition of businesses, net of cash acquired</w:t>
            </w:r>
          </w:p>
        </w:tc>
        <w:tc>
          <w:tcPr>
            <w:tcW w:w="2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95"/>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(3,037 )</w:t>
            </w:r>
          </w:p>
        </w:tc>
        <w:tc>
          <w:tcPr>
            <w:tcW w:w="140" w:type="dxa"/>
            <w:vAlign w:val="bottom"/>
          </w:tcPr>
          <w:p>
            <w:pPr>
              <w:spacing w:after="0"/>
              <w:rPr>
                <w:sz w:val="20"/>
                <w:szCs w:val="20"/>
                <w:color w:val="auto"/>
              </w:rPr>
            </w:pPr>
          </w:p>
        </w:tc>
      </w:tr>
      <w:tr>
        <w:trPr>
          <w:trHeight w:val="228"/>
        </w:trPr>
        <w:tc>
          <w:tcPr>
            <w:tcW w:w="6780" w:type="dxa"/>
            <w:vAlign w:val="bottom"/>
          </w:tcPr>
          <w:p>
            <w:pPr>
              <w:ind w:left="380"/>
              <w:spacing w:after="0"/>
              <w:rPr>
                <w:sz w:val="20"/>
                <w:szCs w:val="20"/>
                <w:color w:val="auto"/>
              </w:rPr>
            </w:pPr>
            <w:r>
              <w:rPr>
                <w:rFonts w:ascii="Arial" w:cs="Arial" w:eastAsia="Arial" w:hAnsi="Arial"/>
                <w:sz w:val="17"/>
                <w:szCs w:val="17"/>
                <w:color w:val="auto"/>
              </w:rPr>
              <w:t>Other investing activities</w:t>
            </w:r>
          </w:p>
        </w:tc>
        <w:tc>
          <w:tcPr>
            <w:tcW w:w="280" w:type="dxa"/>
            <w:vAlign w:val="bottom"/>
          </w:tcPr>
          <w:p>
            <w:pPr>
              <w:spacing w:after="0"/>
              <w:rPr>
                <w:sz w:val="19"/>
                <w:szCs w:val="19"/>
                <w:color w:val="auto"/>
              </w:rPr>
            </w:pPr>
          </w:p>
        </w:tc>
        <w:tc>
          <w:tcPr>
            <w:tcW w:w="1240" w:type="dxa"/>
            <w:vAlign w:val="bottom"/>
            <w:gridSpan w:val="2"/>
          </w:tcPr>
          <w:p>
            <w:pPr>
              <w:jc w:val="right"/>
              <w:ind w:right="19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(18 )</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351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3"/>
        </w:trPr>
        <w:tc>
          <w:tcPr>
            <w:tcW w:w="678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7"/>
                <w:szCs w:val="17"/>
                <w:color w:val="auto"/>
              </w:rPr>
              <w:t>Net cash (used in) provided by investing activities</w:t>
            </w: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21,085</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(5,501</w:t>
            </w:r>
          </w:p>
        </w:tc>
        <w:tc>
          <w:tcPr>
            <w:tcW w:w="24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(14,029</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r>
      <w:tr>
        <w:trPr>
          <w:trHeight w:val="218"/>
        </w:trPr>
        <w:tc>
          <w:tcPr>
            <w:tcW w:w="6780" w:type="dxa"/>
            <w:vAlign w:val="bottom"/>
          </w:tcPr>
          <w:p>
            <w:pPr>
              <w:ind w:left="20"/>
              <w:spacing w:after="0"/>
              <w:rPr>
                <w:sz w:val="20"/>
                <w:szCs w:val="20"/>
                <w:color w:val="auto"/>
              </w:rPr>
            </w:pPr>
            <w:r>
              <w:rPr>
                <w:rFonts w:ascii="Arial" w:cs="Arial" w:eastAsia="Arial" w:hAnsi="Arial"/>
                <w:sz w:val="17"/>
                <w:szCs w:val="17"/>
                <w:color w:val="auto"/>
              </w:rPr>
              <w:t>FINANCING ACTIVITIES: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6"/>
        </w:trPr>
        <w:tc>
          <w:tcPr>
            <w:tcW w:w="6780" w:type="dxa"/>
            <w:vAlign w:val="bottom"/>
            <w:shd w:val="clear" w:color="auto" w:fill="CFF0FC"/>
          </w:tcPr>
          <w:p>
            <w:pPr>
              <w:ind w:left="380"/>
              <w:spacing w:after="0"/>
              <w:rPr>
                <w:sz w:val="20"/>
                <w:szCs w:val="20"/>
                <w:color w:val="auto"/>
              </w:rPr>
            </w:pPr>
            <w:r>
              <w:rPr>
                <w:rFonts w:ascii="Arial" w:cs="Arial" w:eastAsia="Arial" w:hAnsi="Arial"/>
                <w:sz w:val="17"/>
                <w:szCs w:val="17"/>
                <w:color w:val="auto"/>
              </w:rPr>
              <w:t>Cash payments for lease liabilities</w:t>
            </w:r>
          </w:p>
        </w:tc>
        <w:tc>
          <w:tcPr>
            <w:tcW w:w="2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15"/>
              <w:spacing w:after="0"/>
              <w:rPr>
                <w:sz w:val="20"/>
                <w:szCs w:val="20"/>
                <w:color w:val="auto"/>
              </w:rPr>
            </w:pPr>
            <w:r>
              <w:rPr>
                <w:rFonts w:ascii="Arial" w:cs="Arial" w:eastAsia="Arial" w:hAnsi="Arial"/>
                <w:sz w:val="17"/>
                <w:szCs w:val="17"/>
                <w:color w:val="auto"/>
              </w:rPr>
              <w:t>(1,381 )</w:t>
            </w:r>
          </w:p>
        </w:tc>
        <w:tc>
          <w:tcPr>
            <w:tcW w:w="26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(686 )</w:t>
            </w:r>
          </w:p>
        </w:tc>
        <w:tc>
          <w:tcPr>
            <w:tcW w:w="2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(687 )</w:t>
            </w:r>
          </w:p>
        </w:tc>
        <w:tc>
          <w:tcPr>
            <w:tcW w:w="140" w:type="dxa"/>
            <w:vAlign w:val="bottom"/>
          </w:tcPr>
          <w:p>
            <w:pPr>
              <w:spacing w:after="0"/>
              <w:rPr>
                <w:sz w:val="20"/>
                <w:szCs w:val="20"/>
                <w:color w:val="auto"/>
              </w:rPr>
            </w:pPr>
          </w:p>
        </w:tc>
      </w:tr>
      <w:tr>
        <w:trPr>
          <w:trHeight w:val="223"/>
        </w:trPr>
        <w:tc>
          <w:tcPr>
            <w:tcW w:w="6780" w:type="dxa"/>
            <w:vAlign w:val="bottom"/>
          </w:tcPr>
          <w:p>
            <w:pPr>
              <w:ind w:left="380"/>
              <w:spacing w:after="0"/>
              <w:rPr>
                <w:sz w:val="20"/>
                <w:szCs w:val="20"/>
                <w:color w:val="auto"/>
              </w:rPr>
            </w:pPr>
            <w:r>
              <w:rPr>
                <w:rFonts w:ascii="Arial" w:cs="Arial" w:eastAsia="Arial" w:hAnsi="Arial"/>
                <w:sz w:val="17"/>
                <w:szCs w:val="17"/>
                <w:color w:val="auto"/>
              </w:rPr>
              <w:t>Issuance of common stock in connection with public offering, net</w:t>
            </w:r>
          </w:p>
        </w:tc>
        <w:tc>
          <w:tcPr>
            <w:tcW w:w="280" w:type="dxa"/>
            <w:vAlign w:val="bottom"/>
          </w:tcPr>
          <w:p>
            <w:pPr>
              <w:spacing w:after="0"/>
              <w:rPr>
                <w:sz w:val="19"/>
                <w:szCs w:val="19"/>
                <w:color w:val="auto"/>
              </w:rPr>
            </w:pPr>
          </w:p>
        </w:tc>
        <w:tc>
          <w:tcPr>
            <w:tcW w:w="1240" w:type="dxa"/>
            <w:vAlign w:val="bottom"/>
            <w:gridSpan w:val="2"/>
          </w:tcPr>
          <w:p>
            <w:pPr>
              <w:jc w:val="right"/>
              <w:ind w:right="19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95,036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6"/>
        </w:trPr>
        <w:tc>
          <w:tcPr>
            <w:tcW w:w="6780" w:type="dxa"/>
            <w:vAlign w:val="bottom"/>
            <w:shd w:val="clear" w:color="auto" w:fill="CFF0FC"/>
          </w:tcPr>
          <w:p>
            <w:pPr>
              <w:ind w:left="380"/>
              <w:spacing w:after="0"/>
              <w:rPr>
                <w:sz w:val="20"/>
                <w:szCs w:val="20"/>
                <w:color w:val="auto"/>
              </w:rPr>
            </w:pPr>
            <w:r>
              <w:rPr>
                <w:rFonts w:ascii="Arial" w:cs="Arial" w:eastAsia="Arial" w:hAnsi="Arial"/>
                <w:sz w:val="17"/>
                <w:szCs w:val="17"/>
                <w:color w:val="auto"/>
              </w:rPr>
              <w:t>Proceeds from exercise of stock options</w:t>
            </w: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246</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3,222</w:t>
            </w:r>
          </w:p>
        </w:tc>
        <w:tc>
          <w:tcPr>
            <w:tcW w:w="120" w:type="dxa"/>
            <w:vAlign w:val="bottom"/>
            <w:shd w:val="clear" w:color="auto" w:fill="CFF0FC"/>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6780" w:type="dxa"/>
            <w:vAlign w:val="bottom"/>
          </w:tcPr>
          <w:p>
            <w:pPr>
              <w:ind w:left="380"/>
              <w:spacing w:after="0"/>
              <w:rPr>
                <w:sz w:val="20"/>
                <w:szCs w:val="20"/>
                <w:color w:val="auto"/>
              </w:rPr>
            </w:pPr>
            <w:r>
              <w:rPr>
                <w:rFonts w:ascii="Arial" w:cs="Arial" w:eastAsia="Arial" w:hAnsi="Arial"/>
                <w:sz w:val="17"/>
                <w:szCs w:val="17"/>
                <w:color w:val="auto"/>
              </w:rPr>
              <w:t>Payment of acquisition-related contingent consideration</w:t>
            </w:r>
          </w:p>
        </w:tc>
        <w:tc>
          <w:tcPr>
            <w:tcW w:w="280" w:type="dxa"/>
            <w:vAlign w:val="bottom"/>
          </w:tcPr>
          <w:p>
            <w:pPr>
              <w:spacing w:after="0"/>
              <w:rPr>
                <w:sz w:val="19"/>
                <w:szCs w:val="19"/>
                <w:color w:val="auto"/>
              </w:rPr>
            </w:pPr>
          </w:p>
        </w:tc>
        <w:tc>
          <w:tcPr>
            <w:tcW w:w="1240" w:type="dxa"/>
            <w:vAlign w:val="bottom"/>
            <w:gridSpan w:val="2"/>
          </w:tcPr>
          <w:p>
            <w:pPr>
              <w:jc w:val="right"/>
              <w:ind w:right="115"/>
              <w:spacing w:after="0"/>
              <w:rPr>
                <w:sz w:val="20"/>
                <w:szCs w:val="20"/>
                <w:color w:val="auto"/>
              </w:rPr>
            </w:pPr>
            <w:r>
              <w:rPr>
                <w:rFonts w:ascii="Arial" w:cs="Arial" w:eastAsia="Arial" w:hAnsi="Arial"/>
                <w:sz w:val="17"/>
                <w:szCs w:val="17"/>
                <w:color w:val="auto"/>
              </w:rPr>
              <w:t>(208 )</w:t>
            </w:r>
          </w:p>
        </w:tc>
        <w:tc>
          <w:tcPr>
            <w:tcW w:w="26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(264 )</w:t>
            </w:r>
          </w:p>
        </w:tc>
        <w:tc>
          <w:tcPr>
            <w:tcW w:w="2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(3,004 )</w:t>
            </w:r>
          </w:p>
        </w:tc>
        <w:tc>
          <w:tcPr>
            <w:tcW w:w="140" w:type="dxa"/>
            <w:vAlign w:val="bottom"/>
          </w:tcPr>
          <w:p>
            <w:pPr>
              <w:spacing w:after="0"/>
              <w:rPr>
                <w:sz w:val="19"/>
                <w:szCs w:val="19"/>
                <w:color w:val="auto"/>
              </w:rPr>
            </w:pPr>
          </w:p>
        </w:tc>
      </w:tr>
      <w:tr>
        <w:trPr>
          <w:trHeight w:val="234"/>
        </w:trPr>
        <w:tc>
          <w:tcPr>
            <w:tcW w:w="6780" w:type="dxa"/>
            <w:vAlign w:val="bottom"/>
            <w:shd w:val="clear" w:color="auto" w:fill="CFF0FC"/>
          </w:tcPr>
          <w:p>
            <w:pPr>
              <w:ind w:left="380"/>
              <w:spacing w:after="0"/>
              <w:rPr>
                <w:sz w:val="20"/>
                <w:szCs w:val="20"/>
                <w:color w:val="auto"/>
              </w:rPr>
            </w:pPr>
            <w:r>
              <w:rPr>
                <w:rFonts w:ascii="Arial" w:cs="Arial" w:eastAsia="Arial" w:hAnsi="Arial"/>
                <w:sz w:val="17"/>
                <w:szCs w:val="17"/>
                <w:color w:val="auto"/>
              </w:rPr>
              <w:t>Repurchase of common stock</w:t>
            </w:r>
          </w:p>
        </w:tc>
        <w:tc>
          <w:tcPr>
            <w:tcW w:w="2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15"/>
              <w:spacing w:after="0"/>
              <w:rPr>
                <w:sz w:val="20"/>
                <w:szCs w:val="20"/>
                <w:color w:val="auto"/>
              </w:rPr>
            </w:pPr>
            <w:r>
              <w:rPr>
                <w:rFonts w:ascii="Arial" w:cs="Arial" w:eastAsia="Arial" w:hAnsi="Arial"/>
                <w:sz w:val="17"/>
                <w:szCs w:val="17"/>
                <w:color w:val="auto"/>
              </w:rPr>
              <w:t>(2,254 )</w:t>
            </w:r>
          </w:p>
        </w:tc>
        <w:tc>
          <w:tcPr>
            <w:tcW w:w="26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(2,113 )</w:t>
            </w:r>
          </w:p>
        </w:tc>
        <w:tc>
          <w:tcPr>
            <w:tcW w:w="2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(2,088 )</w:t>
            </w:r>
          </w:p>
        </w:tc>
        <w:tc>
          <w:tcPr>
            <w:tcW w:w="140" w:type="dxa"/>
            <w:vAlign w:val="bottom"/>
          </w:tcPr>
          <w:p>
            <w:pPr>
              <w:spacing w:after="0"/>
              <w:rPr>
                <w:sz w:val="20"/>
                <w:szCs w:val="20"/>
                <w:color w:val="auto"/>
              </w:rPr>
            </w:pPr>
          </w:p>
        </w:tc>
      </w:tr>
      <w:tr>
        <w:trPr>
          <w:trHeight w:val="20"/>
        </w:trPr>
        <w:tc>
          <w:tcPr>
            <w:tcW w:w="67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6780" w:type="dxa"/>
            <w:vAlign w:val="bottom"/>
          </w:tcPr>
          <w:p>
            <w:pPr>
              <w:ind w:left="740"/>
              <w:spacing w:after="0"/>
              <w:rPr>
                <w:sz w:val="20"/>
                <w:szCs w:val="20"/>
                <w:color w:val="auto"/>
              </w:rPr>
            </w:pPr>
            <w:r>
              <w:rPr>
                <w:rFonts w:ascii="Arial" w:cs="Arial" w:eastAsia="Arial" w:hAnsi="Arial"/>
                <w:sz w:val="17"/>
                <w:szCs w:val="17"/>
                <w:color w:val="auto"/>
              </w:rPr>
              <w:t>Net cash (used in) provided by financing activities</w:t>
            </w:r>
          </w:p>
        </w:tc>
        <w:tc>
          <w:tcPr>
            <w:tcW w:w="280" w:type="dxa"/>
            <w:vAlign w:val="bottom"/>
          </w:tcPr>
          <w:p>
            <w:pPr>
              <w:spacing w:after="0"/>
              <w:rPr>
                <w:sz w:val="19"/>
                <w:szCs w:val="19"/>
                <w:color w:val="auto"/>
              </w:rPr>
            </w:pPr>
          </w:p>
        </w:tc>
        <w:tc>
          <w:tcPr>
            <w:tcW w:w="1240" w:type="dxa"/>
            <w:vAlign w:val="bottom"/>
            <w:gridSpan w:val="2"/>
          </w:tcPr>
          <w:p>
            <w:pPr>
              <w:jc w:val="right"/>
              <w:ind w:right="115"/>
              <w:spacing w:after="0"/>
              <w:rPr>
                <w:sz w:val="20"/>
                <w:szCs w:val="20"/>
                <w:color w:val="auto"/>
              </w:rPr>
            </w:pPr>
            <w:r>
              <w:rPr>
                <w:rFonts w:ascii="Arial" w:cs="Arial" w:eastAsia="Arial" w:hAnsi="Arial"/>
                <w:sz w:val="17"/>
                <w:szCs w:val="17"/>
                <w:color w:val="auto"/>
              </w:rPr>
              <w:t>(3,828 )</w:t>
            </w:r>
          </w:p>
        </w:tc>
        <w:tc>
          <w:tcPr>
            <w:tcW w:w="26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(2,817 )</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92,479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5"/>
        </w:trPr>
        <w:tc>
          <w:tcPr>
            <w:tcW w:w="6780" w:type="dxa"/>
            <w:vAlign w:val="bottom"/>
            <w:shd w:val="clear" w:color="auto" w:fill="CFF0FC"/>
          </w:tcPr>
          <w:p>
            <w:pPr>
              <w:ind w:left="20"/>
              <w:spacing w:after="0"/>
              <w:rPr>
                <w:sz w:val="20"/>
                <w:szCs w:val="20"/>
                <w:color w:val="auto"/>
              </w:rPr>
            </w:pPr>
            <w:r>
              <w:rPr>
                <w:rFonts w:ascii="Arial" w:cs="Arial" w:eastAsia="Arial" w:hAnsi="Arial"/>
                <w:sz w:val="17"/>
                <w:szCs w:val="17"/>
                <w:color w:val="auto"/>
              </w:rPr>
              <w:t>EFFECT OF FOREIGN EXCHANGE RATE CHANGES ON CASH</w:t>
            </w:r>
          </w:p>
        </w:tc>
        <w:tc>
          <w:tcPr>
            <w:tcW w:w="2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(2,837</w:t>
            </w:r>
          </w:p>
        </w:tc>
        <w:tc>
          <w:tcPr>
            <w:tcW w:w="280" w:type="dxa"/>
            <w:vAlign w:val="bottom"/>
            <w:shd w:val="clear" w:color="auto" w:fill="CFF0FC"/>
          </w:tcPr>
          <w:p>
            <w:pPr>
              <w:jc w:val="right"/>
              <w:ind w:right="115"/>
              <w:spacing w:after="0"/>
              <w:rPr>
                <w:sz w:val="20"/>
                <w:szCs w:val="20"/>
                <w:color w:val="auto"/>
              </w:rPr>
            </w:pPr>
            <w:r>
              <w:rPr>
                <w:rFonts w:ascii="Arial" w:cs="Arial" w:eastAsia="Arial" w:hAnsi="Arial"/>
                <w:sz w:val="17"/>
                <w:szCs w:val="17"/>
                <w:color w:val="auto"/>
              </w:rPr>
              <w:t>)</w:t>
            </w:r>
          </w:p>
        </w:tc>
        <w:tc>
          <w:tcPr>
            <w:tcW w:w="2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(340</w:t>
            </w:r>
          </w:p>
        </w:tc>
        <w:tc>
          <w:tcPr>
            <w:tcW w:w="24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830</w:t>
            </w:r>
          </w:p>
        </w:tc>
        <w:tc>
          <w:tcPr>
            <w:tcW w:w="120" w:type="dxa"/>
            <w:vAlign w:val="bottom"/>
            <w:shd w:val="clear" w:color="auto" w:fill="CFF0FC"/>
          </w:tcPr>
          <w:p>
            <w:pPr>
              <w:spacing w:after="0"/>
              <w:rPr>
                <w:sz w:val="19"/>
                <w:szCs w:val="19"/>
                <w:color w:val="auto"/>
              </w:rPr>
            </w:pPr>
          </w:p>
        </w:tc>
        <w:tc>
          <w:tcPr>
            <w:tcW w:w="140" w:type="dxa"/>
            <w:vAlign w:val="bottom"/>
          </w:tcPr>
          <w:p>
            <w:pPr>
              <w:spacing w:after="0"/>
              <w:rPr>
                <w:sz w:val="19"/>
                <w:szCs w:val="19"/>
                <w:color w:val="auto"/>
              </w:rPr>
            </w:pPr>
          </w:p>
        </w:tc>
      </w:tr>
      <w:tr>
        <w:trPr>
          <w:trHeight w:val="223"/>
        </w:trPr>
        <w:tc>
          <w:tcPr>
            <w:tcW w:w="6780" w:type="dxa"/>
            <w:vAlign w:val="bottom"/>
          </w:tcPr>
          <w:p>
            <w:pPr>
              <w:ind w:left="20"/>
              <w:spacing w:after="0"/>
              <w:rPr>
                <w:sz w:val="20"/>
                <w:szCs w:val="20"/>
                <w:color w:val="auto"/>
              </w:rPr>
            </w:pPr>
            <w:r>
              <w:rPr>
                <w:rFonts w:ascii="Arial" w:cs="Arial" w:eastAsia="Arial" w:hAnsi="Arial"/>
                <w:sz w:val="17"/>
                <w:szCs w:val="17"/>
                <w:color w:val="auto"/>
              </w:rPr>
              <w:t>NET INCREASE (DECREASE) IN CASH AND CASH EQUIVALENTS</w:t>
            </w:r>
          </w:p>
        </w:tc>
        <w:tc>
          <w:tcPr>
            <w:tcW w:w="280" w:type="dxa"/>
            <w:vAlign w:val="bottom"/>
          </w:tcPr>
          <w:p>
            <w:pPr>
              <w:spacing w:after="0"/>
              <w:rPr>
                <w:sz w:val="19"/>
                <w:szCs w:val="19"/>
                <w:color w:val="auto"/>
              </w:rPr>
            </w:pPr>
          </w:p>
        </w:tc>
        <w:tc>
          <w:tcPr>
            <w:tcW w:w="1240" w:type="dxa"/>
            <w:vAlign w:val="bottom"/>
            <w:gridSpan w:val="2"/>
          </w:tcPr>
          <w:p>
            <w:pPr>
              <w:jc w:val="right"/>
              <w:ind w:right="115"/>
              <w:spacing w:after="0"/>
              <w:rPr>
                <w:sz w:val="20"/>
                <w:szCs w:val="20"/>
                <w:color w:val="auto"/>
              </w:rPr>
            </w:pPr>
            <w:r>
              <w:rPr>
                <w:rFonts w:ascii="Arial" w:cs="Arial" w:eastAsia="Arial" w:hAnsi="Arial"/>
                <w:sz w:val="17"/>
                <w:szCs w:val="17"/>
                <w:color w:val="auto"/>
              </w:rPr>
              <w:t>(32,782 )</w:t>
            </w:r>
          </w:p>
        </w:tc>
        <w:tc>
          <w:tcPr>
            <w:tcW w:w="26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(44,040 )</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85,087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4"/>
        </w:trPr>
        <w:tc>
          <w:tcPr>
            <w:tcW w:w="6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CASH AND CASH EQUIVALENTS, BEGINNING OF PERIOD</w:t>
            </w:r>
          </w:p>
        </w:tc>
        <w:tc>
          <w:tcPr>
            <w:tcW w:w="28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116,762</w:t>
            </w:r>
          </w:p>
        </w:tc>
        <w:tc>
          <w:tcPr>
            <w:tcW w:w="2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160,802</w:t>
            </w: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75,715</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Pr>
          <w:p>
            <w:pPr>
              <w:spacing w:after="0"/>
              <w:rPr>
                <w:sz w:val="20"/>
                <w:szCs w:val="20"/>
                <w:color w:val="auto"/>
              </w:rPr>
            </w:pPr>
          </w:p>
        </w:tc>
      </w:tr>
      <w:tr>
        <w:trPr>
          <w:trHeight w:val="225"/>
        </w:trPr>
        <w:tc>
          <w:tcPr>
            <w:tcW w:w="6780" w:type="dxa"/>
            <w:vAlign w:val="bottom"/>
          </w:tcPr>
          <w:p>
            <w:pPr>
              <w:ind w:left="20"/>
              <w:spacing w:after="0"/>
              <w:rPr>
                <w:sz w:val="20"/>
                <w:szCs w:val="20"/>
                <w:color w:val="auto"/>
              </w:rPr>
            </w:pPr>
            <w:r>
              <w:rPr>
                <w:rFonts w:ascii="Arial" w:cs="Arial" w:eastAsia="Arial" w:hAnsi="Arial"/>
                <w:sz w:val="17"/>
                <w:szCs w:val="17"/>
                <w:color w:val="auto"/>
              </w:rPr>
              <w:t>CASH AND CASH EQUIVALENTS, END OF PERIOD</w:t>
            </w: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83,980</w:t>
            </w:r>
          </w:p>
        </w:tc>
        <w:tc>
          <w:tcPr>
            <w:tcW w:w="280" w:type="dxa"/>
            <w:vAlign w:val="bottom"/>
          </w:tcPr>
          <w:p>
            <w:pPr>
              <w:spacing w:after="0"/>
              <w:rPr>
                <w:sz w:val="19"/>
                <w:szCs w:val="19"/>
                <w:color w:val="auto"/>
              </w:rPr>
            </w:pP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116,762</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160,802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-3436620</wp:posOffset>
            </wp:positionV>
            <wp:extent cx="77470" cy="16319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2">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-3436620</wp:posOffset>
            </wp:positionV>
            <wp:extent cx="68580" cy="16319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-3436620</wp:posOffset>
            </wp:positionV>
            <wp:extent cx="68580" cy="16319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-1662430</wp:posOffset>
            </wp:positionV>
            <wp:extent cx="77470" cy="1543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5">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-1662430</wp:posOffset>
            </wp:positionV>
            <wp:extent cx="68580" cy="1543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-1662430</wp:posOffset>
            </wp:positionV>
            <wp:extent cx="68580" cy="1543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-779780</wp:posOffset>
            </wp:positionV>
            <wp:extent cx="77470" cy="16319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8">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-779780</wp:posOffset>
            </wp:positionV>
            <wp:extent cx="68580" cy="16319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-779780</wp:posOffset>
            </wp:positionV>
            <wp:extent cx="68580" cy="16319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-179705</wp:posOffset>
            </wp:positionV>
            <wp:extent cx="77470" cy="3257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1">
                      <a:extLst>
                        <a:ext uri="{28A0092B-C50C-407E-A947-70E740481C1C}"/>
                      </a:extLst>
                    </a:blip>
                    <a:srcRect/>
                    <a:stretch>
                      <a:fillRect/>
                    </a:stretch>
                  </pic:blipFill>
                  <pic:spPr bwMode="auto">
                    <a:xfrm>
                      <a:off x="0" y="0"/>
                      <a:ext cx="77470" cy="3257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-179705</wp:posOffset>
            </wp:positionV>
            <wp:extent cx="68580" cy="3257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2">
                      <a:extLst>
                        <a:ext uri="{28A0092B-C50C-407E-A947-70E740481C1C}"/>
                      </a:extLst>
                    </a:blip>
                    <a:srcRect/>
                    <a:stretch>
                      <a:fillRect/>
                    </a:stretch>
                  </pic:blipFill>
                  <pic:spPr bwMode="auto">
                    <a:xfrm>
                      <a:off x="0" y="0"/>
                      <a:ext cx="68580" cy="3257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-179705</wp:posOffset>
            </wp:positionV>
            <wp:extent cx="68580" cy="3257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3">
                      <a:extLst>
                        <a:ext uri="{28A0092B-C50C-407E-A947-70E740481C1C}"/>
                      </a:extLst>
                    </a:blip>
                    <a:srcRect/>
                    <a:stretch>
                      <a:fillRect/>
                    </a:stretch>
                  </pic:blipFill>
                  <pic:spPr bwMode="auto">
                    <a:xfrm>
                      <a:off x="0" y="0"/>
                      <a:ext cx="68580" cy="3257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2" w:name="page83"/>
    <w:bookmarkEnd w:id="82"/>
    <w:p>
      <w:pPr>
        <w:jc w:val="center"/>
        <w:ind w:right="40"/>
        <w:spacing w:after="0"/>
        <w:rPr>
          <w:sz w:val="20"/>
          <w:szCs w:val="20"/>
          <w:color w:val="auto"/>
        </w:rPr>
      </w:pPr>
      <w:r>
        <w:rPr>
          <w:rFonts w:ascii="Arial" w:cs="Arial" w:eastAsia="Arial" w:hAnsi="Arial"/>
          <w:sz w:val="18"/>
          <w:szCs w:val="18"/>
          <w:b w:val="1"/>
          <w:bCs w:val="1"/>
          <w:color w:val="auto"/>
        </w:rPr>
        <w:t>ORASURE TECHNOLOGIES, INC. AND SUBSIDIARIES</w:t>
      </w:r>
    </w:p>
    <w:p>
      <w:pPr>
        <w:spacing w:after="0" w:line="117"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17"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(in thousands, except per share amounts, unless otherwise indicated)</w:t>
      </w:r>
    </w:p>
    <w:p>
      <w:pPr>
        <w:spacing w:after="0" w:line="225" w:lineRule="exact"/>
        <w:rPr>
          <w:sz w:val="20"/>
          <w:szCs w:val="20"/>
          <w:color w:val="auto"/>
        </w:rPr>
      </w:pPr>
    </w:p>
    <w:p>
      <w:pPr>
        <w:ind w:left="360" w:hanging="352"/>
        <w:spacing w:after="0"/>
        <w:tabs>
          <w:tab w:leader="none" w:pos="3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THE COMPANY:</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primary goal of OraSure Technologies, Inc. (“OraSure” or “the Company”) is to empower the global community to improve health and wellness by providing access to accurate essential information through effortless tests, collection kits and services. OraSure's business consists of two segments: our “Diagnostics” segment, and our “Molecular Solutions” segment.</w:t>
      </w:r>
    </w:p>
    <w:p>
      <w:pPr>
        <w:spacing w:after="0" w:line="184"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The Company's Diagnostics business primarily consists of the development, manufacture, marketing and sale of simple, easy to use diagnostic products and specimen collection devices using the Company's proprietary technologies, as well as other diagnostic products including immunoassays and other in vitro diagnostic tests that are used on other specimen types. The Diagnostics business includes tests for diseases including COVID-19, HIV and Hepatitis C that are performed on a rapid basis at the point of care, and tests for drugs of abuse that are processed in a laboratory. These products are sold in the United States and internationally to various clinical laboratories, hospitals, clinics, community-based organizations, and other public health organizations, distributors, government agencies, physicians’ offices, and commercial and industrial entities. The Company's COVID-19 and HIV products are also sold in a consumer-friendly format in the over-the-counter (“OTC”) market in the U.S. and, in the case of the HIV product, as a self-test to individuals in a number of other countries. In 2022, after obtaining a CE mark, the Company launched the OraQuick</w:t>
      </w:r>
      <w:r>
        <w:rPr>
          <w:rFonts w:ascii="Arial" w:cs="Arial" w:eastAsia="Arial" w:hAnsi="Arial"/>
          <w:sz w:val="21"/>
          <w:szCs w:val="21"/>
          <w:color w:val="auto"/>
          <w:vertAlign w:val="superscript"/>
        </w:rPr>
        <w:t>®</w:t>
      </w:r>
      <w:r>
        <w:rPr>
          <w:rFonts w:ascii="Arial" w:cs="Arial" w:eastAsia="Arial" w:hAnsi="Arial"/>
          <w:sz w:val="16"/>
          <w:szCs w:val="16"/>
          <w:color w:val="auto"/>
        </w:rPr>
        <w:t xml:space="preserve"> HIV Self-Test, an oral swab in-home test for HIV-1 and HIV-2, in Europe, making it available in several European countries. Through the Company’s Diagnostics business the Company is also developing and commercializing products that measure adherence to HIV medications including pre-exposure prophylaxis ("PrEP").</w:t>
      </w:r>
    </w:p>
    <w:p>
      <w:pPr>
        <w:spacing w:after="0" w:line="1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0E101A"/>
        </w:rPr>
        <w:t>The Company's Molecular Solutions business is operated by its wholly-owned subsidiaries, DNA Genotek Inc. ("DNAG"), Diversigen, Inc. ("Diversigen"), and Novosanis NV ("Novosanis"). The Company's Molecular Solutions business sells its products and services directly to its customers, primarily through its internal sales force in the U.S. domestic market, and in many international markets, also through distributors. The Company's products primarily consist of collection kits and services used by clinical laboratories, direct-to-consumer laboratories, researchers, pharmaceutical companies, and animal health service and product providers. Most of the Company's Molecular Solutions revenues are derived from product sales to commercial customers and sales into the academic and research markets. A significant portion of the Company's total sales is from repeat customers in both markets. Molecular Solutions customers span the disease risk management, diagnostics, pharmaceutical, biotech, companion animal and environmental markets.</w:t>
      </w:r>
    </w:p>
    <w:p>
      <w:pPr>
        <w:spacing w:after="0" w:line="270" w:lineRule="exact"/>
        <w:rPr>
          <w:sz w:val="20"/>
          <w:szCs w:val="20"/>
          <w:color w:val="auto"/>
        </w:rPr>
      </w:pPr>
    </w:p>
    <w:p>
      <w:pPr>
        <w:ind w:left="360" w:hanging="352"/>
        <w:spacing w:after="0"/>
        <w:tabs>
          <w:tab w:leader="none" w:pos="3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 and Basis of Presentation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consolidated financial statements include the accounts of OraSure Technologies, Inc. (“OraSure”) and its wholly-owned subsidiaries, DNAG, Diversigen, and Novosanis. All intercompany transactions and balances have been eliminated. References herein to “we”, “us”, “our”, or the “Company” mean OraSure and its consolidated subsidiaries, unless otherwise indicated.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preparation of consolidated financial statements in conformity with accounting principles generally accepted in the United States of America requires management to make estimates and assumptions about future events. These estimates and underlying assumptions affect the amounts of assets and liabilities reported, disclosures about contingent assets and liabilities, and reported amounts of revenues and expenses. Such estimates include the fair value of assets acquired and liabilities assumed for business combinations, the valuation of accounts receivable and inventories and assumptions utilized in impairment testing for intangible assets and goodwill, as well as estimates related to taxes, contingent consideration, and performance-based compensation expense. These estimates and assumptions are based on management’s best estimates and judgment. Management evaluates its estimates and assumptions on an ongoing basis, using historical experience and other factors, which management believes to be reasonable under the circumstances, including the current economic environment. As future events and their effects cannot be determined with precision, actual results could differ significantly from these estimates. Changes in those estimates resulting from continuing changes in the economic environment and other factors will be reflected in the financial statements in those future periods.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Retention Credit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December 2021, the Company applied for the Employee Retention Credit for payroll taxes paid in the first and second quarters of 2021 as provided by the Coronavirus Aid, Relief and Economic Security Act. The amount due from the Internal Revenue Service of $5,728 is recorded in other current assets in the Company's consolidated balance sheet as of December 31, 2022 and 2021. The amount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3" w:name="page84"/>
    <w:bookmarkEnd w:id="83"/>
    <w:p>
      <w:pPr>
        <w:jc w:val="both"/>
        <w:spacing w:after="0" w:line="263" w:lineRule="auto"/>
        <w:rPr>
          <w:sz w:val="20"/>
          <w:szCs w:val="20"/>
          <w:color w:val="auto"/>
        </w:rPr>
      </w:pPr>
      <w:r>
        <w:rPr>
          <w:rFonts w:ascii="Arial" w:cs="Arial" w:eastAsia="Arial" w:hAnsi="Arial"/>
          <w:sz w:val="18"/>
          <w:szCs w:val="18"/>
          <w:color w:val="auto"/>
        </w:rPr>
        <w:t>was received in 2023. The credit is reported in the Company's consolidated statement of operations, for the year ended December 31, 2021, within cost of products and services sold, research and development, sales and marketing and general and administrative costs in the amounts of $2,536, $1,134, $924, and $1,134,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Cash Flow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2022, 2021 and 2020, the Company paid income taxes of $9,446, $13,727 and $9,263, respectively.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account receivable write-offs of $2,296, $115, and $501 in 2022, 2021, and 2020,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2022, 2021 and 2020, the Company had accruals for purchases of property and equipment of $227, $8,166 and $802, respectively.</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considers all investments in debt securities to be available-for-sale securities. These securities are comprised of guaranteed investment certificates and corporate bonds with purchased maturities greater than ninety days. Available-for-sale securities are carried at fair value, based upon quoted market prices, with unrealized gains and losses, if any, reported in stockholders’ equity as a component of accumulated other comprehensive loss.</w:t>
      </w:r>
    </w:p>
    <w:p>
      <w:pPr>
        <w:spacing w:after="0" w:line="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records an allowance for credit loss for the Company's available-for-sale securities when a decline in investment market value is due to credit-related factors. When evaluating an investment for impairment, the Company reviews factors such as the severity of the impairment, changes in underlying credit ratings, forecasted recovery, the Company’s intent to sell or the likelihood that it would be required to sell the investment before its anticipated recovery in market value, and the probability that the scheduled cash payments will continue to be made.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available-for-sale securities as of December 31, 2022 and 2021:</w:t>
      </w:r>
    </w:p>
    <w:p>
      <w:pPr>
        <w:spacing w:after="0" w:line="24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Amortized</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55"/>
              <w:spacing w:after="0"/>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2"/>
                <w:szCs w:val="12"/>
                <w:color w:val="auto"/>
              </w:rPr>
            </w:pPr>
          </w:p>
        </w:tc>
        <w:tc>
          <w:tcPr>
            <w:tcW w:w="94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454"/>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center"/>
              <w:ind w:right="55"/>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December 31, 2022</w:t>
            </w:r>
          </w:p>
        </w:tc>
        <w:tc>
          <w:tcPr>
            <w:tcW w:w="24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860" w:type="dxa"/>
            <w:vAlign w:val="bottom"/>
          </w:tcPr>
          <w:p>
            <w:pPr>
              <w:ind w:left="180"/>
              <w:spacing w:after="0"/>
              <w:rPr>
                <w:sz w:val="20"/>
                <w:szCs w:val="20"/>
                <w:color w:val="auto"/>
              </w:rPr>
            </w:pPr>
            <w:r>
              <w:rPr>
                <w:rFonts w:ascii="Arial" w:cs="Arial" w:eastAsia="Arial" w:hAnsi="Arial"/>
                <w:sz w:val="18"/>
                <w:szCs w:val="18"/>
                <w:color w:val="auto"/>
              </w:rPr>
              <w:t>Guaranteed investment certificates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22,109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ind w:left="680"/>
              <w:spacing w:after="0"/>
              <w:rPr>
                <w:sz w:val="20"/>
                <w:szCs w:val="20"/>
                <w:color w:val="auto"/>
              </w:rPr>
            </w:pPr>
            <w:r>
              <w:rPr>
                <w:rFonts w:ascii="Arial" w:cs="Arial" w:eastAsia="Arial" w:hAnsi="Arial"/>
                <w:sz w:val="18"/>
                <w:szCs w:val="18"/>
                <w:color w:val="auto"/>
                <w:w w:val="88"/>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22,109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Corporate bonds</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4,978</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ind w:left="68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(220 )</w:t>
            </w: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860" w:type="dxa"/>
            <w:vAlign w:val="bottom"/>
          </w:tcPr>
          <w:p>
            <w:pPr>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27,087</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ind w:left="6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(220 )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26,867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December 31, 2021</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860" w:type="dxa"/>
            <w:vAlign w:val="bottom"/>
          </w:tcPr>
          <w:p>
            <w:pPr>
              <w:ind w:left="180"/>
              <w:spacing w:after="0"/>
              <w:rPr>
                <w:sz w:val="20"/>
                <w:szCs w:val="20"/>
                <w:color w:val="auto"/>
              </w:rPr>
            </w:pPr>
            <w:r>
              <w:rPr>
                <w:rFonts w:ascii="Arial" w:cs="Arial" w:eastAsia="Arial" w:hAnsi="Arial"/>
                <w:sz w:val="18"/>
                <w:szCs w:val="18"/>
                <w:color w:val="auto"/>
              </w:rPr>
              <w:t>Guaranteed investment certificates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33,249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ind w:left="680"/>
              <w:spacing w:after="0"/>
              <w:rPr>
                <w:sz w:val="20"/>
                <w:szCs w:val="20"/>
                <w:color w:val="auto"/>
              </w:rPr>
            </w:pPr>
            <w:r>
              <w:rPr>
                <w:rFonts w:ascii="Arial" w:cs="Arial" w:eastAsia="Arial" w:hAnsi="Arial"/>
                <w:sz w:val="18"/>
                <w:szCs w:val="18"/>
                <w:color w:val="auto"/>
                <w:w w:val="88"/>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33,249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Corporate bonds</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20,473</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ind w:left="68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(434 )</w:t>
            </w: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20,039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60" w:type="dxa"/>
            <w:vAlign w:val="bottom"/>
          </w:tcPr>
          <w:p>
            <w:pPr>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53,722</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ind w:left="6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(434 )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53,288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860" w:type="dxa"/>
            <w:vAlign w:val="bottom"/>
            <w:shd w:val="clear" w:color="auto" w:fill="CFF0FC"/>
          </w:tcPr>
          <w:p>
            <w:pPr>
              <w:spacing w:after="0" w:line="198" w:lineRule="exact"/>
              <w:rPr>
                <w:sz w:val="20"/>
                <w:szCs w:val="20"/>
                <w:color w:val="auto"/>
              </w:rPr>
            </w:pPr>
            <w:r>
              <w:rPr>
                <w:rFonts w:ascii="Arial" w:cs="Arial" w:eastAsia="Arial" w:hAnsi="Arial"/>
                <w:sz w:val="18"/>
                <w:szCs w:val="18"/>
                <w:b w:val="1"/>
                <w:bCs w:val="1"/>
                <w:color w:val="auto"/>
              </w:rPr>
              <w:t>At December 31, 2022, maturities of the Company's</w:t>
            </w: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available-for-sale securities were as follows:</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gridSpan w:val="2"/>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gridSpan w:val="2"/>
          </w:tcPr>
          <w:p>
            <w:pPr>
              <w:spacing w:after="0"/>
              <w:rPr>
                <w:sz w:val="21"/>
                <w:szCs w:val="21"/>
                <w:color w:val="auto"/>
              </w:rPr>
            </w:pPr>
          </w:p>
        </w:tc>
        <w:tc>
          <w:tcPr>
            <w:tcW w:w="108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8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Less than one year</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27,087</w:t>
            </w:r>
          </w:p>
        </w:tc>
        <w:tc>
          <w:tcPr>
            <w:tcW w:w="240" w:type="dxa"/>
            <w:vAlign w:val="bottom"/>
            <w:shd w:val="clear" w:color="auto" w:fill="CFF0FC"/>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ind w:left="68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FF0FC"/>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(220 )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26,867</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60" w:type="dxa"/>
            <w:vAlign w:val="bottom"/>
            <w:tcBorders>
              <w:top w:val="single" w:sz="8" w:color="CFF0FC"/>
            </w:tcBorders>
          </w:tcPr>
          <w:p>
            <w:pPr>
              <w:ind w:left="180"/>
              <w:spacing w:after="0"/>
              <w:rPr>
                <w:sz w:val="20"/>
                <w:szCs w:val="20"/>
                <w:color w:val="auto"/>
              </w:rPr>
            </w:pPr>
            <w:r>
              <w:rPr>
                <w:rFonts w:ascii="Arial" w:cs="Arial" w:eastAsia="Arial" w:hAnsi="Arial"/>
                <w:sz w:val="18"/>
                <w:szCs w:val="18"/>
                <w:color w:val="auto"/>
              </w:rPr>
              <w:t>Greater than one year</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-1645285</wp:posOffset>
            </wp:positionV>
            <wp:extent cx="68580" cy="18859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-1645285</wp:posOffset>
            </wp:positionV>
            <wp:extent cx="60325" cy="18859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7">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-1645285</wp:posOffset>
            </wp:positionV>
            <wp:extent cx="60325" cy="18859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8">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-1645285</wp:posOffset>
            </wp:positionV>
            <wp:extent cx="60325" cy="18859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9">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-993775</wp:posOffset>
            </wp:positionV>
            <wp:extent cx="68580" cy="18859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-993775</wp:posOffset>
            </wp:positionV>
            <wp:extent cx="60325" cy="18859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1">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-993775</wp:posOffset>
            </wp:positionV>
            <wp:extent cx="60325" cy="18859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2">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-993775</wp:posOffset>
            </wp:positionV>
            <wp:extent cx="60325" cy="18859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3">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-205105</wp:posOffset>
            </wp:positionV>
            <wp:extent cx="2443480" cy="2057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4">
                      <a:extLst>
                        <a:ext uri="{28A0092B-C50C-407E-A947-70E740481C1C}"/>
                      </a:extLst>
                    </a:blip>
                    <a:srcRect/>
                    <a:stretch>
                      <a:fillRect/>
                    </a:stretch>
                  </pic:blipFill>
                  <pic:spPr bwMode="auto">
                    <a:xfrm>
                      <a:off x="0" y="0"/>
                      <a:ext cx="2443480" cy="20574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2022 and 2021, the carrying values of cash and cash equivalents, accounts receivable, accounts payable, and accrued expenses approximate their respective fair values based on their short-term nature.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Fair value measurements of all financial assets and liabilities that are being measured and reported on a fair value basis are required to be classified and disclosed in one of the following three categories:</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Level 1: Unadjusted quoted prices in active markets that are accessible at the measurement date for identical, unrestricted assets or liabilities;</w:t>
      </w:r>
    </w:p>
    <w:p>
      <w:pPr>
        <w:spacing w:after="0" w:line="129" w:lineRule="exact"/>
        <w:rPr>
          <w:sz w:val="20"/>
          <w:szCs w:val="20"/>
          <w:color w:val="auto"/>
        </w:rPr>
      </w:pPr>
    </w:p>
    <w:p>
      <w:pPr>
        <w:ind w:left="380"/>
        <w:spacing w:after="0" w:line="258" w:lineRule="auto"/>
        <w:rPr>
          <w:sz w:val="20"/>
          <w:szCs w:val="20"/>
          <w:color w:val="auto"/>
        </w:rPr>
      </w:pPr>
      <w:r>
        <w:rPr>
          <w:rFonts w:ascii="Arial" w:cs="Arial" w:eastAsia="Arial" w:hAnsi="Arial"/>
          <w:sz w:val="18"/>
          <w:szCs w:val="18"/>
          <w:color w:val="auto"/>
        </w:rPr>
        <w:t>Level 2: Quoted prices in markets that are not active, or inputs which are observable, either directly or indirectly, for substantially the full term of the asset or liability; and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4" w:name="page85"/>
    <w:bookmarkEnd w:id="84"/>
    <w:p>
      <w:pPr>
        <w:ind w:left="380"/>
        <w:spacing w:after="0" w:line="277" w:lineRule="auto"/>
        <w:rPr>
          <w:sz w:val="20"/>
          <w:szCs w:val="20"/>
          <w:color w:val="auto"/>
        </w:rPr>
      </w:pPr>
      <w:r>
        <w:rPr>
          <w:rFonts w:ascii="Arial" w:cs="Arial" w:eastAsia="Arial" w:hAnsi="Arial"/>
          <w:sz w:val="18"/>
          <w:szCs w:val="18"/>
          <w:color w:val="auto"/>
        </w:rPr>
        <w:t>Level 3: Prices or valuation techniques that require inputs that are both significant to the fair value measurement and un-observable (i.e., supported by little or no market activity).</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All of the Company's available-for-sale debt securities are measured as Level 2 instruments as of December 31, 2022 and 2021. The Company's guaranteed investment certificates are measured as Level 1 instruments as of December 31, 2022 and 2021.</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Included in cash and cash equivalents at December 31, 2022 and 2021, was $1,730 and $1,160 invested in government money market funds. These funds have investments in government securities and are measured as Level 1 instruments.</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offers a nonqualified deferred compensation plan for certain eligible employees and members of the Company's Board of Directors. The assets of the plan are held in the name of the Company at a third-party financial institution. Separate accounts are maintained for each participant to reflect the amounts deferred by the participant and all earnings and losses on those deferred amounts. The assets of the plan are held in mutual funds. The fair value of the plan assets as of December 31, 2022 and 2021 was $747 and $1,763, respectively, and was calculated using the quoted market prices of the assets as of those dates. All investments in the plan are classified as trading securities and measured as Level 1 instruments. The fair value of plan assets is included in both current assets and other non-current assets with the same amounts included in accrued expenses and other non-current liabilities in the accompanying consolidated balance sheets.</w:t>
      </w:r>
    </w:p>
    <w:p>
      <w:pPr>
        <w:spacing w:after="0" w:line="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further discussed in Note 3, Business Combinations, the Company has identified the Company's contingent consideration obligations as Level 3 liabilities due to significant inputs that are required to measure the fair value of these obligations.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Accounts receivable have been reduced by an estimated allowance for amounts that may become uncollectible in the future. This estimated allowance is based primarily on management’s evaluation of specific balances as they become past due, the financial condition of the Company's customers and the Company's historical experience related to write-offs.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Inventories are stated at the lower of cost or net realizable value, with cost determined on a first-in, first-out basis, and include the cost of raw materials, labor and overhead. The majority of the Company's inventories are subject to expiration dating, which can be extended in certain circumstances. The Company continually evaluates quantities on hand and the carrying value of the Company's inventories to determine the need for net realizable value adjustments, based primarily on prior experience with consideration of expected changes in the business and estimated forecasts of product sales. The Company reserves for unidentified scrap or spoilage based on historical write-off rates. The Company also considers items identified through specific identification procedures in assessing the adequacy of the Company's reserve. Although the Company makes every effort to ensure the accuracy of its forecasts of future product demand, any significant unanticipated changes in demand could have a significant impact on the carrying value of its inventories and reported operating results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Property, plant and equipment are stated at cost. Additions or improvements are capitalized, while repairs and maintenance are charged to expense. Depreciation and amortization are provided using the straight-line method over the estimated useful lives of the related assets. Buildings are typically depreciated over twenty years, while computer equipment and software, machinery and equipment, and furniture and fixtures are depreciated over two to ten years. Building improvements are amortized over their estimated useful lives. When assets are sold, retired, or discarded, the related property amounts are relieved from the accounts, and any gain or loss is recorded in the consolidated statements of operations.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Intangible assets consist of customer relationships, patents and product rights, acquired technology and trade names. Patents and product rights consist of costs associated with the acquisition of patents, licenses and product distribution rights. Intangible assets are amortized using the straight-line method over their estimated useful lives of five to fifteen years.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Long-lived assets, which include property and equipment and definite-lived intangible assets, are tested for recoverability whenever events or changes in business circumstances indicate that the carrying amount of the assets may not be fully recoverable. The Company assesses the recoverability of the Company's long-lived assets by determining whether the carrying value of such assets can be recovered through the sum of the undiscounted future cash flows generated from the use and eventual disposition of the asset. If indicators of impairment exist, the Company measures the amount of such impairment by comparing the carrying value of the assets to the fair value of these assets, which is generally determined based on the present value of the expected future cash flows associated with the use of the assets. Expected future cash flows reflect the Company's assumptions about selling prices, volumes, costs and market conditions over a reasonable period of time. See Note 6 for discussion of impairments recorded in 2022.</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Goodwill represents the excess of the purchase price over the fair value of the net tangible and identifiable intangible assets acquired. Goodwill is not amortized but rather is tested annually for impairment or more frequently if the Company believes that indicators of impairment exist. Current generally accepted accounting principles permit the Company to make a qualitative evaluation about the likelihood of goodwill impairment. If the Company concludes that it is more likely than not that the carrying value of a reporting unit is greater than its fair value, then the Company would be required to recognize an impairment charge for the amount by which the carrying amount exceeds the reporting unit’s fair value, provided the impairment charge does not exceed the total amount of goodwill allocated to the reporting unit.</w:t>
      </w:r>
    </w:p>
    <w:p>
      <w:pPr>
        <w:spacing w:after="0" w:line="19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performs an annual goodwill impairment assessment as of July 31 each year. Historically this involved a qualitative analysis that resulted in a conclusion that it was more likely than not that the fair value of the Company's reporting units is greater than their carrying value.</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more frequent evaluation is performed if an event occurs or circumstances change between annual tests that could more likely than not reduce the fair value of a reporting unit below its carrying amount.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Product sales</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from product sales is recognized upon transfer of control of a product to a customer based on an amount that reflects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the Company is entitled to, net of allowances for any discounts or rebates.</w:t>
      </w:r>
    </w:p>
    <w:p>
      <w:pPr>
        <w:spacing w:after="0" w:line="170"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The Company generally does not grant product return rights to the Company's customers, except for warranty returns and return rights on sales of the Company's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In-Home HIV test to the retail trade, and InteliSwab</w:t>
      </w:r>
      <w:r>
        <w:rPr>
          <w:rFonts w:ascii="Arial" w:cs="Arial" w:eastAsia="Arial" w:hAnsi="Arial"/>
          <w:sz w:val="20"/>
          <w:szCs w:val="20"/>
          <w:color w:val="212529"/>
          <w:vertAlign w:val="superscript"/>
        </w:rPr>
        <w:t>®</w:t>
      </w:r>
      <w:r>
        <w:rPr>
          <w:rFonts w:ascii="Arial" w:cs="Arial" w:eastAsia="Arial" w:hAnsi="Arial"/>
          <w:sz w:val="18"/>
          <w:szCs w:val="18"/>
          <w:color w:val="auto"/>
        </w:rPr>
        <w:t xml:space="preserve"> products to the retail trade and certain customers.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Historically, returns arising from warranty issues have been infrequent and immaterial. Accordingly, the Company expenses warranty returns as incurred.</w:t>
      </w:r>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records shipping and handling charges billed to the Company's customers as product revenue and the related expense as cost of products sold.</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u w:val="single" w:color="auto"/>
          <w:color w:val="auto"/>
        </w:rPr>
        <w:t>Service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revenues represent microbiome laboratory testing and analytical services. The Company recognizes revenues when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satisfies its performance obligations for services rendered.</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u w:val="single" w:color="auto"/>
          <w:color w:val="auto"/>
        </w:rPr>
        <w:t>Arrangements with multiple-performance obligations</w:t>
      </w:r>
      <w:r>
        <w:rPr>
          <w:rFonts w:ascii="Arial" w:cs="Arial" w:eastAsia="Arial" w:hAnsi="Arial"/>
          <w:sz w:val="17"/>
          <w:szCs w:val="17"/>
          <w:color w:val="auto"/>
        </w:rPr>
        <w:t>. In arrangements involving more than one performance obligation, which largely applies to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service revenue stream, each required performance obligation is evaluated to determine whether it qualifies as a distinct performance obligation based on whether (i) the customer can benefit from the good or service either on its own or together with other resources that are readily available and (ii) the good or services is separately identifiable from other promises in the contract. The consideration under the arrangement is then allocated to each separate distinct performance obligation based on their respective relative stand-alone selling price. The estimated selling price of each deliverable is determined using an observable cost plus margin approach. The consideration allocated to each distinct performance obligation is recognized as revenue when control is transferred for the related goods or services or when the performance obligation has been satisfied.</w:t>
      </w:r>
    </w:p>
    <w:p>
      <w:pPr>
        <w:spacing w:after="0" w:line="2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u w:val="single" w:color="auto"/>
          <w:color w:val="auto"/>
        </w:rPr>
        <w:t>Other revenues</w:t>
      </w:r>
      <w:r>
        <w:rPr>
          <w:rFonts w:ascii="Arial" w:cs="Arial" w:eastAsia="Arial" w:hAnsi="Arial"/>
          <w:sz w:val="18"/>
          <w:szCs w:val="18"/>
          <w:color w:val="auto"/>
        </w:rPr>
        <w:t>. Other revenues consist primarily of royalty income and funding from grants of research and development efforts.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2021, other revenue also included cost reimbursements under a charitable support agreement which ended in June 2021. Royalties from licensees are based on third-party sales of licensed products and are recorded when the related third-party product sale occurs. Research and development grant revenue is recognized pursuant to International Accounting Standard 20,</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6" w:name="page87"/>
    <w:bookmarkEnd w:id="86"/>
    <w:p>
      <w:pPr>
        <w:jc w:val="both"/>
        <w:spacing w:after="0" w:line="279" w:lineRule="auto"/>
        <w:rPr>
          <w:sz w:val="20"/>
          <w:szCs w:val="20"/>
          <w:color w:val="auto"/>
        </w:rPr>
      </w:pPr>
      <w:r>
        <w:rPr>
          <w:rFonts w:ascii="Arial" w:cs="Arial" w:eastAsia="Arial" w:hAnsi="Arial"/>
          <w:sz w:val="18"/>
          <w:szCs w:val="18"/>
          <w:i w:val="1"/>
          <w:iCs w:val="1"/>
          <w:color w:val="auto"/>
        </w:rPr>
        <w:t>Accounting for Government Grants and Disclosure of Government Assistance ("IAS 20")</w:t>
      </w:r>
      <w:r>
        <w:rPr>
          <w:rFonts w:ascii="Arial" w:cs="Arial" w:eastAsia="Arial" w:hAnsi="Arial"/>
          <w:sz w:val="18"/>
          <w:szCs w:val="18"/>
          <w:color w:val="auto"/>
        </w:rPr>
        <w:t>. The expenses are recorded in research and development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reimbursements are recorded in other revenue. Funding of research and development efforts and charitable support reimbursements are recorded as the activities are performed in accordance with the respective agreements.</w:t>
      </w:r>
    </w:p>
    <w:p>
      <w:pPr>
        <w:spacing w:after="0" w:line="27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u w:val="single" w:color="auto"/>
          <w:color w:val="auto"/>
        </w:rPr>
        <w:t>Deferred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records deferred revenue when funds are received prior to the recognition of the associated revenue. Deferred revenue as</w:t>
      </w:r>
      <w:r>
        <w:rPr>
          <w:rFonts w:ascii="Arial" w:cs="Arial" w:eastAsia="Arial" w:hAnsi="Arial"/>
          <w:sz w:val="16"/>
          <w:szCs w:val="16"/>
          <w:i w:val="1"/>
          <w:iCs w:val="1"/>
          <w:color w:val="auto"/>
        </w:rPr>
        <w:t xml:space="preserve"> </w:t>
      </w:r>
      <w:r>
        <w:rPr>
          <w:rFonts w:ascii="Arial" w:cs="Arial" w:eastAsia="Arial" w:hAnsi="Arial"/>
          <w:sz w:val="16"/>
          <w:szCs w:val="16"/>
          <w:color w:val="auto"/>
        </w:rPr>
        <w:t>of December 31, 2022 and 2021 included customer prepayments of $1,533 and $1,843, respectively. Deferred revenue as of December 31, 2022 and 2021 also included $740 and $1,093, respectively, associated with a long-term contract that has variable pricing based on volume. The average price over the life of contract was determined based on expected revenues and revenue is recognized at that rate when the product is delivered to the customer.</w:t>
      </w:r>
    </w:p>
    <w:p>
      <w:pPr>
        <w:spacing w:after="0" w:line="2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Financing and Payment</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payment terms vary by the type and location of our customer and products or services offered. Payment terms</w:t>
      </w:r>
      <w:r>
        <w:rPr>
          <w:rFonts w:ascii="Arial" w:cs="Arial" w:eastAsia="Arial" w:hAnsi="Arial"/>
          <w:sz w:val="18"/>
          <w:szCs w:val="18"/>
          <w:i w:val="1"/>
          <w:iCs w:val="1"/>
          <w:color w:val="auto"/>
        </w:rPr>
        <w:t xml:space="preserve"> </w:t>
      </w:r>
      <w:r>
        <w:rPr>
          <w:rFonts w:ascii="Arial" w:cs="Arial" w:eastAsia="Arial" w:hAnsi="Arial"/>
          <w:sz w:val="18"/>
          <w:szCs w:val="18"/>
          <w:color w:val="auto"/>
        </w:rPr>
        <w:t>differ by jurisdiction and customer but payment is generally required in a term ranging from 30 to 120 days from date of shipment or satisfaction of the performance obligation.</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certain products or services and customer types, the Company may require payment before the products are delivered or services are rendered to the customer.</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Practical expedients and exemptions</w:t>
      </w:r>
      <w:r>
        <w:rPr>
          <w:rFonts w:ascii="Arial" w:cs="Arial" w:eastAsia="Arial" w:hAnsi="Arial"/>
          <w:sz w:val="16"/>
          <w:szCs w:val="16"/>
          <w:u w:val="single" w:color="auto"/>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Taxes assessed by governmental authorities, such as sales or value-added taxes, are excluded from product revenues.</w:t>
      </w:r>
    </w:p>
    <w:p>
      <w:pPr>
        <w:spacing w:after="0" w:line="27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Sales commissions are expensed when incurred if the amortization period is one year or less. These costs are recorded in sales and marketing expense in the consolidated statements of operations. If the amortization period exceeds one year, the Company defers the cost of the commission and expenses it over the life of the related sales contract.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Revenues by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table represents total net revenues by product line:</w:t>
      </w:r>
    </w:p>
    <w:p>
      <w:pPr>
        <w:spacing w:after="0" w:line="257"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5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Years ended December 31,</w:t>
            </w:r>
          </w:p>
        </w:tc>
        <w:tc>
          <w:tcPr>
            <w:tcW w:w="7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4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237"/>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COVID-19</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243,325</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76,874</w:t>
            </w: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50,927</w:t>
            </w:r>
          </w:p>
        </w:tc>
        <w:tc>
          <w:tcPr>
            <w:tcW w:w="80" w:type="dxa"/>
            <w:vAlign w:val="bottom"/>
            <w:shd w:val="clear" w:color="auto" w:fill="CFF0FC"/>
          </w:tcPr>
          <w:p>
            <w:pPr>
              <w:spacing w:after="0"/>
              <w:rPr>
                <w:sz w:val="20"/>
                <w:szCs w:val="20"/>
                <w:color w:val="auto"/>
              </w:rPr>
            </w:pPr>
          </w:p>
        </w:tc>
      </w:tr>
      <w:tr>
        <w:trPr>
          <w:trHeight w:val="237"/>
        </w:trPr>
        <w:tc>
          <w:tcPr>
            <w:tcW w:w="4560" w:type="dxa"/>
            <w:vAlign w:val="bottom"/>
          </w:tcPr>
          <w:p>
            <w:pPr>
              <w:spacing w:after="0"/>
              <w:rPr>
                <w:sz w:val="20"/>
                <w:szCs w:val="20"/>
                <w:color w:val="auto"/>
              </w:rPr>
            </w:pPr>
            <w:r>
              <w:rPr>
                <w:rFonts w:ascii="Arial" w:cs="Arial" w:eastAsia="Arial" w:hAnsi="Arial"/>
                <w:sz w:val="18"/>
                <w:szCs w:val="18"/>
                <w:color w:val="auto"/>
              </w:rPr>
              <w:t>Genomics</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54,335</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63,350</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36,878</w:t>
            </w:r>
          </w:p>
        </w:tc>
        <w:tc>
          <w:tcPr>
            <w:tcW w:w="80" w:type="dxa"/>
            <w:vAlign w:val="bottom"/>
          </w:tcPr>
          <w:p>
            <w:pPr>
              <w:spacing w:after="0"/>
              <w:rPr>
                <w:sz w:val="20"/>
                <w:szCs w:val="20"/>
                <w:color w:val="auto"/>
              </w:rPr>
            </w:pPr>
          </w:p>
        </w:tc>
      </w:tr>
      <w:tr>
        <w:trPr>
          <w:trHeight w:val="249"/>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HIV</w:t>
            </w: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38,812</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42,144</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44,224</w:t>
            </w:r>
          </w:p>
        </w:tc>
        <w:tc>
          <w:tcPr>
            <w:tcW w:w="80" w:type="dxa"/>
            <w:vAlign w:val="bottom"/>
            <w:shd w:val="clear" w:color="auto" w:fill="CFF0FC"/>
          </w:tcPr>
          <w:p>
            <w:pPr>
              <w:spacing w:after="0"/>
              <w:rPr>
                <w:sz w:val="21"/>
                <w:szCs w:val="21"/>
                <w:color w:val="auto"/>
              </w:rPr>
            </w:pPr>
          </w:p>
        </w:tc>
      </w:tr>
      <w:tr>
        <w:trPr>
          <w:trHeight w:val="237"/>
        </w:trPr>
        <w:tc>
          <w:tcPr>
            <w:tcW w:w="4560" w:type="dxa"/>
            <w:vAlign w:val="bottom"/>
          </w:tcPr>
          <w:p>
            <w:pPr>
              <w:spacing w:after="0"/>
              <w:rPr>
                <w:sz w:val="20"/>
                <w:szCs w:val="20"/>
                <w:color w:val="auto"/>
              </w:rPr>
            </w:pPr>
            <w:r>
              <w:rPr>
                <w:rFonts w:ascii="Arial" w:cs="Arial" w:eastAsia="Arial" w:hAnsi="Arial"/>
                <w:sz w:val="18"/>
                <w:szCs w:val="18"/>
                <w:color w:val="auto"/>
              </w:rPr>
              <w:t>HCV</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13,369</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11,783</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8,448</w:t>
            </w:r>
          </w:p>
        </w:tc>
        <w:tc>
          <w:tcPr>
            <w:tcW w:w="80" w:type="dxa"/>
            <w:vAlign w:val="bottom"/>
          </w:tcPr>
          <w:p>
            <w:pPr>
              <w:spacing w:after="0"/>
              <w:rPr>
                <w:sz w:val="20"/>
                <w:szCs w:val="20"/>
                <w:color w:val="auto"/>
              </w:rPr>
            </w:pPr>
          </w:p>
        </w:tc>
      </w:tr>
      <w:tr>
        <w:trPr>
          <w:trHeight w:val="249"/>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Risk assessment testing</w:t>
            </w: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10,269</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9,678</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9,194</w:t>
            </w:r>
          </w:p>
        </w:tc>
        <w:tc>
          <w:tcPr>
            <w:tcW w:w="80" w:type="dxa"/>
            <w:vAlign w:val="bottom"/>
            <w:shd w:val="clear" w:color="auto" w:fill="CFF0FC"/>
          </w:tcPr>
          <w:p>
            <w:pPr>
              <w:spacing w:after="0"/>
              <w:rPr>
                <w:sz w:val="21"/>
                <w:szCs w:val="21"/>
                <w:color w:val="auto"/>
              </w:rPr>
            </w:pPr>
          </w:p>
        </w:tc>
      </w:tr>
      <w:tr>
        <w:trPr>
          <w:trHeight w:val="237"/>
        </w:trPr>
        <w:tc>
          <w:tcPr>
            <w:tcW w:w="4560" w:type="dxa"/>
            <w:vAlign w:val="bottom"/>
          </w:tcPr>
          <w:p>
            <w:pPr>
              <w:spacing w:after="0"/>
              <w:rPr>
                <w:sz w:val="20"/>
                <w:szCs w:val="20"/>
                <w:color w:val="auto"/>
              </w:rPr>
            </w:pPr>
            <w:r>
              <w:rPr>
                <w:rFonts w:ascii="Arial" w:cs="Arial" w:eastAsia="Arial" w:hAnsi="Arial"/>
                <w:sz w:val="18"/>
                <w:szCs w:val="18"/>
                <w:color w:val="auto"/>
              </w:rPr>
              <w:t>Microbiome</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7,503</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7,944</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5,474</w:t>
            </w:r>
          </w:p>
        </w:tc>
        <w:tc>
          <w:tcPr>
            <w:tcW w:w="80" w:type="dxa"/>
            <w:vAlign w:val="bottom"/>
          </w:tcPr>
          <w:p>
            <w:pPr>
              <w:spacing w:after="0"/>
              <w:rPr>
                <w:sz w:val="20"/>
                <w:szCs w:val="20"/>
                <w:color w:val="auto"/>
              </w:rPr>
            </w:pPr>
          </w:p>
        </w:tc>
      </w:tr>
      <w:tr>
        <w:trPr>
          <w:trHeight w:val="249"/>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Laboratory services</w:t>
            </w: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7,296</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11,840</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8,746</w:t>
            </w:r>
          </w:p>
        </w:tc>
        <w:tc>
          <w:tcPr>
            <w:tcW w:w="80" w:type="dxa"/>
            <w:vAlign w:val="bottom"/>
            <w:shd w:val="clear" w:color="auto" w:fill="CFF0FC"/>
          </w:tcPr>
          <w:p>
            <w:pPr>
              <w:spacing w:after="0"/>
              <w:rPr>
                <w:sz w:val="21"/>
                <w:szCs w:val="21"/>
                <w:color w:val="auto"/>
              </w:rPr>
            </w:pPr>
          </w:p>
        </w:tc>
      </w:tr>
      <w:tr>
        <w:trPr>
          <w:trHeight w:val="243"/>
        </w:trPr>
        <w:tc>
          <w:tcPr>
            <w:tcW w:w="4560" w:type="dxa"/>
            <w:vAlign w:val="bottom"/>
          </w:tcPr>
          <w:p>
            <w:pPr>
              <w:spacing w:after="0"/>
              <w:rPr>
                <w:sz w:val="20"/>
                <w:szCs w:val="20"/>
                <w:color w:val="auto"/>
              </w:rPr>
            </w:pPr>
            <w:r>
              <w:rPr>
                <w:rFonts w:ascii="Arial" w:cs="Arial" w:eastAsia="Arial" w:hAnsi="Arial"/>
                <w:sz w:val="18"/>
                <w:szCs w:val="18"/>
                <w:color w:val="auto"/>
              </w:rPr>
              <w:t>Other product and service revenues</w:t>
            </w: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3,138</w:t>
            </w: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3,284</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2,490</w:t>
            </w:r>
          </w:p>
        </w:tc>
        <w:tc>
          <w:tcPr>
            <w:tcW w:w="80" w:type="dxa"/>
            <w:vAlign w:val="bottom"/>
          </w:tcPr>
          <w:p>
            <w:pPr>
              <w:spacing w:after="0"/>
              <w:rPr>
                <w:sz w:val="21"/>
                <w:szCs w:val="21"/>
                <w:color w:val="auto"/>
              </w:rPr>
            </w:pPr>
          </w:p>
        </w:tc>
      </w:tr>
      <w:tr>
        <w:trPr>
          <w:trHeight w:val="236"/>
        </w:trPr>
        <w:tc>
          <w:tcPr>
            <w:tcW w:w="45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Net product and services revenues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378,047</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226,897</w:t>
            </w: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166,381</w:t>
            </w:r>
          </w:p>
        </w:tc>
        <w:tc>
          <w:tcPr>
            <w:tcW w:w="80" w:type="dxa"/>
            <w:vAlign w:val="bottom"/>
            <w:shd w:val="clear" w:color="auto" w:fill="CFF0FC"/>
          </w:tcPr>
          <w:p>
            <w:pPr>
              <w:spacing w:after="0"/>
              <w:rPr>
                <w:sz w:val="20"/>
                <w:szCs w:val="20"/>
                <w:color w:val="auto"/>
              </w:rPr>
            </w:pPr>
          </w:p>
        </w:tc>
      </w:tr>
      <w:tr>
        <w:trPr>
          <w:trHeight w:val="237"/>
        </w:trPr>
        <w:tc>
          <w:tcPr>
            <w:tcW w:w="4560" w:type="dxa"/>
            <w:vAlign w:val="bottom"/>
          </w:tcPr>
          <w:p>
            <w:pPr>
              <w:spacing w:after="0"/>
              <w:rPr>
                <w:sz w:val="20"/>
                <w:szCs w:val="20"/>
                <w:color w:val="auto"/>
              </w:rPr>
            </w:pPr>
            <w:r>
              <w:rPr>
                <w:rFonts w:ascii="Arial" w:cs="Arial" w:eastAsia="Arial" w:hAnsi="Arial"/>
                <w:sz w:val="18"/>
                <w:szCs w:val="18"/>
                <w:color w:val="auto"/>
              </w:rPr>
              <w:t>Royalty income</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2,683</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4,420</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3,432</w:t>
            </w:r>
          </w:p>
        </w:tc>
        <w:tc>
          <w:tcPr>
            <w:tcW w:w="80" w:type="dxa"/>
            <w:vAlign w:val="bottom"/>
          </w:tcPr>
          <w:p>
            <w:pPr>
              <w:spacing w:after="0"/>
              <w:rPr>
                <w:sz w:val="20"/>
                <w:szCs w:val="20"/>
                <w:color w:val="auto"/>
              </w:rPr>
            </w:pPr>
          </w:p>
        </w:tc>
      </w:tr>
      <w:tr>
        <w:trPr>
          <w:trHeight w:val="249"/>
        </w:trPr>
        <w:tc>
          <w:tcPr>
            <w:tcW w:w="4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non-product revenues</w:t>
            </w:r>
          </w:p>
        </w:tc>
        <w:tc>
          <w:tcPr>
            <w:tcW w:w="2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6,749</w:t>
            </w: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2,357</w:t>
            </w:r>
          </w:p>
        </w:tc>
        <w:tc>
          <w:tcPr>
            <w:tcW w:w="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1,908</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4560" w:type="dxa"/>
            <w:vAlign w:val="bottom"/>
          </w:tcPr>
          <w:p>
            <w:pPr>
              <w:ind w:left="100"/>
              <w:spacing w:after="0"/>
              <w:rPr>
                <w:sz w:val="20"/>
                <w:szCs w:val="20"/>
                <w:color w:val="auto"/>
              </w:rPr>
            </w:pPr>
            <w:r>
              <w:rPr>
                <w:rFonts w:ascii="Arial" w:cs="Arial" w:eastAsia="Arial" w:hAnsi="Arial"/>
                <w:sz w:val="18"/>
                <w:szCs w:val="18"/>
                <w:color w:val="auto"/>
              </w:rPr>
              <w:t>Other revenues</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9,432</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6,777</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5,340</w:t>
            </w:r>
          </w:p>
        </w:tc>
        <w:tc>
          <w:tcPr>
            <w:tcW w:w="80" w:type="dxa"/>
            <w:vAlign w:val="bottom"/>
          </w:tcPr>
          <w:p>
            <w:pPr>
              <w:spacing w:after="0"/>
              <w:rPr>
                <w:sz w:val="20"/>
                <w:szCs w:val="20"/>
                <w:color w:val="auto"/>
              </w:rPr>
            </w:pPr>
          </w:p>
        </w:tc>
      </w:tr>
      <w:tr>
        <w:trPr>
          <w:trHeight w:val="277"/>
        </w:trPr>
        <w:tc>
          <w:tcPr>
            <w:tcW w:w="45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387,479</w:t>
            </w:r>
          </w:p>
        </w:tc>
        <w:tc>
          <w:tcPr>
            <w:tcW w:w="2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233,674</w:t>
            </w:r>
          </w:p>
        </w:tc>
        <w:tc>
          <w:tcPr>
            <w:tcW w:w="1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171,721</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-350520</wp:posOffset>
            </wp:positionV>
            <wp:extent cx="51435" cy="1714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8">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-350520</wp:posOffset>
            </wp:positionV>
            <wp:extent cx="43180" cy="1714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9">
                      <a:extLst>
                        <a:ext uri="{28A0092B-C50C-407E-A947-70E740481C1C}"/>
                      </a:extLst>
                    </a:blip>
                    <a:srcRect/>
                    <a:stretch>
                      <a:fillRect/>
                    </a:stretch>
                  </pic:blipFill>
                  <pic:spPr bwMode="auto">
                    <a:xfrm>
                      <a:off x="0" y="0"/>
                      <a:ext cx="43180" cy="1714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-350520</wp:posOffset>
            </wp:positionV>
            <wp:extent cx="43180" cy="1714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0">
                      <a:extLst>
                        <a:ext uri="{28A0092B-C50C-407E-A947-70E740481C1C}"/>
                      </a:extLst>
                    </a:blip>
                    <a:srcRect/>
                    <a:stretch>
                      <a:fillRect/>
                    </a:stretch>
                  </pic:blipFill>
                  <pic:spPr bwMode="auto">
                    <a:xfrm>
                      <a:off x="0" y="0"/>
                      <a:ext cx="43180" cy="17145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-24765</wp:posOffset>
            </wp:positionV>
            <wp:extent cx="5143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-7620</wp:posOffset>
            </wp:positionV>
            <wp:extent cx="5143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-24765</wp:posOffset>
            </wp:positionV>
            <wp:extent cx="431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431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Revenues by geographic area</w:t>
      </w:r>
      <w:r>
        <w:rPr>
          <w:rFonts w:ascii="Arial" w:cs="Arial" w:eastAsia="Arial" w:hAnsi="Arial"/>
          <w:sz w:val="18"/>
          <w:szCs w:val="18"/>
          <w:color w:val="auto"/>
        </w:rPr>
        <w:t>. The following table represents total net revenues by geographic area, based on the location of the customer:</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Years ended December 31,</w:t>
            </w:r>
          </w:p>
        </w:tc>
        <w:tc>
          <w:tcPr>
            <w:tcW w:w="7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4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236"/>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350,206</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188,383</w:t>
            </w: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130,835</w:t>
            </w:r>
          </w:p>
        </w:tc>
        <w:tc>
          <w:tcPr>
            <w:tcW w:w="80" w:type="dxa"/>
            <w:vAlign w:val="bottom"/>
            <w:shd w:val="clear" w:color="auto" w:fill="CFF0FC"/>
          </w:tcPr>
          <w:p>
            <w:pPr>
              <w:spacing w:after="0"/>
              <w:rPr>
                <w:sz w:val="20"/>
                <w:szCs w:val="20"/>
                <w:color w:val="auto"/>
              </w:rPr>
            </w:pPr>
          </w:p>
        </w:tc>
      </w:tr>
      <w:tr>
        <w:trPr>
          <w:trHeight w:val="237"/>
        </w:trPr>
        <w:tc>
          <w:tcPr>
            <w:tcW w:w="4580" w:type="dxa"/>
            <w:vAlign w:val="bottom"/>
          </w:tcPr>
          <w:p>
            <w:pPr>
              <w:spacing w:after="0"/>
              <w:rPr>
                <w:sz w:val="20"/>
                <w:szCs w:val="20"/>
                <w:color w:val="auto"/>
              </w:rPr>
            </w:pPr>
            <w:r>
              <w:rPr>
                <w:rFonts w:ascii="Arial" w:cs="Arial" w:eastAsia="Arial" w:hAnsi="Arial"/>
                <w:sz w:val="18"/>
                <w:szCs w:val="18"/>
                <w:color w:val="auto"/>
              </w:rPr>
              <w:t>Europe</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11,536</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13,799</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12,068</w:t>
            </w:r>
          </w:p>
        </w:tc>
        <w:tc>
          <w:tcPr>
            <w:tcW w:w="80" w:type="dxa"/>
            <w:vAlign w:val="bottom"/>
          </w:tcPr>
          <w:p>
            <w:pPr>
              <w:spacing w:after="0"/>
              <w:rPr>
                <w:sz w:val="20"/>
                <w:szCs w:val="20"/>
                <w:color w:val="auto"/>
              </w:rPr>
            </w:pPr>
          </w:p>
        </w:tc>
      </w:tr>
      <w:tr>
        <w:trPr>
          <w:trHeight w:val="249"/>
        </w:trPr>
        <w:tc>
          <w:tcPr>
            <w:tcW w:w="4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regions</w:t>
            </w:r>
          </w:p>
        </w:tc>
        <w:tc>
          <w:tcPr>
            <w:tcW w:w="2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25,737</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31,492</w:t>
            </w:r>
          </w:p>
        </w:tc>
        <w:tc>
          <w:tcPr>
            <w:tcW w:w="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28,818</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0"/>
        </w:trPr>
        <w:tc>
          <w:tcPr>
            <w:tcW w:w="45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387,479</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233,674</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171,721</w:t>
            </w:r>
          </w:p>
        </w:tc>
        <w:tc>
          <w:tcPr>
            <w:tcW w:w="80" w:type="dxa"/>
            <w:vAlign w:val="bottom"/>
          </w:tcPr>
          <w:p>
            <w:pPr>
              <w:spacing w:after="0"/>
              <w:rPr>
                <w:sz w:val="20"/>
                <w:szCs w:val="20"/>
                <w:color w:val="auto"/>
              </w:rPr>
            </w:pPr>
          </w:p>
        </w:tc>
      </w:tr>
      <w:tr>
        <w:trPr>
          <w:trHeight w:val="20"/>
        </w:trPr>
        <w:tc>
          <w:tcPr>
            <w:tcW w:w="4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-187960</wp:posOffset>
            </wp:positionV>
            <wp:extent cx="51435" cy="18859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7">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-187960</wp:posOffset>
            </wp:positionV>
            <wp:extent cx="43180" cy="18859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8">
                      <a:extLst>
                        <a:ext uri="{28A0092B-C50C-407E-A947-70E740481C1C}"/>
                      </a:extLst>
                    </a:blip>
                    <a:srcRect/>
                    <a:stretch>
                      <a:fillRect/>
                    </a:stretch>
                  </pic:blipFill>
                  <pic:spPr bwMode="auto">
                    <a:xfrm>
                      <a:off x="0" y="0"/>
                      <a:ext cx="43180"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18859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9">
                      <a:extLst>
                        <a:ext uri="{28A0092B-C50C-407E-A947-70E740481C1C}"/>
                      </a:extLst>
                    </a:blip>
                    <a:srcRect/>
                    <a:stretch>
                      <a:fillRect/>
                    </a:stretch>
                  </pic:blipFill>
                  <pic:spPr bwMode="auto">
                    <a:xfrm>
                      <a:off x="0" y="0"/>
                      <a:ext cx="43180" cy="188595"/>
                    </a:xfrm>
                    <a:prstGeom prst="rect">
                      <a:avLst/>
                    </a:prstGeom>
                    <a:noFill/>
                  </pic:spPr>
                </pic:pic>
              </a:graphicData>
            </a:graphic>
          </wp:anchor>
        </w:drawing>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u w:val="single" w:color="auto"/>
          <w:color w:val="auto"/>
        </w:rPr>
        <w:t>Customer and Vendor Concentrations.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had one customer that accounted for more than 57% of the Company's consolidated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 as of December 31, 2022 and none as of December 31, 2021. The same customer accounted for approximately 58% of the Company's consolidated revenues for the year ended December 31, 2022. The Company had no customers that accounted for more than 10% of the Company's consolidated net revenues for the years ended December 31, 2021 and 2020.</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7" w:name="page88"/>
    <w:bookmarkEnd w:id="87"/>
    <w:p>
      <w:pPr>
        <w:jc w:val="both"/>
        <w:spacing w:after="0" w:line="257" w:lineRule="auto"/>
        <w:rPr>
          <w:sz w:val="20"/>
          <w:szCs w:val="20"/>
          <w:color w:val="auto"/>
        </w:rPr>
      </w:pPr>
      <w:r>
        <w:rPr>
          <w:rFonts w:ascii="Arial" w:cs="Arial" w:eastAsia="Arial" w:hAnsi="Arial"/>
          <w:sz w:val="18"/>
          <w:szCs w:val="18"/>
          <w:color w:val="auto"/>
        </w:rPr>
        <w:t>The Company currently purchases certain products and critical components of the Company's products from sole-supply vendors. If these vendors are unable or unwilling to supply the required components and products, the Company could be subject to increased costs and substantial delays in the delivery of the Company's products to the Company's customers. Third-party suppliers also manufacture certain products. The Company's inability to have a timely supply of any of these components and products could have a material adverse effect on the Company's business, as well as the Company's financial condition and results of operations.</w:t>
      </w:r>
    </w:p>
    <w:p>
      <w:pPr>
        <w:spacing w:after="0" w:line="193"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 xml:space="preserve">The Company’s </w:t>
      </w:r>
      <w:r>
        <w:rPr>
          <w:rFonts w:ascii="Arial" w:cs="Arial" w:eastAsia="Arial" w:hAnsi="Arial"/>
          <w:sz w:val="18"/>
          <w:szCs w:val="18"/>
          <w:color w:val="0E101A"/>
        </w:rPr>
        <w:t>Intercept i2</w:t>
      </w:r>
      <w:r>
        <w:rPr>
          <w:rFonts w:ascii="Arial" w:cs="Arial" w:eastAsia="Arial" w:hAnsi="Arial"/>
          <w:sz w:val="24"/>
          <w:szCs w:val="24"/>
          <w:color w:val="0E101A"/>
          <w:vertAlign w:val="superscript"/>
        </w:rPr>
        <w:t>®</w:t>
      </w:r>
      <w:r>
        <w:rPr>
          <w:rFonts w:ascii="Arial" w:cs="Arial" w:eastAsia="Arial" w:hAnsi="Arial"/>
          <w:sz w:val="18"/>
          <w:szCs w:val="18"/>
          <w:color w:val="auto"/>
        </w:rPr>
        <w:t xml:space="preserve"> </w:t>
      </w:r>
      <w:r>
        <w:rPr>
          <w:rFonts w:ascii="Arial" w:cs="Arial" w:eastAsia="Arial" w:hAnsi="Arial"/>
          <w:sz w:val="18"/>
          <w:szCs w:val="18"/>
          <w:i w:val="1"/>
          <w:iCs w:val="1"/>
          <w:color w:val="0E101A"/>
        </w:rPr>
        <w:t>he</w:t>
      </w:r>
      <w:r>
        <w:rPr>
          <w:rFonts w:ascii="Arial" w:cs="Arial" w:eastAsia="Arial" w:hAnsi="Arial"/>
          <w:sz w:val="18"/>
          <w:szCs w:val="18"/>
          <w:color w:val="auto"/>
        </w:rPr>
        <w:t xml:space="preserve"> collection device is manufactured and supplied under a long-term agreement with Thermo Fisher, the sole-source supplier for these products. DNAG has three long-term contract manufacturing relationships to supply virtually all of its products, including the Oragene</w:t>
      </w:r>
      <w:r>
        <w:rPr>
          <w:rFonts w:ascii="Arial" w:cs="Arial" w:eastAsia="Arial" w:hAnsi="Arial"/>
          <w:sz w:val="24"/>
          <w:szCs w:val="24"/>
          <w:b w:val="1"/>
          <w:bCs w:val="1"/>
          <w:color w:val="auto"/>
          <w:vertAlign w:val="superscript"/>
        </w:rPr>
        <w:t>®</w:t>
      </w:r>
      <w:r>
        <w:rPr>
          <w:rFonts w:ascii="Arial" w:cs="Arial" w:eastAsia="Arial" w:hAnsi="Arial"/>
          <w:sz w:val="18"/>
          <w:szCs w:val="18"/>
          <w:color w:val="auto"/>
        </w:rPr>
        <w:t xml:space="preserve"> product line. Many of the raw materials and components used in these products are also purchased from third parties, some of which are purchased from a single source supplier. The Company is actively seeking to qualify other suppliers that can manufacture and supply the raw materials and components for the DNAG products.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 and Contingent Consideration</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Acquired businesses are accounted for using the acquisition method of accounting, which requires that the purchase price be allocated to the net assets acquired at their respective fair values. Any excess of the purchase price over the estimated fair values of the net assets acquired is recorded as goodwill. Amounts allocated to contingent consideration are recorded to the balance sheet at the date of acquisition based on their relative fair values. The purchase price allocation requires the Company to make significant estimates and assumptions, especially at the acquisition date, with respect to intangible assets. Although the Company believes the assumptions and estimates it has made are reasonable, they are based in part on historical experience and information obtained from the management of the acquired companies and are inherently uncertain.</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accounts for contingent consideration in accordance with applicable guidance provided within the business combination accounting standard. As part of the Company's consideration for the recent acquisitions, the Company is contractually obligated to pay certain consideration resulting from the outcome of future events. Therefore, the Company is required to update the Company's underlying assumptions each reporting period, based on new developments, and record such contingent consideration liabilities at fair value until the contingency is resolved. Changes in the fair value of the contingent consideration liabilities are recognized each reporting period and included in the Company's consolidated statements of operations. The Company's estimates of fair value are based on assumptions the Company believes to be reasonable, but the assumptions are uncertain and involve significant judgment by management. Updates to these assumptions could have a significant impact on the Company's results of operations in any given period and any updates to the fair value of the contingent consideration could differ materially from the previous estimates.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Examples of critical estimates used in valuing certain intangible assets and contingent consideration include:</w:t>
      </w:r>
    </w:p>
    <w:p>
      <w:pPr>
        <w:spacing w:after="0" w:line="185" w:lineRule="exact"/>
        <w:rPr>
          <w:sz w:val="20"/>
          <w:szCs w:val="20"/>
          <w:color w:val="auto"/>
        </w:rPr>
      </w:pPr>
    </w:p>
    <w:p>
      <w:pPr>
        <w:ind w:left="1320" w:hanging="504"/>
        <w:spacing w:after="0"/>
        <w:tabs>
          <w:tab w:leader="none" w:pos="1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future expected cash flows from sales and acquired developed technologies;</w:t>
      </w:r>
    </w:p>
    <w:p>
      <w:pPr>
        <w:spacing w:after="0" w:line="198" w:lineRule="exact"/>
        <w:rPr>
          <w:rFonts w:ascii="Arial" w:cs="Arial" w:eastAsia="Arial" w:hAnsi="Arial"/>
          <w:sz w:val="18"/>
          <w:szCs w:val="18"/>
          <w:color w:val="auto"/>
        </w:rPr>
      </w:pPr>
    </w:p>
    <w:p>
      <w:pPr>
        <w:ind w:left="1320" w:hanging="504"/>
        <w:spacing w:after="0" w:line="277" w:lineRule="auto"/>
        <w:tabs>
          <w:tab w:leader="none" w:pos="1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acquired company's trade name and customer relationships as well as assumptions about the period of time the acquired trade name and customer relationships will continue to be used in the combined company's portfolio;</w:t>
      </w:r>
    </w:p>
    <w:p>
      <w:pPr>
        <w:spacing w:after="0" w:line="129" w:lineRule="exact"/>
        <w:rPr>
          <w:rFonts w:ascii="Arial" w:cs="Arial" w:eastAsia="Arial" w:hAnsi="Arial"/>
          <w:sz w:val="18"/>
          <w:szCs w:val="18"/>
          <w:color w:val="auto"/>
        </w:rPr>
      </w:pPr>
    </w:p>
    <w:p>
      <w:pPr>
        <w:ind w:left="1320" w:hanging="504"/>
        <w:spacing w:after="0"/>
        <w:tabs>
          <w:tab w:leader="none" w:pos="1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probability of meeting the future events; and</w:t>
      </w:r>
    </w:p>
    <w:p>
      <w:pPr>
        <w:spacing w:after="0" w:line="184" w:lineRule="exact"/>
        <w:rPr>
          <w:rFonts w:ascii="Arial" w:cs="Arial" w:eastAsia="Arial" w:hAnsi="Arial"/>
          <w:sz w:val="18"/>
          <w:szCs w:val="18"/>
          <w:color w:val="auto"/>
        </w:rPr>
      </w:pPr>
    </w:p>
    <w:p>
      <w:pPr>
        <w:ind w:left="1320" w:hanging="504"/>
        <w:spacing w:after="0"/>
        <w:tabs>
          <w:tab w:leader="none" w:pos="1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discount rates used to determine the present value of estimated future cash flows.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estimates are inherently uncertain and unpredictable, and if different estimates were used the purchase price for the acquisition could be allocated to the acquired assets and liabilities differently from the allocation that the Company has made. In addition, unanticipated events and circumstances may occur, which may affect the accuracy or validity of such estimates, and if such events occur the Company may be required to record a charge against the value ascribed to an acquired asset or an increase in the amounts recorded for assumed liabilities</w:t>
      </w:r>
      <w:r>
        <w:rPr>
          <w:rFonts w:ascii="Arial" w:cs="Arial" w:eastAsia="Arial" w:hAnsi="Arial"/>
          <w:sz w:val="21"/>
          <w:szCs w:val="21"/>
          <w:color w:val="auto"/>
        </w:rPr>
        <w: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Research and development expenses consist of costs incurred in performing research and development activities, including salaries and benefits, facilities expenses, overhead expenses, clinical trial and related clinical manufacturing expenses, contract services and other outside expenses. Research and development costs are charged to expense as incurred.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i w:val="1"/>
          <w:iCs w:val="1"/>
          <w:color w:val="auto"/>
        </w:rPr>
        <w:t>Advertising Expenses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Advertising costs are charged to expense as incurred. During 2022, 2021, and 2020, the Company incurred $4,849, $5,103, and $1,126, respectively, in advertising expenses.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accounts for stock-based compensation to employees and directors using the fair value method. The Company recognizes compensation expense for stock option and restricted stock awards issued to employees and directors on a straight-line basis over the requisite service period of the award. The Company recognizes compensation expense related to performance-based restricted stock units based on assumptions as to what percentage of each performance target will be achieved. The Company evaluates these target assumptions on a quarterly basis and adjusts compensation expense related to these awards, as appropriate. To satisfy the exercise of options, issuance of restricted stock, or redemption of performance-based restricted stock units, the Company issues new shares rather than purchase shares in the open market.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follows the asset and liability method for accounting for income taxes. Under this method, deferred tax assets and liabilities are recognized for the future tax consequences attributable to differences between the financial statement carrying amounts of existing assets and liabilities and the respective tax basis of assets and liabilities, as well as operating loss and credit carryforwards. Deferred tax assets and liabilities are measured using enacted tax rates for the respective taxing jurisdiction that are expected to apply to taxable income in the years in which those temporary differences and operating loss and credit carryforwards are expected to be recovered, settled or utilized. The effect on deferred tax assets and liabilities of a change in tax rates is recognized in income in the period that includes the enactment date.</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assesses the realizability of the Company's net deferred tax assets on a quarterly basis. If, after considering all relevant positive and negative evidence, it is more likely than not that some portion or all of the net deferred tax assets will not be realized, the Company reduces its net deferred tax assets by a valuation allowance. The realization of the net deferred tax assets is dependent on several factors, including the generation of sufficient taxable income prior to the expiration of the Company's net operating loss carryforwards.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assets and liabilities of the Company's foreign operations are translated into U.S. dollars at current exchange rates as of the balance sheet date, and revenues and expenses are translated at average exchange rates for the period. Resulting translation adjustments are reflected in accumulated other comprehensive loss, which is a separate component of stockholders’ equity.</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Transaction gains and losses resulting from exchange rate changes on transactions denominated in currencies other than functional currency are included in the Company's consolidated statements of operations in the period in which the change occurs. Net foreign exchange gains (losses) resulting from foreign currency transactions that are included in other income in the Company's consolidated statements of operations were $1,553, $(667), and $(337) for the years ended December 31, 2022, 2021, and 2020, respectively.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(Loss) Per Share</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Basic earnings (loss) per share is computed by dividing net income (loss) by the weighted-average number of shares of common stock outstanding during the period. Diluted earnings (loss) per share is computed in a manner similar to basic earnings (loss) per share except that the weighted-average number of shares outstanding is increased to include incremental shares from the assumed vesting or exercise of dilutive securities, such as common stock options, unvested restricted stock or performance stock units, unless the impact is anti-dilutive. The number of incremental shares is calculated by assuming that outstanding stock options were exercised and unvested restricted shares and performance stock units were vested, and the proceeds from such exercises or vesting were used to acquire shares of common stock at the average market price during the reporting period. Basic and dilutive computations of net loss per share are the same in periods in which a net loss exists as the dilutive effects of excluded items would be anti-dilutive.</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For the years ended December 31, 2022, 2021, and 2020 outstanding common stock options, unvested restricted stock, and unvested performance stock units representing 436, 769, and 984 shares, respectively, were excluded from the computation of diluted loss per share.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i w:val="1"/>
          <w:iCs w:val="1"/>
          <w:color w:val="auto"/>
        </w:rPr>
        <w:t>Accumulated Other Comprehensive Loss</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classifies items of other comprehensive income (loss) by their nature and discloses the accumulated balance of other comprehensive loss separately from accumulated deficit and additional paid-in capital in the stockholders’ equity section of the Company's consolidated balance sheets.</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defined the Canadian dollar as the functional currency of the Company's Canadian subsidiary, DNAG, and the Company has defined the Euro as the functional currency of the Company's Belgian subsidiary, Novosanis. The results of operations are translated into U.S. dollars, which is the reporting currency of the Company. Accumulated other comprehensive loss at December 31, 2022 consists of $18,215 of currency translation adjustments and $220 of net unrealized losses on marketable securities. Accumulated other comprehensive loss at December 31, 2021 consists of $9,643 of currency translation adjustments and $434 of net unrealized losses on marketable securities, which represents the fair market value adjustment for the Company's investments portfolio.</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March 2020, the FASB issued Accounting Standards Update (“ASU”) No. 2020-04, </w:t>
      </w:r>
      <w:r>
        <w:rPr>
          <w:rFonts w:ascii="Arial" w:cs="Arial" w:eastAsia="Arial" w:hAnsi="Arial"/>
          <w:sz w:val="16"/>
          <w:szCs w:val="16"/>
          <w:i w:val="1"/>
          <w:iCs w:val="1"/>
          <w:color w:val="auto"/>
        </w:rPr>
        <w:t>Reference Rate Reform</w:t>
      </w:r>
      <w:r>
        <w:rPr>
          <w:rFonts w:ascii="Arial" w:cs="Arial" w:eastAsia="Arial" w:hAnsi="Arial"/>
          <w:sz w:val="16"/>
          <w:szCs w:val="16"/>
          <w:color w:val="auto"/>
        </w:rPr>
        <w:t xml:space="preserve"> (Topic 848) </w:t>
      </w:r>
      <w:r>
        <w:rPr>
          <w:rFonts w:ascii="Arial" w:cs="Arial" w:eastAsia="Arial" w:hAnsi="Arial"/>
          <w:sz w:val="16"/>
          <w:szCs w:val="16"/>
          <w:i w:val="1"/>
          <w:iCs w:val="1"/>
          <w:color w:val="auto"/>
        </w:rPr>
        <w:t>Facilitation of the Effects of</w:t>
      </w:r>
      <w:r>
        <w:rPr>
          <w:rFonts w:ascii="Arial" w:cs="Arial" w:eastAsia="Arial" w:hAnsi="Arial"/>
          <w:sz w:val="16"/>
          <w:szCs w:val="16"/>
          <w:color w:val="auto"/>
        </w:rPr>
        <w:t xml:space="preserve"> </w:t>
      </w:r>
      <w:r>
        <w:rPr>
          <w:rFonts w:ascii="Arial" w:cs="Arial" w:eastAsia="Arial" w:hAnsi="Arial"/>
          <w:sz w:val="16"/>
          <w:szCs w:val="16"/>
          <w:i w:val="1"/>
          <w:iCs w:val="1"/>
          <w:color w:val="auto"/>
        </w:rPr>
        <w:t>Reference Rate Reform on Financial Reporting</w:t>
      </w:r>
      <w:r>
        <w:rPr>
          <w:rFonts w:ascii="Arial" w:cs="Arial" w:eastAsia="Arial" w:hAnsi="Arial"/>
          <w:sz w:val="16"/>
          <w:szCs w:val="16"/>
          <w:color w:val="auto"/>
        </w:rPr>
        <w:t>. The purpose of this update is to provide optional guidance for a limited time to ease the potential burden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accounting for (or recognizing the effects of) reference rate reform on financial reporting. The amendments provide optional expedients and exceptions for applying GAAP to contracts, hedging relationships, and other transactions affected by reference rate reform if certain criteria are met. The amendments in this ASU were effective upon issuance and could be applied prospectively through December 31, 2022. The FASB issued an amendment, ASU 2022-06, </w:t>
      </w:r>
      <w:r>
        <w:rPr>
          <w:rFonts w:ascii="Arial" w:cs="Arial" w:eastAsia="Arial" w:hAnsi="Arial"/>
          <w:sz w:val="16"/>
          <w:szCs w:val="16"/>
          <w:i w:val="1"/>
          <w:iCs w:val="1"/>
          <w:color w:val="auto"/>
        </w:rPr>
        <w:t xml:space="preserve">Deferral of the Sunset Date of Topic 848, </w:t>
      </w:r>
      <w:r>
        <w:rPr>
          <w:rFonts w:ascii="Arial" w:cs="Arial" w:eastAsia="Arial" w:hAnsi="Arial"/>
          <w:sz w:val="16"/>
          <w:szCs w:val="16"/>
          <w:color w:val="auto"/>
        </w:rPr>
        <w:t>in December 2022, which, extends the date for prospective application to December 31, 2024. Management has</w:t>
      </w:r>
      <w:r>
        <w:rPr>
          <w:rFonts w:ascii="Arial" w:cs="Arial" w:eastAsia="Arial" w:hAnsi="Arial"/>
          <w:sz w:val="16"/>
          <w:szCs w:val="16"/>
          <w:i w:val="1"/>
          <w:iCs w:val="1"/>
          <w:color w:val="auto"/>
        </w:rPr>
        <w:t xml:space="preserve"> </w:t>
      </w:r>
      <w:r>
        <w:rPr>
          <w:rFonts w:ascii="Arial" w:cs="Arial" w:eastAsia="Arial" w:hAnsi="Arial"/>
          <w:sz w:val="16"/>
          <w:szCs w:val="16"/>
          <w:color w:val="auto"/>
        </w:rPr>
        <w:t>evaluated this ASU and concluded that it will not have a material impact on the Company's Consolidated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Certain prior period amounts have been reclassified to conform to current year presentation. See Note 4 for discussion of the reclassification related to the U.S. Department of Defense contract.</w:t>
      </w:r>
    </w:p>
    <w:p>
      <w:pPr>
        <w:spacing w:after="0" w:line="166" w:lineRule="exact"/>
        <w:rPr>
          <w:sz w:val="20"/>
          <w:szCs w:val="20"/>
          <w:color w:val="auto"/>
        </w:rPr>
      </w:pPr>
    </w:p>
    <w:p>
      <w:pPr>
        <w:ind w:left="360" w:hanging="352"/>
        <w:spacing w:after="0"/>
        <w:tabs>
          <w:tab w:leader="none" w:pos="3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UrSure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22, 2020, the Company acquired all of the outstanding stock of UrSure, Inc. (“UrSure”), pursuant to the terms of a merger agreement. The initial aggregate purchase price of this transaction was $3,000, adjusted for certain transaction costs, indebtedness, and holdback amounts, and was funded with cash on hand. A portion of the purchase price was deposited into an escrow account for a limited period after closing, pursuant to indemnification obligations under the merger agreement.</w:t>
      </w:r>
    </w:p>
    <w:p>
      <w:pPr>
        <w:spacing w:after="0" w:line="18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During the year ended December 31, 2020, the Company incurred a total of $393 of acquisition related costs, including accounting, legal, and other professional fees, all of which were expensed and reported as a component of general and administrative expense in the consolidated statement of operations for the year ended December 31, 2020.</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Pursuant to the Company's acquisition agreement, the Company was to pay up to an additional $28,000 of contingent consideration over the three years following the acquisition date based on the achievement of certain performance criteria as defined under the agreements, including generating certain revenue dollars, and the achievement of certain clinical milestones associated with the development of certain new technology. The Company, with the assistance of an independent valuation specialist, determined the estimated acquisition-date fair value of the acquisition-related contingent consideration of $3,440. The fair value was determined using a probability-weighted model based on the Company's assessment of the likelihood that the benchmarks will be achieved. The probability-weighted payments were then discounted using a discount rate based on an internal rate of return analysis using the probability-weighted cash flows. The fair value measurement was based on significant inputs, including the likelihood of the achievement of clinical milestones and revenue forecasts, not observable in the market and thus represents a Level 3 measurement within the fair value hierarchy. As of December 31, 2022, it is not likely the Company will be required to make a material payment.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change in contingent consideration: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37"/>
        </w:trPr>
        <w:tc>
          <w:tcPr>
            <w:tcW w:w="9260" w:type="dxa"/>
            <w:vAlign w:val="bottom"/>
          </w:tcPr>
          <w:p>
            <w:pPr>
              <w:ind w:left="20"/>
              <w:spacing w:after="0"/>
              <w:rPr>
                <w:sz w:val="20"/>
                <w:szCs w:val="20"/>
                <w:color w:val="auto"/>
              </w:rPr>
            </w:pPr>
            <w:r>
              <w:rPr>
                <w:rFonts w:ascii="Arial" w:cs="Arial" w:eastAsia="Arial" w:hAnsi="Arial"/>
                <w:sz w:val="18"/>
                <w:szCs w:val="18"/>
                <w:color w:val="auto"/>
              </w:rPr>
              <w:t>Estimated fair value of contingent consideration as of acquisition date</w:t>
            </w: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3,440</w:t>
            </w:r>
          </w:p>
        </w:tc>
        <w:tc>
          <w:tcPr>
            <w:tcW w:w="100" w:type="dxa"/>
            <w:vAlign w:val="bottom"/>
          </w:tcPr>
          <w:p>
            <w:pPr>
              <w:spacing w:after="0"/>
              <w:rPr>
                <w:sz w:val="20"/>
                <w:szCs w:val="20"/>
                <w:color w:val="auto"/>
              </w:rPr>
            </w:pPr>
          </w:p>
        </w:tc>
      </w:tr>
      <w:tr>
        <w:trPr>
          <w:trHeight w:val="250"/>
        </w:trPr>
        <w:tc>
          <w:tcPr>
            <w:tcW w:w="92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Change in fair value during the period</w:t>
            </w:r>
          </w:p>
        </w:tc>
        <w:tc>
          <w:tcPr>
            <w:tcW w:w="7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(989 )</w:t>
            </w:r>
          </w:p>
        </w:tc>
      </w:tr>
      <w:tr>
        <w:trPr>
          <w:trHeight w:val="230"/>
        </w:trPr>
        <w:tc>
          <w:tcPr>
            <w:tcW w:w="92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Balance as of December 31, 2020</w:t>
            </w:r>
          </w:p>
        </w:tc>
        <w:tc>
          <w:tcPr>
            <w:tcW w:w="7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2,451</w:t>
            </w:r>
          </w:p>
        </w:tc>
        <w:tc>
          <w:tcPr>
            <w:tcW w:w="100" w:type="dxa"/>
            <w:vAlign w:val="bottom"/>
            <w:tcBorders>
              <w:top w:val="single" w:sz="8" w:color="CFF0FC"/>
            </w:tcBorders>
          </w:tcPr>
          <w:p>
            <w:pPr>
              <w:spacing w:after="0"/>
              <w:rPr>
                <w:sz w:val="20"/>
                <w:szCs w:val="20"/>
                <w:color w:val="auto"/>
              </w:rPr>
            </w:pPr>
          </w:p>
        </w:tc>
      </w:tr>
      <w:tr>
        <w:trPr>
          <w:trHeight w:val="249"/>
        </w:trPr>
        <w:tc>
          <w:tcPr>
            <w:tcW w:w="92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Payments made during the period</w:t>
            </w:r>
          </w:p>
        </w:tc>
        <w:tc>
          <w:tcPr>
            <w:tcW w:w="7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(406 )</w:t>
            </w:r>
          </w:p>
        </w:tc>
      </w:tr>
      <w:tr>
        <w:trPr>
          <w:trHeight w:val="243"/>
        </w:trPr>
        <w:tc>
          <w:tcPr>
            <w:tcW w:w="9260" w:type="dxa"/>
            <w:vAlign w:val="bottom"/>
          </w:tcPr>
          <w:p>
            <w:pPr>
              <w:ind w:left="120"/>
              <w:spacing w:after="0"/>
              <w:rPr>
                <w:sz w:val="20"/>
                <w:szCs w:val="20"/>
                <w:color w:val="auto"/>
              </w:rPr>
            </w:pPr>
            <w:r>
              <w:rPr>
                <w:rFonts w:ascii="Arial" w:cs="Arial" w:eastAsia="Arial" w:hAnsi="Arial"/>
                <w:sz w:val="18"/>
                <w:szCs w:val="18"/>
                <w:color w:val="auto"/>
              </w:rPr>
              <w:t>Change in fair value during the period</w:t>
            </w:r>
          </w:p>
        </w:tc>
        <w:tc>
          <w:tcPr>
            <w:tcW w:w="74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(1,485 )</w:t>
            </w:r>
          </w:p>
        </w:tc>
      </w:tr>
      <w:tr>
        <w:trPr>
          <w:trHeight w:val="236"/>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as of December 31, 2021</w:t>
            </w:r>
          </w:p>
        </w:tc>
        <w:tc>
          <w:tcPr>
            <w:tcW w:w="74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FF0FC"/>
          </w:tcPr>
          <w:p>
            <w:pPr>
              <w:spacing w:after="0"/>
              <w:rPr>
                <w:sz w:val="20"/>
                <w:szCs w:val="20"/>
                <w:color w:val="auto"/>
              </w:rPr>
            </w:pPr>
          </w:p>
        </w:tc>
      </w:tr>
      <w:tr>
        <w:trPr>
          <w:trHeight w:val="237"/>
        </w:trPr>
        <w:tc>
          <w:tcPr>
            <w:tcW w:w="9260" w:type="dxa"/>
            <w:vAlign w:val="bottom"/>
          </w:tcPr>
          <w:p>
            <w:pPr>
              <w:ind w:left="120"/>
              <w:spacing w:after="0"/>
              <w:rPr>
                <w:sz w:val="20"/>
                <w:szCs w:val="20"/>
                <w:color w:val="auto"/>
              </w:rPr>
            </w:pPr>
            <w:r>
              <w:rPr>
                <w:rFonts w:ascii="Arial" w:cs="Arial" w:eastAsia="Arial" w:hAnsi="Arial"/>
                <w:sz w:val="18"/>
                <w:szCs w:val="18"/>
                <w:color w:val="auto"/>
              </w:rPr>
              <w:t>Payments made during the period</w:t>
            </w:r>
          </w:p>
        </w:tc>
        <w:tc>
          <w:tcPr>
            <w:tcW w:w="74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(208 )</w:t>
            </w:r>
          </w:p>
        </w:tc>
      </w:tr>
      <w:tr>
        <w:trPr>
          <w:trHeight w:val="249"/>
        </w:trPr>
        <w:tc>
          <w:tcPr>
            <w:tcW w:w="92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Change in fair value during the period</w:t>
            </w:r>
          </w:p>
        </w:tc>
        <w:tc>
          <w:tcPr>
            <w:tcW w:w="7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(188 )</w:t>
            </w:r>
          </w:p>
        </w:tc>
      </w:tr>
      <w:tr>
        <w:trPr>
          <w:trHeight w:val="237"/>
        </w:trPr>
        <w:tc>
          <w:tcPr>
            <w:tcW w:w="92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Balance as of December 31, 2022</w:t>
            </w:r>
          </w:p>
        </w:tc>
        <w:tc>
          <w:tcPr>
            <w:tcW w:w="7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top w:val="single" w:sz="8" w:color="CFF0FC"/>
            </w:tcBorders>
          </w:tcPr>
          <w:p>
            <w:pPr>
              <w:spacing w:after="0"/>
              <w:rPr>
                <w:sz w:val="20"/>
                <w:szCs w:val="20"/>
                <w:color w:val="auto"/>
              </w:rPr>
            </w:pPr>
          </w:p>
        </w:tc>
      </w:tr>
      <w:tr>
        <w:trPr>
          <w:trHeight w:val="20"/>
        </w:trPr>
        <w:tc>
          <w:tcPr>
            <w:tcW w:w="9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16256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5">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 in fair value during the years ended December 31, 2022, 2021 and 2020 is a result of delays in achieving certain product development milestones and a decrease in associated revenue forecasts as result of these delays.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Revenues from UrSure primarily consist of grant money received to fund the development of certain new technology. Effective as of July 22, 2020, the financial results of UrSure are included in the Company's Diagnostics segment.</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finalized its valuation of the assets acquired and liabilities assumed. The total consideration of $3,037 was allocated to assets acquired and liabilities assumed as of the acquisition date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8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 Acquired</w:t>
            </w:r>
          </w:p>
        </w:tc>
        <w:tc>
          <w:tcPr>
            <w:tcW w:w="9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8860" w:type="dxa"/>
            <w:vAlign w:val="bottom"/>
          </w:tcPr>
          <w:p>
            <w:pPr>
              <w:ind w:left="120"/>
              <w:spacing w:after="0"/>
              <w:rPr>
                <w:sz w:val="20"/>
                <w:szCs w:val="20"/>
                <w:color w:val="auto"/>
              </w:rPr>
            </w:pPr>
            <w:r>
              <w:rPr>
                <w:rFonts w:ascii="Arial" w:cs="Arial" w:eastAsia="Arial" w:hAnsi="Arial"/>
                <w:sz w:val="18"/>
                <w:szCs w:val="18"/>
                <w:color w:val="auto"/>
              </w:rPr>
              <w:t>Accounts receivable</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0"/>
                <w:szCs w:val="20"/>
                <w:color w:val="auto"/>
              </w:rPr>
            </w:pPr>
          </w:p>
        </w:tc>
      </w:tr>
      <w:tr>
        <w:trPr>
          <w:trHeight w:val="249"/>
        </w:trPr>
        <w:tc>
          <w:tcPr>
            <w:tcW w:w="88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current assets</w:t>
            </w:r>
          </w:p>
        </w:tc>
        <w:tc>
          <w:tcPr>
            <w:tcW w:w="9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FF0FC"/>
          </w:tcPr>
          <w:p>
            <w:pPr>
              <w:spacing w:after="0"/>
              <w:rPr>
                <w:sz w:val="21"/>
                <w:szCs w:val="21"/>
                <w:color w:val="auto"/>
              </w:rPr>
            </w:pPr>
          </w:p>
        </w:tc>
      </w:tr>
      <w:tr>
        <w:trPr>
          <w:trHeight w:val="237"/>
        </w:trPr>
        <w:tc>
          <w:tcPr>
            <w:tcW w:w="8860" w:type="dxa"/>
            <w:vAlign w:val="bottom"/>
          </w:tcPr>
          <w:p>
            <w:pPr>
              <w:ind w:left="120"/>
              <w:spacing w:after="0"/>
              <w:rPr>
                <w:sz w:val="20"/>
                <w:szCs w:val="20"/>
                <w:color w:val="auto"/>
              </w:rPr>
            </w:pPr>
            <w:r>
              <w:rPr>
                <w:rFonts w:ascii="Arial" w:cs="Arial" w:eastAsia="Arial" w:hAnsi="Arial"/>
                <w:sz w:val="18"/>
                <w:szCs w:val="18"/>
                <w:color w:val="auto"/>
              </w:rPr>
              <w:t>Other assets</w:t>
            </w:r>
          </w:p>
        </w:tc>
        <w:tc>
          <w:tcPr>
            <w:tcW w:w="9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r>
      <w:tr>
        <w:trPr>
          <w:trHeight w:val="249"/>
        </w:trPr>
        <w:tc>
          <w:tcPr>
            <w:tcW w:w="88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Intangibles</w:t>
            </w:r>
          </w:p>
        </w:tc>
        <w:tc>
          <w:tcPr>
            <w:tcW w:w="9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3,600</w:t>
            </w:r>
          </w:p>
        </w:tc>
        <w:tc>
          <w:tcPr>
            <w:tcW w:w="100" w:type="dxa"/>
            <w:vAlign w:val="bottom"/>
            <w:shd w:val="clear" w:color="auto" w:fill="CFF0FC"/>
          </w:tcPr>
          <w:p>
            <w:pPr>
              <w:spacing w:after="0"/>
              <w:rPr>
                <w:sz w:val="21"/>
                <w:szCs w:val="21"/>
                <w:color w:val="auto"/>
              </w:rPr>
            </w:pPr>
          </w:p>
        </w:tc>
      </w:tr>
      <w:tr>
        <w:trPr>
          <w:trHeight w:val="243"/>
        </w:trPr>
        <w:tc>
          <w:tcPr>
            <w:tcW w:w="8860" w:type="dxa"/>
            <w:vAlign w:val="bottom"/>
          </w:tcPr>
          <w:p>
            <w:pPr>
              <w:ind w:left="120"/>
              <w:spacing w:after="0"/>
              <w:rPr>
                <w:sz w:val="20"/>
                <w:szCs w:val="20"/>
                <w:color w:val="auto"/>
              </w:rPr>
            </w:pPr>
            <w:r>
              <w:rPr>
                <w:rFonts w:ascii="Arial" w:cs="Arial" w:eastAsia="Arial" w:hAnsi="Arial"/>
                <w:sz w:val="18"/>
                <w:szCs w:val="18"/>
                <w:color w:val="auto"/>
              </w:rPr>
              <w:t>Goodwill</w:t>
            </w:r>
          </w:p>
        </w:tc>
        <w:tc>
          <w:tcPr>
            <w:tcW w:w="9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3,586</w:t>
            </w:r>
          </w:p>
        </w:tc>
        <w:tc>
          <w:tcPr>
            <w:tcW w:w="100" w:type="dxa"/>
            <w:vAlign w:val="bottom"/>
          </w:tcPr>
          <w:p>
            <w:pPr>
              <w:spacing w:after="0"/>
              <w:rPr>
                <w:sz w:val="21"/>
                <w:szCs w:val="21"/>
                <w:color w:val="auto"/>
              </w:rPr>
            </w:pPr>
          </w:p>
        </w:tc>
      </w:tr>
      <w:tr>
        <w:trPr>
          <w:trHeight w:val="236"/>
        </w:trPr>
        <w:tc>
          <w:tcPr>
            <w:tcW w:w="886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Total assets acquired</w:t>
            </w:r>
          </w:p>
        </w:tc>
        <w:tc>
          <w:tcPr>
            <w:tcW w:w="96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8860" w:type="dxa"/>
            <w:vAlign w:val="bottom"/>
          </w:tcPr>
          <w:p>
            <w:pPr>
              <w:ind w:left="20"/>
              <w:spacing w:after="0"/>
              <w:rPr>
                <w:sz w:val="20"/>
                <w:szCs w:val="20"/>
                <w:color w:val="auto"/>
              </w:rPr>
            </w:pPr>
            <w:r>
              <w:rPr>
                <w:rFonts w:ascii="Arial" w:cs="Arial" w:eastAsia="Arial" w:hAnsi="Arial"/>
                <w:sz w:val="18"/>
                <w:szCs w:val="18"/>
                <w:b w:val="1"/>
                <w:bCs w:val="1"/>
                <w:color w:val="auto"/>
              </w:rPr>
              <w:t>Liabilities Assumed</w:t>
            </w:r>
          </w:p>
        </w:tc>
        <w:tc>
          <w:tcPr>
            <w:tcW w:w="9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88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Current liabilities</w:t>
            </w:r>
          </w:p>
        </w:tc>
        <w:tc>
          <w:tcPr>
            <w:tcW w:w="9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FF0FC"/>
          </w:tcPr>
          <w:p>
            <w:pPr>
              <w:spacing w:after="0"/>
              <w:rPr>
                <w:sz w:val="21"/>
                <w:szCs w:val="21"/>
                <w:color w:val="auto"/>
              </w:rPr>
            </w:pPr>
          </w:p>
        </w:tc>
      </w:tr>
      <w:tr>
        <w:trPr>
          <w:trHeight w:val="243"/>
        </w:trPr>
        <w:tc>
          <w:tcPr>
            <w:tcW w:w="8860" w:type="dxa"/>
            <w:vAlign w:val="bottom"/>
          </w:tcPr>
          <w:p>
            <w:pPr>
              <w:ind w:left="120"/>
              <w:spacing w:after="0"/>
              <w:rPr>
                <w:sz w:val="20"/>
                <w:szCs w:val="20"/>
                <w:color w:val="auto"/>
              </w:rPr>
            </w:pPr>
            <w:r>
              <w:rPr>
                <w:rFonts w:ascii="Arial" w:cs="Arial" w:eastAsia="Arial" w:hAnsi="Arial"/>
                <w:sz w:val="18"/>
                <w:szCs w:val="18"/>
                <w:color w:val="auto"/>
              </w:rPr>
              <w:t>Deferred tax liability</w:t>
            </w:r>
          </w:p>
        </w:tc>
        <w:tc>
          <w:tcPr>
            <w:tcW w:w="9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21"/>
                <w:szCs w:val="21"/>
                <w:color w:val="auto"/>
              </w:rPr>
            </w:pPr>
          </w:p>
        </w:tc>
      </w:tr>
      <w:tr>
        <w:trPr>
          <w:trHeight w:val="237"/>
        </w:trPr>
        <w:tc>
          <w:tcPr>
            <w:tcW w:w="886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Total liabilities assumed</w:t>
            </w:r>
          </w:p>
        </w:tc>
        <w:tc>
          <w:tcPr>
            <w:tcW w:w="96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8860" w:type="dxa"/>
            <w:vAlign w:val="bottom"/>
          </w:tcPr>
          <w:p>
            <w:pPr>
              <w:ind w:left="20"/>
              <w:spacing w:after="0"/>
              <w:rPr>
                <w:sz w:val="20"/>
                <w:szCs w:val="20"/>
                <w:color w:val="auto"/>
              </w:rPr>
            </w:pPr>
            <w:r>
              <w:rPr>
                <w:rFonts w:ascii="Arial" w:cs="Arial" w:eastAsia="Arial" w:hAnsi="Arial"/>
                <w:sz w:val="18"/>
                <w:szCs w:val="18"/>
                <w:b w:val="1"/>
                <w:bCs w:val="1"/>
                <w:color w:val="auto"/>
              </w:rPr>
              <w:t>Net Assets Acquired</w:t>
            </w:r>
          </w:p>
        </w:tc>
        <w:tc>
          <w:tcPr>
            <w:tcW w:w="9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6,477</w:t>
            </w:r>
          </w:p>
        </w:tc>
        <w:tc>
          <w:tcPr>
            <w:tcW w:w="100" w:type="dxa"/>
            <w:vAlign w:val="bottom"/>
          </w:tcPr>
          <w:p>
            <w:pPr>
              <w:spacing w:after="0"/>
              <w:rPr>
                <w:sz w:val="20"/>
                <w:szCs w:val="20"/>
                <w:color w:val="auto"/>
              </w:rPr>
            </w:pPr>
          </w:p>
        </w:tc>
      </w:tr>
      <w:tr>
        <w:trPr>
          <w:trHeight w:val="247"/>
        </w:trPr>
        <w:tc>
          <w:tcPr>
            <w:tcW w:w="8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Fair value of contingent consideration</w:t>
            </w:r>
          </w:p>
        </w:tc>
        <w:tc>
          <w:tcPr>
            <w:tcW w:w="9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(3,440 )</w:t>
            </w:r>
          </w:p>
        </w:tc>
      </w:tr>
      <w:tr>
        <w:trPr>
          <w:trHeight w:val="236"/>
        </w:trPr>
        <w:tc>
          <w:tcPr>
            <w:tcW w:w="886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Net Cash Paid (net of cash acquired of $111)</w:t>
            </w: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3,037</w:t>
            </w:r>
          </w:p>
        </w:tc>
        <w:tc>
          <w:tcPr>
            <w:tcW w:w="100" w:type="dxa"/>
            <w:vAlign w:val="bottom"/>
            <w:tcBorders>
              <w:top w:val="single" w:sz="8" w:color="CFF0FC"/>
            </w:tcBorders>
          </w:tcPr>
          <w:p>
            <w:pPr>
              <w:spacing w:after="0"/>
              <w:rPr>
                <w:sz w:val="20"/>
                <w:szCs w:val="20"/>
                <w:color w:val="auto"/>
              </w:rPr>
            </w:pPr>
          </w:p>
        </w:tc>
      </w:tr>
      <w:tr>
        <w:trPr>
          <w:trHeight w:val="20"/>
        </w:trPr>
        <w:tc>
          <w:tcPr>
            <w:tcW w:w="88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16319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16319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purchase price was allocated to the tangible assets and identifiable intangible assets acquired and liabilities assumed based on their acquisition-date estimate fair values. The identifiable intangible assets principally included developed technology, which is subject to amortization on a straight-line basis and is being amortized over a ten year estimated useful life.</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with the assistance of an independent valuation specialist, assessed the fair value of the assets of UrSure. The income approach was used to value the acquired intangibles and the fair value measurements were primarily based on significant inputs that are not observable in the market and are considered Level 3 fair value measurements. The income approach estimates fair value for an asset based on the present value of cash flows projected to be generated by the asset. Projected cash flows are discounted at a required rate of return that reflects the relative risk of achieving the cash flows and the time value of money.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useful lives of the intangible assets were estimated based on the expected future economic benefit of the assets and are being amortized over the estimated useful life in proportion to the economic benefits consumed using the straight-line method.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amortization of intangible assets is not deductible for income tax purposes.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Goodwill is calculated as the difference between the acquisition date fair value of the consideration transferred and the fair value of the net assets acquired, and represents the future economic benefits that the Company expects to achieve as a result of the acquisition. The Company believes the goodwill related to the acquisition was a result of gaining a complementary product offering that will enable the Company to leverage those products with existing and new customers. The goodwill is not deductible for income tax purposes. All of the goodwill identified above has been allocated to the Company's Diagnostics segment.</w:t>
      </w:r>
    </w:p>
    <w:p>
      <w:pPr>
        <w:spacing w:after="0" w:line="292" w:lineRule="exact"/>
        <w:rPr>
          <w:sz w:val="20"/>
          <w:szCs w:val="20"/>
          <w:color w:val="auto"/>
        </w:rPr>
      </w:pPr>
    </w:p>
    <w:p>
      <w:pPr>
        <w:ind w:left="420" w:hanging="412"/>
        <w:spacing w:after="0"/>
        <w:tabs>
          <w:tab w:leader="none" w:pos="42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GOVERNMENT CAPITAL CONTRACTS: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91" w:name="page92"/>
    <w:bookmarkEnd w:id="91"/>
    <w:p>
      <w:pPr>
        <w:jc w:val="both"/>
        <w:spacing w:after="0" w:line="244" w:lineRule="auto"/>
        <w:rPr>
          <w:sz w:val="20"/>
          <w:szCs w:val="20"/>
          <w:color w:val="auto"/>
        </w:rPr>
      </w:pPr>
      <w:r>
        <w:rPr>
          <w:rFonts w:ascii="Arial" w:cs="Arial" w:eastAsia="Arial" w:hAnsi="Arial"/>
          <w:sz w:val="18"/>
          <w:szCs w:val="18"/>
          <w:color w:val="auto"/>
        </w:rPr>
        <w:t>In September 2021, the Company entered into an agreement for $109,000 in funding from the U.S. Department of Defense (the “DOD”), in coordination with the Department of Health and Human Services, to build additional manufacturing capacity in the United States for the Company's InteliSwab</w:t>
      </w:r>
      <w:r>
        <w:rPr>
          <w:rFonts w:ascii="Arial" w:cs="Arial" w:eastAsia="Arial" w:hAnsi="Arial"/>
          <w:sz w:val="24"/>
          <w:szCs w:val="24"/>
          <w:color w:val="auto"/>
          <w:vertAlign w:val="superscript"/>
        </w:rPr>
        <w:t>®</w:t>
      </w:r>
      <w:r>
        <w:rPr>
          <w:rFonts w:ascii="Arial" w:cs="Arial" w:eastAsia="Arial" w:hAnsi="Arial"/>
          <w:sz w:val="18"/>
          <w:szCs w:val="18"/>
          <w:color w:val="auto"/>
        </w:rPr>
        <w:t xml:space="preserve"> COVID-19 Rapid Tests as part of the nation’s pandemic preparedness plan. Funding will be paid to the Company based on achievement of milestones expected to occur through December 2023 for the design, acquisition, installation, qualification and acceptance of the manufacturing equipment, as set forth in the agreement. In accordance with the milestone payment schedule, 15% of the total will not be funded until the completion of the final validation testing, which is scheduled to occur in late 2023. The Company began making payments to vendors for the capital project during the fourth quarter of 2021. The Company began receiving funds from the DOD in January 2022 and has received $60,331 as of the date of this report. The remaining $48,669 is expected to be collected within the next year.</w:t>
      </w:r>
    </w:p>
    <w:p>
      <w:pPr>
        <w:spacing w:after="0" w:line="19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Activity for these capital contracts is accounted for pursuant to IAS 20, </w:t>
      </w:r>
      <w:r>
        <w:rPr>
          <w:rFonts w:ascii="Arial" w:cs="Arial" w:eastAsia="Arial" w:hAnsi="Arial"/>
          <w:sz w:val="16"/>
          <w:szCs w:val="16"/>
          <w:i w:val="1"/>
          <w:iCs w:val="1"/>
          <w:color w:val="auto"/>
        </w:rPr>
        <w:t>Accounting for Government Grants and Disclosure of Government Assistance</w:t>
      </w:r>
      <w:r>
        <w:rPr>
          <w:rFonts w:ascii="Arial" w:cs="Arial" w:eastAsia="Arial" w:hAnsi="Arial"/>
          <w:sz w:val="16"/>
          <w:szCs w:val="16"/>
          <w:color w:val="auto"/>
        </w:rPr>
        <w:t>. Funding received in relation to capital-related costs incurred for government contracts is recorded as a reduction to the cost of property, plant and equipment and reflected within investing activities in the consolidated statements of cash flows; and associated unpaid liabilities and government proceeds receivable are considered non-cash changes in such balances within the operating section of the consolidated statements of cash flows. Property, plant and equipment in the amount of $14,729 that was recorded on the Company's consolidated balance sheet as of December 31, 2021 was reclassified in 2022 as the assets were allocated to the DOD build out. The consolidated balance sheet as of December 31, 2021 has been updated to reflect a reduction of $14,729 in property, plant and equipment and an increase in other current assets of $10,875 and other noncurrent assets of $3,854 for amounts due from DOD. The respective investing activities on the consolidated cash flows for the year ended December 31, 2021 have also been reclassified.</w:t>
      </w:r>
    </w:p>
    <w:p>
      <w:pPr>
        <w:spacing w:after="0" w:line="16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DOD also reimburses the Company for certain engineering consulting costs. These expenses are reflected in research and development expenses as incurred with the corresponding amount presented in other income. For the year ended December 31, 2022, $1,422 was recorded in research and development expenses and other income. Amounts earned in excess of the Company's expected costs for the project for project management are recognized straight-line in other income over the term of the government contract. The Company recognized $2,246 and $561 of such income, which is reported as other income in the Company's consolidated statement of operations for the year ended December 31, 2022 and 2021, respectively.</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Additionally, during 2021, the Company received $531 in funding from the Commonwealth of Pennsylvania, acting through the Department of Community and Economic Development, for the purchase of machinery and equipment as part of an expansion of manufacturing operations in Pennsylvania. All related purchases were completed in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balances corresponding to government contracts included in the Company's consolidated balance sheet are as follows:</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4"/>
              </w:rPr>
              <w:t>December 31,</w:t>
            </w:r>
          </w:p>
        </w:tc>
        <w:tc>
          <w:tcPr>
            <w:tcW w:w="12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5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r>
      <w:tr>
        <w:trPr>
          <w:trHeight w:val="236"/>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Other current assets:</w:t>
            </w: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7"/>
        </w:trPr>
        <w:tc>
          <w:tcPr>
            <w:tcW w:w="5280" w:type="dxa"/>
            <w:vAlign w:val="bottom"/>
          </w:tcPr>
          <w:p>
            <w:pPr>
              <w:ind w:left="100"/>
              <w:spacing w:after="0"/>
              <w:rPr>
                <w:sz w:val="20"/>
                <w:szCs w:val="20"/>
                <w:color w:val="auto"/>
              </w:rPr>
            </w:pPr>
            <w:r>
              <w:rPr>
                <w:rFonts w:ascii="Arial" w:cs="Arial" w:eastAsia="Arial" w:hAnsi="Arial"/>
                <w:sz w:val="18"/>
                <w:szCs w:val="18"/>
                <w:color w:val="auto"/>
              </w:rPr>
              <w:t>Billed receivables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9,913</w:t>
            </w:r>
          </w:p>
        </w:tc>
        <w:tc>
          <w:tcPr>
            <w:tcW w:w="80" w:type="dxa"/>
            <w:vAlign w:val="bottom"/>
          </w:tcPr>
          <w:p>
            <w:pPr>
              <w:spacing w:after="0"/>
              <w:rPr>
                <w:sz w:val="20"/>
                <w:szCs w:val="20"/>
                <w:color w:val="auto"/>
              </w:rPr>
            </w:pPr>
          </w:p>
        </w:tc>
      </w:tr>
      <w:tr>
        <w:trPr>
          <w:trHeight w:val="249"/>
        </w:trPr>
        <w:tc>
          <w:tcPr>
            <w:tcW w:w="52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Unbilled receivables</w:t>
            </w:r>
          </w:p>
        </w:tc>
        <w:tc>
          <w:tcPr>
            <w:tcW w:w="1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27,013</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20,591</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0"/>
        </w:trPr>
        <w:tc>
          <w:tcPr>
            <w:tcW w:w="5280" w:type="dxa"/>
            <w:vAlign w:val="bottom"/>
          </w:tcPr>
          <w:p>
            <w:pPr>
              <w:ind w:left="180"/>
              <w:spacing w:after="0"/>
              <w:rPr>
                <w:sz w:val="20"/>
                <w:szCs w:val="20"/>
                <w:color w:val="auto"/>
              </w:rPr>
            </w:pPr>
            <w:r>
              <w:rPr>
                <w:rFonts w:ascii="Arial" w:cs="Arial" w:eastAsia="Arial" w:hAnsi="Arial"/>
                <w:sz w:val="18"/>
                <w:szCs w:val="18"/>
                <w:color w:val="auto"/>
              </w:rPr>
              <w:t>Total other current assets</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27,013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30,504</w:t>
            </w:r>
          </w:p>
        </w:tc>
        <w:tc>
          <w:tcPr>
            <w:tcW w:w="80" w:type="dxa"/>
            <w:vAlign w:val="bottom"/>
          </w:tcPr>
          <w:p>
            <w:pPr>
              <w:spacing w:after="0"/>
              <w:rPr>
                <w:sz w:val="20"/>
                <w:szCs w:val="20"/>
                <w:color w:val="auto"/>
              </w:rPr>
            </w:pPr>
          </w:p>
        </w:tc>
      </w:tr>
      <w:tr>
        <w:trPr>
          <w:trHeight w:val="249"/>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1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3,854</w:t>
            </w:r>
          </w:p>
        </w:tc>
        <w:tc>
          <w:tcPr>
            <w:tcW w:w="80" w:type="dxa"/>
            <w:vAlign w:val="bottom"/>
            <w:shd w:val="clear" w:color="auto" w:fill="CFF0FC"/>
          </w:tcPr>
          <w:p>
            <w:pPr>
              <w:spacing w:after="0"/>
              <w:rPr>
                <w:sz w:val="21"/>
                <w:szCs w:val="2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(318 )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(8,103 )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-462915</wp:posOffset>
            </wp:positionV>
            <wp:extent cx="51435" cy="16256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0">
                      <a:extLst>
                        <a:ext uri="{28A0092B-C50C-407E-A947-70E740481C1C}"/>
                      </a:extLst>
                    </a:blip>
                    <a:srcRect/>
                    <a:stretch>
                      <a:fillRect/>
                    </a:stretch>
                  </pic:blipFill>
                  <pic:spPr bwMode="auto">
                    <a:xfrm>
                      <a:off x="0" y="0"/>
                      <a:ext cx="51435" cy="16256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-462915</wp:posOffset>
            </wp:positionV>
            <wp:extent cx="43180" cy="16256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1">
                      <a:extLst>
                        <a:ext uri="{28A0092B-C50C-407E-A947-70E740481C1C}"/>
                      </a:extLst>
                    </a:blip>
                    <a:srcRect/>
                    <a:stretch>
                      <a:fillRect/>
                    </a:stretch>
                  </pic:blipFill>
                  <pic:spPr bwMode="auto">
                    <a:xfrm>
                      <a:off x="0" y="0"/>
                      <a:ext cx="43180" cy="162560"/>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activity corresponding to the government contracts included in the Company's consolidated statements of cashflows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December 31,</w:t>
            </w:r>
          </w:p>
        </w:tc>
        <w:tc>
          <w:tcPr>
            <w:tcW w:w="140" w:type="dxa"/>
            <w:vAlign w:val="bottom"/>
          </w:tcPr>
          <w:p>
            <w:pPr>
              <w:spacing w:after="0"/>
              <w:rPr>
                <w:sz w:val="14"/>
                <w:szCs w:val="14"/>
                <w:color w:val="auto"/>
              </w:rPr>
            </w:pPr>
          </w:p>
        </w:tc>
        <w:tc>
          <w:tcPr>
            <w:tcW w:w="280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170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37"/>
        </w:trPr>
        <w:tc>
          <w:tcPr>
            <w:tcW w:w="1700" w:type="dxa"/>
            <w:vAlign w:val="bottom"/>
          </w:tcPr>
          <w:p>
            <w:pPr>
              <w:spacing w:after="0"/>
              <w:rPr>
                <w:sz w:val="20"/>
                <w:szCs w:val="20"/>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Cost of assets, cumulative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83,359</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26,224</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230"/>
        </w:trPr>
        <w:tc>
          <w:tcPr>
            <w:tcW w:w="170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Reduction for funding earned to date, not yet received</w:t>
            </w:r>
          </w:p>
        </w:tc>
        <w:tc>
          <w:tcPr>
            <w:tcW w:w="14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(22,497 )</w:t>
            </w:r>
          </w:p>
        </w:tc>
        <w:tc>
          <w:tcPr>
            <w:tcW w:w="14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(25,693 )</w:t>
            </w:r>
          </w:p>
        </w:tc>
        <w:tc>
          <w:tcPr>
            <w:tcW w:w="1680" w:type="dxa"/>
            <w:vAlign w:val="bottom"/>
          </w:tcPr>
          <w:p>
            <w:pPr>
              <w:spacing w:after="0"/>
              <w:rPr>
                <w:sz w:val="20"/>
                <w:szCs w:val="20"/>
                <w:color w:val="auto"/>
              </w:rPr>
            </w:pPr>
          </w:p>
        </w:tc>
      </w:tr>
      <w:tr>
        <w:trPr>
          <w:trHeight w:val="256"/>
        </w:trPr>
        <w:tc>
          <w:tcPr>
            <w:tcW w:w="1700" w:type="dxa"/>
            <w:vAlign w:val="bottom"/>
          </w:tcPr>
          <w:p>
            <w:pPr>
              <w:spacing w:after="0"/>
              <w:rPr>
                <w:sz w:val="22"/>
                <w:szCs w:val="22"/>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Reduction for funding received to date</w:t>
            </w:r>
          </w:p>
        </w:tc>
        <w:tc>
          <w:tcPr>
            <w:tcW w:w="14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(60,862 )</w:t>
            </w:r>
          </w:p>
        </w:tc>
        <w:tc>
          <w:tcPr>
            <w:tcW w:w="14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(531 )</w:t>
            </w:r>
          </w:p>
        </w:tc>
        <w:tc>
          <w:tcPr>
            <w:tcW w:w="1680" w:type="dxa"/>
            <w:vAlign w:val="bottom"/>
          </w:tcPr>
          <w:p>
            <w:pPr>
              <w:spacing w:after="0"/>
              <w:rPr>
                <w:sz w:val="22"/>
                <w:szCs w:val="22"/>
                <w:color w:val="auto"/>
              </w:rPr>
            </w:pPr>
          </w:p>
        </w:tc>
      </w:tr>
      <w:tr>
        <w:trPr>
          <w:trHeight w:val="236"/>
        </w:trPr>
        <w:tc>
          <w:tcPr>
            <w:tcW w:w="1700" w:type="dxa"/>
            <w:vAlign w:val="bottom"/>
          </w:tcPr>
          <w:p>
            <w:pPr>
              <w:spacing w:after="0"/>
              <w:rPr>
                <w:sz w:val="20"/>
                <w:szCs w:val="20"/>
                <w:color w:val="auto"/>
              </w:rPr>
            </w:pPr>
          </w:p>
        </w:tc>
        <w:tc>
          <w:tcPr>
            <w:tcW w:w="5220" w:type="dxa"/>
            <w:vAlign w:val="bottom"/>
            <w:tcBorders>
              <w:top w:val="single" w:sz="8" w:color="CFF0FC"/>
            </w:tcBorders>
          </w:tcPr>
          <w:p>
            <w:pPr>
              <w:ind w:left="180"/>
              <w:spacing w:after="0"/>
              <w:rPr>
                <w:sz w:val="20"/>
                <w:szCs w:val="20"/>
                <w:color w:val="auto"/>
              </w:rPr>
            </w:pPr>
            <w:r>
              <w:rPr>
                <w:rFonts w:ascii="Arial" w:cs="Arial" w:eastAsia="Arial" w:hAnsi="Arial"/>
                <w:sz w:val="18"/>
                <w:szCs w:val="18"/>
                <w:color w:val="auto"/>
              </w:rPr>
              <w:t>Total property, plant and equipment, net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tcPr>
          <w:p>
            <w:pPr>
              <w:spacing w:after="0"/>
              <w:rPr>
                <w:sz w:val="20"/>
                <w:szCs w:val="20"/>
                <w:color w:val="auto"/>
              </w:rPr>
            </w:pPr>
          </w:p>
        </w:tc>
        <w:tc>
          <w:tcPr>
            <w:tcW w:w="1680" w:type="dxa"/>
            <w:vAlign w:val="bottom"/>
          </w:tcPr>
          <w:p>
            <w:pPr>
              <w:spacing w:after="0"/>
              <w:rPr>
                <w:sz w:val="20"/>
                <w:szCs w:val="20"/>
                <w:color w:val="auto"/>
              </w:rPr>
            </w:pPr>
          </w:p>
        </w:tc>
      </w:tr>
      <w:tr>
        <w:trPr>
          <w:trHeight w:val="426"/>
        </w:trPr>
        <w:tc>
          <w:tcPr>
            <w:tcW w:w="1700" w:type="dxa"/>
            <w:vAlign w:val="bottom"/>
          </w:tcPr>
          <w:p>
            <w:pPr>
              <w:spacing w:after="0"/>
              <w:rPr>
                <w:sz w:val="24"/>
                <w:szCs w:val="24"/>
                <w:color w:val="auto"/>
              </w:rPr>
            </w:pPr>
          </w:p>
        </w:tc>
        <w:tc>
          <w:tcPr>
            <w:tcW w:w="5220" w:type="dxa"/>
            <w:vAlign w:val="bottom"/>
          </w:tcPr>
          <w:p>
            <w:pPr>
              <w:ind w:left="3760"/>
              <w:spacing w:after="0"/>
              <w:rPr>
                <w:sz w:val="20"/>
                <w:szCs w:val="20"/>
                <w:color w:val="auto"/>
              </w:rPr>
            </w:pPr>
            <w:r>
              <w:rPr>
                <w:rFonts w:ascii="Arial" w:cs="Arial" w:eastAsia="Arial" w:hAnsi="Arial"/>
                <w:sz w:val="18"/>
                <w:szCs w:val="18"/>
                <w:color w:val="auto"/>
              </w:rPr>
              <w:t>F-18</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58"/>
        </w:trPr>
        <w:tc>
          <w:tcPr>
            <w:tcW w:w="170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-685165</wp:posOffset>
            </wp:positionV>
            <wp:extent cx="51435" cy="1714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2">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-685165</wp:posOffset>
            </wp:positionV>
            <wp:extent cx="43180" cy="1714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3">
                      <a:extLst>
                        <a:ext uri="{28A0092B-C50C-407E-A947-70E740481C1C}"/>
                      </a:extLst>
                    </a:blip>
                    <a:srcRect/>
                    <a:stretch>
                      <a:fillRect/>
                    </a:stretch>
                  </pic:blipFill>
                  <pic:spPr bwMode="auto">
                    <a:xfrm>
                      <a:off x="0" y="0"/>
                      <a:ext cx="431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34"/>
        </w:trPr>
        <w:tc>
          <w:tcPr>
            <w:tcW w:w="500" w:type="dxa"/>
            <w:vAlign w:val="bottom"/>
          </w:tcPr>
          <w:p>
            <w:pPr>
              <w:jc w:val="right"/>
              <w:ind w:right="270"/>
              <w:spacing w:after="0"/>
              <w:rPr>
                <w:sz w:val="20"/>
                <w:szCs w:val="20"/>
                <w:color w:val="auto"/>
              </w:rPr>
            </w:pPr>
            <w:r>
              <w:rPr>
                <w:rFonts w:ascii="Arial" w:cs="Arial" w:eastAsia="Arial" w:hAnsi="Arial"/>
                <w:sz w:val="18"/>
                <w:szCs w:val="18"/>
                <w:b w:val="1"/>
                <w:bCs w:val="1"/>
                <w:color w:val="auto"/>
                <w:w w:val="79"/>
              </w:rPr>
              <w:t>5.</w:t>
            </w:r>
          </w:p>
        </w:tc>
        <w:tc>
          <w:tcPr>
            <w:tcW w:w="6540" w:type="dxa"/>
            <w:vAlign w:val="bottom"/>
            <w:gridSpan w:val="2"/>
          </w:tcPr>
          <w:p>
            <w:pPr>
              <w:ind w:left="360"/>
              <w:spacing w:after="0"/>
              <w:rPr>
                <w:sz w:val="20"/>
                <w:szCs w:val="20"/>
                <w:color w:val="auto"/>
              </w:rPr>
            </w:pPr>
            <w:r>
              <w:rPr>
                <w:rFonts w:ascii="Arial" w:cs="Arial" w:eastAsia="Arial" w:hAnsi="Arial"/>
                <w:sz w:val="18"/>
                <w:szCs w:val="18"/>
                <w:b w:val="1"/>
                <w:bCs w:val="1"/>
                <w:color w:val="auto"/>
              </w:rPr>
              <w:t>INVENTORIES:</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5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9"/>
                <w:szCs w:val="19"/>
                <w:color w:val="auto"/>
              </w:rPr>
            </w:pPr>
          </w:p>
        </w:tc>
      </w:tr>
      <w:tr>
        <w:trPr>
          <w:trHeight w:val="236"/>
        </w:trPr>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42,445</w:t>
            </w: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33,168</w:t>
            </w:r>
          </w:p>
        </w:tc>
        <w:tc>
          <w:tcPr>
            <w:tcW w:w="80" w:type="dxa"/>
            <w:vAlign w:val="bottom"/>
            <w:shd w:val="clear" w:color="auto" w:fill="CFF0FC"/>
          </w:tcPr>
          <w:p>
            <w:pPr>
              <w:spacing w:after="0"/>
              <w:rPr>
                <w:sz w:val="20"/>
                <w:szCs w:val="20"/>
                <w:color w:val="auto"/>
              </w:rPr>
            </w:pPr>
          </w:p>
        </w:tc>
      </w:tr>
      <w:tr>
        <w:trPr>
          <w:trHeight w:val="237"/>
        </w:trPr>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Work in process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2,335</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2,252</w:t>
            </w:r>
          </w:p>
        </w:tc>
        <w:tc>
          <w:tcPr>
            <w:tcW w:w="80" w:type="dxa"/>
            <w:vAlign w:val="bottom"/>
          </w:tcPr>
          <w:p>
            <w:pPr>
              <w:spacing w:after="0"/>
              <w:rPr>
                <w:sz w:val="20"/>
                <w:szCs w:val="20"/>
                <w:color w:val="auto"/>
              </w:rPr>
            </w:pPr>
          </w:p>
        </w:tc>
      </w:tr>
      <w:tr>
        <w:trPr>
          <w:trHeight w:val="249"/>
        </w:trPr>
        <w:tc>
          <w:tcPr>
            <w:tcW w:w="5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51,452</w:t>
            </w:r>
          </w:p>
        </w:tc>
        <w:tc>
          <w:tcPr>
            <w:tcW w:w="2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17,718</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0"/>
        </w:trPr>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96,232</w:t>
            </w:r>
          </w:p>
        </w:tc>
        <w:tc>
          <w:tcPr>
            <w:tcW w:w="5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53,138</w:t>
            </w:r>
          </w:p>
        </w:tc>
        <w:tc>
          <w:tcPr>
            <w:tcW w:w="80" w:type="dxa"/>
            <w:vAlign w:val="bottom"/>
          </w:tcPr>
          <w:p>
            <w:pPr>
              <w:spacing w:after="0"/>
              <w:rPr>
                <w:sz w:val="20"/>
                <w:szCs w:val="20"/>
                <w:color w:val="auto"/>
              </w:rPr>
            </w:pPr>
          </w:p>
        </w:tc>
      </w:tr>
      <w:tr>
        <w:trPr>
          <w:trHeight w:val="20"/>
        </w:trPr>
        <w:tc>
          <w:tcPr>
            <w:tcW w:w="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-187960</wp:posOffset>
            </wp:positionV>
            <wp:extent cx="51435" cy="18859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6">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18859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7">
                      <a:extLst>
                        <a:ext uri="{28A0092B-C50C-407E-A947-70E740481C1C}"/>
                      </a:extLst>
                    </a:blip>
                    <a:srcRect/>
                    <a:stretch>
                      <a:fillRect/>
                    </a:stretch>
                  </pic:blipFill>
                  <pic:spPr bwMode="auto">
                    <a:xfrm>
                      <a:off x="0" y="0"/>
                      <a:ext cx="43180" cy="188595"/>
                    </a:xfrm>
                    <a:prstGeom prst="rect">
                      <a:avLst/>
                    </a:prstGeom>
                    <a:noFill/>
                  </pic:spPr>
                </pic:pic>
              </a:graphicData>
            </a:graphic>
          </wp:anchor>
        </w:drawing>
      </w:r>
    </w:p>
    <w:p>
      <w:pPr>
        <w:spacing w:after="0" w:line="3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2022, 2021, and 2020, the Company recorded adjustments to inventory which had a cost of $15,618, $13,400, and $2,564, respectively. The adjustments in 2021 included a write-off of $3,008 of COVID-19 antibody inventory, which the Company does not believe the Company can sell as a result of the decision to no longer pursue an EUA for the ELISA antibody test. Additionally, a significant portion of the Company's 2022 and 2021 adjustments were related to production and tech-transfer issues associated with the Company's COVID-19 rapid test.</w:t>
      </w:r>
    </w:p>
    <w:p>
      <w:pPr>
        <w:spacing w:after="0" w:line="383"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6.</w:t>
        <w:tab/>
        <w:t>PROPERTY, PLANT AND EQUIPMENT:</w:t>
      </w:r>
    </w:p>
    <w:p>
      <w:pPr>
        <w:spacing w:after="0" w:line="302"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5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37"/>
        </w:trPr>
        <w:tc>
          <w:tcPr>
            <w:tcW w:w="5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20"/>
                <w:szCs w:val="20"/>
                <w:color w:val="auto"/>
              </w:rPr>
            </w:pPr>
          </w:p>
        </w:tc>
      </w:tr>
      <w:tr>
        <w:trPr>
          <w:trHeight w:val="237"/>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Land</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1,118</w:t>
            </w: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1,118</w:t>
            </w:r>
          </w:p>
        </w:tc>
        <w:tc>
          <w:tcPr>
            <w:tcW w:w="80" w:type="dxa"/>
            <w:vAlign w:val="bottom"/>
            <w:shd w:val="clear" w:color="auto" w:fill="CFF0FC"/>
          </w:tcPr>
          <w:p>
            <w:pPr>
              <w:spacing w:after="0"/>
              <w:rPr>
                <w:sz w:val="20"/>
                <w:szCs w:val="20"/>
                <w:color w:val="auto"/>
              </w:rPr>
            </w:pPr>
          </w:p>
        </w:tc>
      </w:tr>
      <w:tr>
        <w:trPr>
          <w:trHeight w:val="237"/>
        </w:trPr>
        <w:tc>
          <w:tcPr>
            <w:tcW w:w="532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35,582</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35,420</w:t>
            </w:r>
          </w:p>
        </w:tc>
        <w:tc>
          <w:tcPr>
            <w:tcW w:w="80" w:type="dxa"/>
            <w:vAlign w:val="bottom"/>
          </w:tcPr>
          <w:p>
            <w:pPr>
              <w:spacing w:after="0"/>
              <w:rPr>
                <w:sz w:val="20"/>
                <w:szCs w:val="20"/>
                <w:color w:val="auto"/>
              </w:rPr>
            </w:pPr>
          </w:p>
        </w:tc>
      </w:tr>
      <w:tr>
        <w:trPr>
          <w:trHeight w:val="249"/>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Machinery and equipment</w:t>
            </w: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60,725</w:t>
            </w: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57,919</w:t>
            </w:r>
          </w:p>
        </w:tc>
        <w:tc>
          <w:tcPr>
            <w:tcW w:w="80" w:type="dxa"/>
            <w:vAlign w:val="bottom"/>
            <w:shd w:val="clear" w:color="auto" w:fill="CFF0FC"/>
          </w:tcPr>
          <w:p>
            <w:pPr>
              <w:spacing w:after="0"/>
              <w:rPr>
                <w:sz w:val="21"/>
                <w:szCs w:val="21"/>
                <w:color w:val="auto"/>
              </w:rPr>
            </w:pPr>
          </w:p>
        </w:tc>
      </w:tr>
      <w:tr>
        <w:trPr>
          <w:trHeight w:val="237"/>
        </w:trPr>
        <w:tc>
          <w:tcPr>
            <w:tcW w:w="532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16,681</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14,700</w:t>
            </w:r>
          </w:p>
        </w:tc>
        <w:tc>
          <w:tcPr>
            <w:tcW w:w="80" w:type="dxa"/>
            <w:vAlign w:val="bottom"/>
          </w:tcPr>
          <w:p>
            <w:pPr>
              <w:spacing w:after="0"/>
              <w:rPr>
                <w:sz w:val="20"/>
                <w:szCs w:val="20"/>
                <w:color w:val="auto"/>
              </w:rPr>
            </w:pPr>
          </w:p>
        </w:tc>
      </w:tr>
      <w:tr>
        <w:trPr>
          <w:trHeight w:val="249"/>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4,064</w:t>
            </w: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4,228</w:t>
            </w:r>
          </w:p>
        </w:tc>
        <w:tc>
          <w:tcPr>
            <w:tcW w:w="80" w:type="dxa"/>
            <w:vAlign w:val="bottom"/>
            <w:shd w:val="clear" w:color="auto" w:fill="CFF0FC"/>
          </w:tcPr>
          <w:p>
            <w:pPr>
              <w:spacing w:after="0"/>
              <w:rPr>
                <w:sz w:val="21"/>
                <w:szCs w:val="21"/>
                <w:color w:val="auto"/>
              </w:rPr>
            </w:pPr>
          </w:p>
        </w:tc>
      </w:tr>
      <w:tr>
        <w:trPr>
          <w:trHeight w:val="237"/>
        </w:trPr>
        <w:tc>
          <w:tcPr>
            <w:tcW w:w="53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11,124</w:t>
            </w: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21,207</w:t>
            </w:r>
          </w:p>
        </w:tc>
        <w:tc>
          <w:tcPr>
            <w:tcW w:w="80" w:type="dxa"/>
            <w:vAlign w:val="bottom"/>
          </w:tcPr>
          <w:p>
            <w:pPr>
              <w:spacing w:after="0"/>
              <w:rPr>
                <w:sz w:val="20"/>
                <w:szCs w:val="20"/>
                <w:color w:val="auto"/>
              </w:rPr>
            </w:pPr>
          </w:p>
        </w:tc>
      </w:tr>
      <w:tr>
        <w:trPr>
          <w:trHeight w:val="243"/>
        </w:trPr>
        <w:tc>
          <w:tcPr>
            <w:tcW w:w="5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129,294</w:t>
            </w: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134,592</w:t>
            </w:r>
          </w:p>
        </w:tc>
        <w:tc>
          <w:tcPr>
            <w:tcW w:w="80" w:type="dxa"/>
            <w:vAlign w:val="bottom"/>
            <w:shd w:val="clear" w:color="auto" w:fill="CFF0FC"/>
          </w:tcPr>
          <w:p>
            <w:pPr>
              <w:spacing w:after="0"/>
              <w:rPr>
                <w:sz w:val="21"/>
                <w:szCs w:val="21"/>
                <w:color w:val="auto"/>
              </w:rPr>
            </w:pPr>
          </w:p>
        </w:tc>
      </w:tr>
      <w:tr>
        <w:trPr>
          <w:trHeight w:val="237"/>
        </w:trPr>
        <w:tc>
          <w:tcPr>
            <w:tcW w:w="53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8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(69,881 )</w:t>
            </w:r>
          </w:p>
        </w:tc>
        <w:tc>
          <w:tcPr>
            <w:tcW w:w="36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(61,157 )</w:t>
            </w:r>
          </w:p>
        </w:tc>
      </w:tr>
      <w:tr>
        <w:trPr>
          <w:trHeight w:val="276"/>
        </w:trPr>
        <w:tc>
          <w:tcPr>
            <w:tcW w:w="53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59,413</w:t>
            </w:r>
          </w:p>
        </w:tc>
        <w:tc>
          <w:tcPr>
            <w:tcW w:w="1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73,435</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-25400</wp:posOffset>
            </wp:positionV>
            <wp:extent cx="5143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-8255</wp:posOffset>
            </wp:positionV>
            <wp:extent cx="5143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1">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the year ended December 31, 2022, management determined several manufacturing lines and associated supporting assets will not be utilized due to changes in forecasted demand for the products the lines are intended to produce. As a result of this decision, the Company determined that the carrying values of the equipment are not recoverable and recorded aggregate pre-tax asset impairment charges of $8,585 and $4,912 to the Molecular Solutions and Diagnostics segments, respectively, to write the assets down to their estimated fair values. This resulted in the assets being fully impaired. This charge is reported within loss on impairments in the consolidated statement of operations.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estimated the fair value of the impaired long-lived assets using a market approach, which required the Company to estimate the value that would be received for the equipment in the most advantageous market for that equipment in an orderly transaction between market participants. Due to the extremely specialized nature of the manufacturing equipment and various market data points, the estimated fair value was not significant. The Company's fair value estimates were representative of Level 3 measurements within the fair value hierarchy due to the significant level of estimation involved and the lack of transparency as to the inputs used.</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was $11,740, $7,498, and $5,514 for 2022, 2021, and 2020, respectively. See Note 4 for discussion of prior year reclassification.</w:t>
      </w:r>
    </w:p>
    <w:p>
      <w:pPr>
        <w:spacing w:after="0" w:line="200" w:lineRule="exact"/>
        <w:rPr>
          <w:sz w:val="20"/>
          <w:szCs w:val="20"/>
          <w:color w:val="auto"/>
        </w:rPr>
      </w:pPr>
    </w:p>
    <w:p>
      <w:pPr>
        <w:spacing w:after="0" w:line="368" w:lineRule="exact"/>
        <w:rPr>
          <w:sz w:val="20"/>
          <w:szCs w:val="20"/>
          <w:color w:val="auto"/>
        </w:rPr>
      </w:pPr>
    </w:p>
    <w:p>
      <w:pPr>
        <w:ind w:left="360" w:hanging="352"/>
        <w:spacing w:after="0"/>
        <w:tabs>
          <w:tab w:leader="none" w:pos="3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total goodwill by operating segment: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85"/>
        </w:trPr>
        <w:tc>
          <w:tcPr>
            <w:tcW w:w="170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170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237"/>
        </w:trPr>
        <w:tc>
          <w:tcPr>
            <w:tcW w:w="1700" w:type="dxa"/>
            <w:vAlign w:val="bottom"/>
          </w:tcPr>
          <w:p>
            <w:pPr>
              <w:spacing w:after="0"/>
              <w:rPr>
                <w:sz w:val="20"/>
                <w:szCs w:val="20"/>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Diagnostics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3,604</w:t>
            </w:r>
          </w:p>
        </w:tc>
        <w:tc>
          <w:tcPr>
            <w:tcW w:w="80" w:type="dxa"/>
            <w:vAlign w:val="bottom"/>
            <w:shd w:val="clear" w:color="auto" w:fill="CFF0FC"/>
          </w:tcPr>
          <w:p>
            <w:pPr>
              <w:spacing w:after="0"/>
              <w:rPr>
                <w:sz w:val="20"/>
                <w:szCs w:val="20"/>
                <w:color w:val="auto"/>
              </w:rPr>
            </w:pPr>
          </w:p>
        </w:tc>
      </w:tr>
      <w:tr>
        <w:trPr>
          <w:trHeight w:val="237"/>
        </w:trPr>
        <w:tc>
          <w:tcPr>
            <w:tcW w:w="1700" w:type="dxa"/>
            <w:vAlign w:val="bottom"/>
          </w:tcPr>
          <w:p>
            <w:pPr>
              <w:spacing w:after="0"/>
              <w:rPr>
                <w:sz w:val="20"/>
                <w:szCs w:val="20"/>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Molecular Solutions</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35,104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36,675</w:t>
            </w:r>
          </w:p>
        </w:tc>
        <w:tc>
          <w:tcPr>
            <w:tcW w:w="80" w:type="dxa"/>
            <w:vAlign w:val="bottom"/>
          </w:tcPr>
          <w:p>
            <w:pPr>
              <w:spacing w:after="0"/>
              <w:rPr>
                <w:sz w:val="20"/>
                <w:szCs w:val="20"/>
                <w:color w:val="auto"/>
              </w:rPr>
            </w:pPr>
          </w:p>
        </w:tc>
      </w:tr>
      <w:tr>
        <w:trPr>
          <w:trHeight w:val="276"/>
        </w:trPr>
        <w:tc>
          <w:tcPr>
            <w:tcW w:w="1700" w:type="dxa"/>
            <w:vAlign w:val="bottom"/>
          </w:tcPr>
          <w:p>
            <w:pPr>
              <w:spacing w:after="0"/>
              <w:rPr>
                <w:sz w:val="24"/>
                <w:szCs w:val="24"/>
                <w:color w:val="auto"/>
              </w:rPr>
            </w:pPr>
          </w:p>
        </w:tc>
        <w:tc>
          <w:tcPr>
            <w:tcW w:w="5340" w:type="dxa"/>
            <w:vAlign w:val="bottom"/>
            <w:tcBorders>
              <w:bottom w:val="single" w:sz="8" w:color="D9F6FF"/>
            </w:tcBorders>
            <w:shd w:val="clear" w:color="auto" w:fill="D9F6FF"/>
          </w:tcPr>
          <w:p>
            <w:pPr>
              <w:spacing w:after="0"/>
              <w:rPr>
                <w:sz w:val="24"/>
                <w:szCs w:val="24"/>
                <w:color w:val="auto"/>
              </w:rPr>
            </w:pPr>
          </w:p>
        </w:tc>
        <w:tc>
          <w:tcPr>
            <w:tcW w:w="260" w:type="dxa"/>
            <w:vAlign w:val="bottom"/>
            <w:tcBorders>
              <w:bottom w:val="single" w:sz="8" w:color="auto"/>
            </w:tcBorders>
            <w:shd w:val="clear" w:color="auto" w:fill="D9F6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D9F6FF"/>
          </w:tcPr>
          <w:p>
            <w:pPr>
              <w:jc w:val="right"/>
              <w:spacing w:after="0"/>
              <w:rPr>
                <w:sz w:val="20"/>
                <w:szCs w:val="20"/>
                <w:color w:val="auto"/>
              </w:rPr>
            </w:pPr>
            <w:r>
              <w:rPr>
                <w:rFonts w:ascii="Arial" w:cs="Arial" w:eastAsia="Arial" w:hAnsi="Arial"/>
                <w:sz w:val="18"/>
                <w:szCs w:val="18"/>
                <w:color w:val="auto"/>
              </w:rPr>
              <w:t>35,104</w:t>
            </w:r>
          </w:p>
        </w:tc>
        <w:tc>
          <w:tcPr>
            <w:tcW w:w="20" w:type="dxa"/>
            <w:vAlign w:val="bottom"/>
            <w:tcBorders>
              <w:bottom w:val="single" w:sz="8" w:color="D9F6FF"/>
            </w:tcBorders>
            <w:shd w:val="clear" w:color="auto" w:fill="D9F6FF"/>
          </w:tcPr>
          <w:p>
            <w:pPr>
              <w:spacing w:after="0"/>
              <w:rPr>
                <w:sz w:val="24"/>
                <w:szCs w:val="24"/>
                <w:color w:val="auto"/>
              </w:rPr>
            </w:pPr>
          </w:p>
        </w:tc>
        <w:tc>
          <w:tcPr>
            <w:tcW w:w="200" w:type="dxa"/>
            <w:vAlign w:val="bottom"/>
            <w:tcBorders>
              <w:bottom w:val="single" w:sz="8" w:color="D9F6FF"/>
            </w:tcBorders>
            <w:shd w:val="clear" w:color="auto" w:fill="D9F6FF"/>
          </w:tcPr>
          <w:p>
            <w:pPr>
              <w:spacing w:after="0"/>
              <w:rPr>
                <w:sz w:val="24"/>
                <w:szCs w:val="24"/>
                <w:color w:val="auto"/>
              </w:rPr>
            </w:pPr>
          </w:p>
        </w:tc>
        <w:tc>
          <w:tcPr>
            <w:tcW w:w="360" w:type="dxa"/>
            <w:vAlign w:val="bottom"/>
            <w:tcBorders>
              <w:bottom w:val="single" w:sz="8" w:color="auto"/>
            </w:tcBorders>
            <w:shd w:val="clear" w:color="auto" w:fill="D9F6FF"/>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D9F6FF"/>
          </w:tcPr>
          <w:p>
            <w:pPr>
              <w:jc w:val="right"/>
              <w:spacing w:after="0"/>
              <w:rPr>
                <w:sz w:val="20"/>
                <w:szCs w:val="20"/>
                <w:color w:val="auto"/>
              </w:rPr>
            </w:pPr>
            <w:r>
              <w:rPr>
                <w:rFonts w:ascii="Arial" w:cs="Arial" w:eastAsia="Arial" w:hAnsi="Arial"/>
                <w:sz w:val="18"/>
                <w:szCs w:val="18"/>
                <w:color w:val="auto"/>
              </w:rPr>
              <w:t>40,279</w:t>
            </w:r>
          </w:p>
        </w:tc>
        <w:tc>
          <w:tcPr>
            <w:tcW w:w="80" w:type="dxa"/>
            <w:vAlign w:val="bottom"/>
            <w:tcBorders>
              <w:bottom w:val="single" w:sz="8" w:color="D9F6FF"/>
            </w:tcBorders>
            <w:shd w:val="clear" w:color="auto" w:fill="D9F6FF"/>
          </w:tcPr>
          <w:p>
            <w:pPr>
              <w:spacing w:after="0"/>
              <w:rPr>
                <w:sz w:val="24"/>
                <w:szCs w:val="24"/>
                <w:color w:val="auto"/>
              </w:rPr>
            </w:pPr>
          </w:p>
        </w:tc>
      </w:tr>
      <w:tr>
        <w:trPr>
          <w:trHeight w:val="311"/>
        </w:trPr>
        <w:tc>
          <w:tcPr>
            <w:tcW w:w="7040" w:type="dxa"/>
            <w:vAlign w:val="bottom"/>
            <w:gridSpan w:val="2"/>
          </w:tcPr>
          <w:p>
            <w:pPr>
              <w:spacing w:after="0"/>
              <w:rPr>
                <w:sz w:val="20"/>
                <w:szCs w:val="20"/>
                <w:color w:val="auto"/>
              </w:rPr>
            </w:pPr>
            <w:r>
              <w:rPr>
                <w:rFonts w:ascii="Arial" w:cs="Arial" w:eastAsia="Arial" w:hAnsi="Arial"/>
                <w:sz w:val="18"/>
                <w:szCs w:val="18"/>
                <w:color w:val="auto"/>
              </w:rPr>
              <w:t>The changes in goodwill are as follows: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8"/>
        </w:trPr>
        <w:tc>
          <w:tcPr>
            <w:tcW w:w="170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69"/>
        </w:trPr>
        <w:tc>
          <w:tcPr>
            <w:tcW w:w="170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237"/>
        </w:trPr>
        <w:tc>
          <w:tcPr>
            <w:tcW w:w="1700" w:type="dxa"/>
            <w:vAlign w:val="bottom"/>
          </w:tcPr>
          <w:p>
            <w:pPr>
              <w:spacing w:after="0"/>
              <w:rPr>
                <w:sz w:val="20"/>
                <w:szCs w:val="20"/>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Balance as of January 1</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40,279</w:t>
            </w:r>
          </w:p>
        </w:tc>
        <w:tc>
          <w:tcPr>
            <w:tcW w:w="20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40,351</w:t>
            </w:r>
          </w:p>
        </w:tc>
        <w:tc>
          <w:tcPr>
            <w:tcW w:w="80" w:type="dxa"/>
            <w:vAlign w:val="bottom"/>
            <w:shd w:val="clear" w:color="auto" w:fill="CFF0FC"/>
          </w:tcPr>
          <w:p>
            <w:pPr>
              <w:spacing w:after="0"/>
              <w:rPr>
                <w:sz w:val="20"/>
                <w:szCs w:val="20"/>
                <w:color w:val="auto"/>
              </w:rPr>
            </w:pPr>
          </w:p>
        </w:tc>
      </w:tr>
      <w:tr>
        <w:trPr>
          <w:trHeight w:val="237"/>
        </w:trPr>
        <w:tc>
          <w:tcPr>
            <w:tcW w:w="1700" w:type="dxa"/>
            <w:vAlign w:val="bottom"/>
          </w:tcPr>
          <w:p>
            <w:pPr>
              <w:spacing w:after="0"/>
              <w:rPr>
                <w:sz w:val="20"/>
                <w:szCs w:val="20"/>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Impairment</w:t>
            </w:r>
          </w:p>
        </w:tc>
        <w:tc>
          <w:tcPr>
            <w:tcW w:w="260" w:type="dxa"/>
            <w:vAlign w:val="bottom"/>
          </w:tcPr>
          <w:p>
            <w:pPr>
              <w:spacing w:after="0"/>
              <w:rPr>
                <w:sz w:val="20"/>
                <w:szCs w:val="20"/>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(3,604 )</w:t>
            </w:r>
          </w:p>
        </w:tc>
        <w:tc>
          <w:tcPr>
            <w:tcW w:w="36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49"/>
        </w:trPr>
        <w:tc>
          <w:tcPr>
            <w:tcW w:w="1700" w:type="dxa"/>
            <w:vAlign w:val="bottom"/>
          </w:tcPr>
          <w:p>
            <w:pPr>
              <w:spacing w:after="0"/>
              <w:rPr>
                <w:sz w:val="21"/>
                <w:szCs w:val="21"/>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Purchase price adjustment</w:t>
            </w:r>
          </w:p>
        </w:tc>
        <w:tc>
          <w:tcPr>
            <w:tcW w:w="260" w:type="dxa"/>
            <w:vAlign w:val="bottom"/>
            <w:shd w:val="clear" w:color="auto" w:fill="CFF0FC"/>
          </w:tcPr>
          <w:p>
            <w:pPr>
              <w:spacing w:after="0"/>
              <w:rPr>
                <w:sz w:val="21"/>
                <w:szCs w:val="21"/>
                <w:color w:val="auto"/>
              </w:rPr>
            </w:pPr>
          </w:p>
        </w:tc>
        <w:tc>
          <w:tcPr>
            <w:tcW w:w="108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FF0FC"/>
          </w:tcPr>
          <w:p>
            <w:pPr>
              <w:spacing w:after="0"/>
              <w:rPr>
                <w:sz w:val="21"/>
                <w:szCs w:val="21"/>
                <w:color w:val="auto"/>
              </w:rPr>
            </w:pPr>
          </w:p>
        </w:tc>
      </w:tr>
      <w:tr>
        <w:trPr>
          <w:trHeight w:val="237"/>
        </w:trPr>
        <w:tc>
          <w:tcPr>
            <w:tcW w:w="1700" w:type="dxa"/>
            <w:vAlign w:val="bottom"/>
          </w:tcPr>
          <w:p>
            <w:pPr>
              <w:spacing w:after="0"/>
              <w:rPr>
                <w:sz w:val="20"/>
                <w:szCs w:val="20"/>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Change related to foreign currency translation</w:t>
            </w:r>
          </w:p>
        </w:tc>
        <w:tc>
          <w:tcPr>
            <w:tcW w:w="260" w:type="dxa"/>
            <w:vAlign w:val="bottom"/>
          </w:tcPr>
          <w:p>
            <w:pPr>
              <w:spacing w:after="0"/>
              <w:rPr>
                <w:sz w:val="20"/>
                <w:szCs w:val="20"/>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(1,571 )</w:t>
            </w:r>
          </w:p>
        </w:tc>
        <w:tc>
          <w:tcPr>
            <w:tcW w:w="36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(90 )</w:t>
            </w:r>
          </w:p>
        </w:tc>
      </w:tr>
      <w:tr>
        <w:trPr>
          <w:trHeight w:val="277"/>
        </w:trPr>
        <w:tc>
          <w:tcPr>
            <w:tcW w:w="1700" w:type="dxa"/>
            <w:vAlign w:val="bottom"/>
          </w:tcPr>
          <w:p>
            <w:pPr>
              <w:spacing w:after="0"/>
              <w:rPr>
                <w:sz w:val="24"/>
                <w:szCs w:val="24"/>
                <w:color w:val="auto"/>
              </w:rPr>
            </w:pPr>
          </w:p>
        </w:tc>
        <w:tc>
          <w:tcPr>
            <w:tcW w:w="5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35,104</w:t>
            </w:r>
          </w:p>
        </w:tc>
        <w:tc>
          <w:tcPr>
            <w:tcW w:w="2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40,279</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-1430655</wp:posOffset>
            </wp:positionV>
            <wp:extent cx="5143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-1414145</wp:posOffset>
            </wp:positionV>
            <wp:extent cx="5143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-1430655</wp:posOffset>
            </wp:positionV>
            <wp:extent cx="431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-1414145</wp:posOffset>
            </wp:positionV>
            <wp:extent cx="431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-24765</wp:posOffset>
            </wp:positionV>
            <wp:extent cx="5143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5143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second quarter of 2022, the Company determined that a triggering event occurred in relation to the depressed market price of the Company's common stock and corresponding decline in the Company's market capitalization. As a result, the Company performed an interim quantitative goodwill impairment test and concluded that the carrying value of the Company's Diagnostics reporting unit exceeded its estimated fair value and the goodwill balance for that segment was fully impaired. The Company recognized a pre-tax impairment charge of $3,604 during the year ended December 31, 2022, which is reported in loss on impairments in the Company's consolidated statement of operations. The Company's quantitative goodwill impairment test concluded that the carrying value of the Company's Molecular Solutions reporting unit exceeded its estimated fair value and no impairment of the related goodwill exists.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 of the following:</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2022</w:t>
            </w: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180" w:type="dxa"/>
            <w:vAlign w:val="bottom"/>
          </w:tcPr>
          <w:p>
            <w:pPr>
              <w:spacing w:after="0"/>
              <w:rPr>
                <w:sz w:val="11"/>
                <w:szCs w:val="11"/>
                <w:color w:val="auto"/>
              </w:rPr>
            </w:pPr>
          </w:p>
        </w:tc>
        <w:tc>
          <w:tcPr>
            <w:tcW w:w="1260" w:type="dxa"/>
            <w:vAlign w:val="bottom"/>
            <w:gridSpan w:val="2"/>
          </w:tcPr>
          <w:p>
            <w:pPr>
              <w:ind w:left="140"/>
              <w:spacing w:after="0" w:line="133" w:lineRule="exact"/>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1"/>
                <w:szCs w:val="11"/>
                <w:color w:val="auto"/>
              </w:rPr>
            </w:pPr>
          </w:p>
        </w:tc>
        <w:tc>
          <w:tcPr>
            <w:tcW w:w="80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1"/>
                <w:szCs w:val="11"/>
                <w:color w:val="auto"/>
              </w:rPr>
            </w:pPr>
          </w:p>
        </w:tc>
        <w:tc>
          <w:tcPr>
            <w:tcW w:w="1260" w:type="dxa"/>
            <w:vAlign w:val="bottom"/>
            <w:gridSpan w:val="3"/>
          </w:tcPr>
          <w:p>
            <w:pPr>
              <w:jc w:val="center"/>
              <w:ind w:right="15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1"/>
                <w:szCs w:val="11"/>
                <w:color w:val="auto"/>
              </w:rPr>
            </w:pPr>
          </w:p>
        </w:tc>
        <w:tc>
          <w:tcPr>
            <w:tcW w:w="78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180" w:type="dxa"/>
            <w:vAlign w:val="bottom"/>
          </w:tcPr>
          <w:p>
            <w:pPr>
              <w:spacing w:after="0"/>
              <w:rPr>
                <w:sz w:val="16"/>
                <w:szCs w:val="16"/>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Period (Years)</w:t>
            </w: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210"/>
              <w:spacing w:after="0"/>
              <w:rPr>
                <w:sz w:val="20"/>
                <w:szCs w:val="20"/>
                <w:color w:val="auto"/>
              </w:rPr>
            </w:pPr>
            <w:r>
              <w:rPr>
                <w:rFonts w:ascii="Arial" w:cs="Arial" w:eastAsia="Arial" w:hAnsi="Arial"/>
                <w:sz w:val="14"/>
                <w:szCs w:val="14"/>
                <w:b w:val="1"/>
                <w:bCs w:val="1"/>
                <w:color w:val="auto"/>
                <w:w w:val="95"/>
              </w:rPr>
              <w:t>Amortization</w:t>
            </w:r>
          </w:p>
        </w:tc>
        <w:tc>
          <w:tcPr>
            <w:tcW w:w="2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14,286</w:t>
            </w:r>
          </w:p>
        </w:tc>
        <w:tc>
          <w:tcPr>
            <w:tcW w:w="2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(11,011</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Patents and product rights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7,620</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(6,615 )</w:t>
            </w:r>
          </w:p>
        </w:tc>
        <w:tc>
          <w:tcPr>
            <w:tcW w:w="2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80" w:type="dxa"/>
            <w:vAlign w:val="bottom"/>
          </w:tcPr>
          <w:p>
            <w:pPr>
              <w:spacing w:after="0"/>
              <w:rPr>
                <w:sz w:val="20"/>
                <w:szCs w:val="20"/>
                <w:color w:val="auto"/>
              </w:rPr>
            </w:pPr>
            <w:r>
              <w:rPr>
                <w:rFonts w:ascii="Arial" w:cs="Arial" w:eastAsia="Arial" w:hAnsi="Arial"/>
                <w:sz w:val="18"/>
                <w:szCs w:val="18"/>
                <w:color w:val="auto"/>
              </w:rPr>
              <w:t>Developed technology</w:t>
            </w:r>
          </w:p>
        </w:tc>
        <w:tc>
          <w:tcPr>
            <w:tcW w:w="1140" w:type="dxa"/>
            <w:vAlign w:val="bottom"/>
          </w:tcPr>
          <w:p>
            <w:pPr>
              <w:jc w:val="right"/>
              <w:spacing w:after="0"/>
              <w:rPr>
                <w:sz w:val="20"/>
                <w:szCs w:val="20"/>
                <w:color w:val="auto"/>
              </w:rPr>
            </w:pPr>
            <w:r>
              <w:rPr>
                <w:rFonts w:ascii="Arial" w:cs="Arial" w:eastAsia="Arial" w:hAnsi="Arial"/>
                <w:sz w:val="18"/>
                <w:szCs w:val="18"/>
                <w:color w:val="auto"/>
              </w:rPr>
              <w:t>7-10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15,478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(9,940 )</w:t>
            </w: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Tradename</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5,387</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(3,511 )</w:t>
            </w:r>
          </w:p>
        </w:tc>
        <w:tc>
          <w:tcPr>
            <w:tcW w:w="2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8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42,771</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(31,077 )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11,694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5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2021</w:t>
            </w: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180" w:type="dxa"/>
            <w:vAlign w:val="bottom"/>
          </w:tcPr>
          <w:p>
            <w:pPr>
              <w:spacing w:after="0"/>
              <w:rPr>
                <w:sz w:val="11"/>
                <w:szCs w:val="11"/>
                <w:color w:val="auto"/>
              </w:rPr>
            </w:pPr>
          </w:p>
        </w:tc>
        <w:tc>
          <w:tcPr>
            <w:tcW w:w="1260" w:type="dxa"/>
            <w:vAlign w:val="bottom"/>
            <w:gridSpan w:val="2"/>
          </w:tcPr>
          <w:p>
            <w:pPr>
              <w:ind w:left="160"/>
              <w:spacing w:after="0" w:line="133" w:lineRule="exact"/>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1"/>
                <w:szCs w:val="11"/>
                <w:color w:val="auto"/>
              </w:rPr>
            </w:pPr>
          </w:p>
        </w:tc>
        <w:tc>
          <w:tcPr>
            <w:tcW w:w="80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21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1"/>
                <w:szCs w:val="11"/>
                <w:color w:val="auto"/>
              </w:rPr>
            </w:pPr>
          </w:p>
        </w:tc>
        <w:tc>
          <w:tcPr>
            <w:tcW w:w="78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180" w:type="dxa"/>
            <w:vAlign w:val="bottom"/>
          </w:tcPr>
          <w:p>
            <w:pPr>
              <w:spacing w:after="0"/>
              <w:rPr>
                <w:sz w:val="16"/>
                <w:szCs w:val="16"/>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Period (Years)</w:t>
            </w: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210"/>
              <w:spacing w:after="0"/>
              <w:rPr>
                <w:sz w:val="20"/>
                <w:szCs w:val="20"/>
                <w:color w:val="auto"/>
              </w:rPr>
            </w:pPr>
            <w:r>
              <w:rPr>
                <w:rFonts w:ascii="Arial" w:cs="Arial" w:eastAsia="Arial" w:hAnsi="Arial"/>
                <w:sz w:val="14"/>
                <w:szCs w:val="14"/>
                <w:b w:val="1"/>
                <w:bCs w:val="1"/>
                <w:color w:val="auto"/>
                <w:w w:val="95"/>
              </w:rPr>
              <w:t>Amortization</w:t>
            </w:r>
          </w:p>
        </w:tc>
        <w:tc>
          <w:tcPr>
            <w:tcW w:w="2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15,016</w:t>
            </w:r>
          </w:p>
        </w:tc>
        <w:tc>
          <w:tcPr>
            <w:tcW w:w="22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(11,205</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80" w:type="dxa"/>
            <w:vAlign w:val="bottom"/>
          </w:tcPr>
          <w:p>
            <w:pPr>
              <w:spacing w:after="0"/>
              <w:rPr>
                <w:sz w:val="20"/>
                <w:szCs w:val="20"/>
                <w:color w:val="auto"/>
              </w:rPr>
            </w:pPr>
            <w:r>
              <w:rPr>
                <w:rFonts w:ascii="Arial" w:cs="Arial" w:eastAsia="Arial" w:hAnsi="Arial"/>
                <w:sz w:val="18"/>
                <w:szCs w:val="18"/>
                <w:color w:val="auto"/>
              </w:rPr>
              <w:t>Patents and product rights</w:t>
            </w: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7,785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(6,241 )</w:t>
            </w: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Developed technology</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16,293</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(9,725 )</w:t>
            </w:r>
          </w:p>
        </w:tc>
        <w:tc>
          <w:tcPr>
            <w:tcW w:w="2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tcPr>
          <w:p>
            <w:pPr>
              <w:spacing w:after="0"/>
              <w:rPr>
                <w:sz w:val="20"/>
                <w:szCs w:val="20"/>
                <w:color w:val="auto"/>
              </w:rPr>
            </w:pPr>
            <w:r>
              <w:rPr>
                <w:rFonts w:ascii="Arial" w:cs="Arial" w:eastAsia="Arial" w:hAnsi="Arial"/>
                <w:sz w:val="18"/>
                <w:szCs w:val="18"/>
                <w:color w:val="auto"/>
              </w:rPr>
              <w:t>Tradename</w:t>
            </w:r>
          </w:p>
        </w:tc>
        <w:tc>
          <w:tcPr>
            <w:tcW w:w="1140" w:type="dxa"/>
            <w:vAlign w:val="bottom"/>
          </w:tcPr>
          <w:p>
            <w:pPr>
              <w:jc w:val="right"/>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5,661</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(3,241 )</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18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44,755</w:t>
            </w:r>
          </w:p>
        </w:tc>
        <w:tc>
          <w:tcPr>
            <w:tcW w:w="22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(30,412</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14,343</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-1482090</wp:posOffset>
            </wp:positionV>
            <wp:extent cx="60325" cy="18859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1">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-1482090</wp:posOffset>
            </wp:positionV>
            <wp:extent cx="60325" cy="18859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2">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-1482090</wp:posOffset>
            </wp:positionV>
            <wp:extent cx="60325" cy="18859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3">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-24765</wp:posOffset>
            </wp:positionV>
            <wp:extent cx="6032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6032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6032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032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2022, 2021, and 2020 was $2,269, $3,260, and $3,246,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each of the five succeeding fiscal years and beyond is estimated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260" w:type="dxa"/>
            <w:vAlign w:val="bottom"/>
          </w:tcPr>
          <w:p>
            <w:pPr>
              <w:spacing w:after="0"/>
              <w:rPr>
                <w:sz w:val="21"/>
                <w:szCs w:val="21"/>
                <w:color w:val="auto"/>
              </w:rPr>
            </w:pPr>
          </w:p>
        </w:tc>
        <w:tc>
          <w:tcPr>
            <w:tcW w:w="18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402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2,221</w:t>
            </w:r>
          </w:p>
        </w:tc>
        <w:tc>
          <w:tcPr>
            <w:tcW w:w="2240" w:type="dxa"/>
            <w:vAlign w:val="bottom"/>
          </w:tcPr>
          <w:p>
            <w:pPr>
              <w:spacing w:after="0"/>
              <w:rPr>
                <w:sz w:val="21"/>
                <w:szCs w:val="21"/>
                <w:color w:val="auto"/>
              </w:rPr>
            </w:pPr>
          </w:p>
        </w:tc>
      </w:tr>
      <w:tr>
        <w:trPr>
          <w:trHeight w:val="237"/>
        </w:trPr>
        <w:tc>
          <w:tcPr>
            <w:tcW w:w="2260" w:type="dxa"/>
            <w:vAlign w:val="bottom"/>
          </w:tcPr>
          <w:p>
            <w:pPr>
              <w:spacing w:after="0"/>
              <w:rPr>
                <w:sz w:val="20"/>
                <w:szCs w:val="20"/>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2024</w:t>
            </w:r>
          </w:p>
        </w:tc>
        <w:tc>
          <w:tcPr>
            <w:tcW w:w="3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2,183</w:t>
            </w:r>
          </w:p>
        </w:tc>
        <w:tc>
          <w:tcPr>
            <w:tcW w:w="2240" w:type="dxa"/>
            <w:vAlign w:val="bottom"/>
          </w:tcPr>
          <w:p>
            <w:pPr>
              <w:spacing w:after="0"/>
              <w:rPr>
                <w:sz w:val="20"/>
                <w:szCs w:val="20"/>
                <w:color w:val="auto"/>
              </w:rPr>
            </w:pPr>
          </w:p>
        </w:tc>
      </w:tr>
      <w:tr>
        <w:trPr>
          <w:trHeight w:val="249"/>
        </w:trPr>
        <w:tc>
          <w:tcPr>
            <w:tcW w:w="2260" w:type="dxa"/>
            <w:vAlign w:val="bottom"/>
          </w:tcPr>
          <w:p>
            <w:pPr>
              <w:spacing w:after="0"/>
              <w:rPr>
                <w:sz w:val="21"/>
                <w:szCs w:val="21"/>
                <w:color w:val="auto"/>
              </w:rPr>
            </w:pPr>
          </w:p>
        </w:tc>
        <w:tc>
          <w:tcPr>
            <w:tcW w:w="188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36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1,947</w:t>
            </w:r>
          </w:p>
        </w:tc>
        <w:tc>
          <w:tcPr>
            <w:tcW w:w="2240" w:type="dxa"/>
            <w:vAlign w:val="bottom"/>
          </w:tcPr>
          <w:p>
            <w:pPr>
              <w:spacing w:after="0"/>
              <w:rPr>
                <w:sz w:val="21"/>
                <w:szCs w:val="21"/>
                <w:color w:val="auto"/>
              </w:rPr>
            </w:pPr>
          </w:p>
        </w:tc>
      </w:tr>
      <w:tr>
        <w:trPr>
          <w:trHeight w:val="237"/>
        </w:trPr>
        <w:tc>
          <w:tcPr>
            <w:tcW w:w="2260" w:type="dxa"/>
            <w:vAlign w:val="bottom"/>
          </w:tcPr>
          <w:p>
            <w:pPr>
              <w:spacing w:after="0"/>
              <w:rPr>
                <w:sz w:val="20"/>
                <w:szCs w:val="20"/>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2026</w:t>
            </w:r>
          </w:p>
        </w:tc>
        <w:tc>
          <w:tcPr>
            <w:tcW w:w="3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1,591</w:t>
            </w:r>
          </w:p>
        </w:tc>
        <w:tc>
          <w:tcPr>
            <w:tcW w:w="2240" w:type="dxa"/>
            <w:vAlign w:val="bottom"/>
          </w:tcPr>
          <w:p>
            <w:pPr>
              <w:spacing w:after="0"/>
              <w:rPr>
                <w:sz w:val="20"/>
                <w:szCs w:val="20"/>
                <w:color w:val="auto"/>
              </w:rPr>
            </w:pPr>
          </w:p>
        </w:tc>
      </w:tr>
      <w:tr>
        <w:trPr>
          <w:trHeight w:val="249"/>
        </w:trPr>
        <w:tc>
          <w:tcPr>
            <w:tcW w:w="2260" w:type="dxa"/>
            <w:vAlign w:val="bottom"/>
          </w:tcPr>
          <w:p>
            <w:pPr>
              <w:spacing w:after="0"/>
              <w:rPr>
                <w:sz w:val="21"/>
                <w:szCs w:val="21"/>
                <w:color w:val="auto"/>
              </w:rPr>
            </w:pPr>
          </w:p>
        </w:tc>
        <w:tc>
          <w:tcPr>
            <w:tcW w:w="1880" w:type="dxa"/>
            <w:vAlign w:val="bottom"/>
            <w:shd w:val="clear" w:color="auto" w:fill="CFF0FC"/>
          </w:tcPr>
          <w:p>
            <w:pPr>
              <w:spacing w:after="0"/>
              <w:rPr>
                <w:sz w:val="20"/>
                <w:szCs w:val="20"/>
                <w:color w:val="auto"/>
              </w:rPr>
            </w:pPr>
            <w:r>
              <w:rPr>
                <w:rFonts w:ascii="Arial" w:cs="Arial" w:eastAsia="Arial" w:hAnsi="Arial"/>
                <w:sz w:val="18"/>
                <w:szCs w:val="18"/>
                <w:color w:val="auto"/>
              </w:rPr>
              <w:t>2027</w:t>
            </w:r>
          </w:p>
        </w:tc>
        <w:tc>
          <w:tcPr>
            <w:tcW w:w="36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1,520</w:t>
            </w:r>
          </w:p>
        </w:tc>
        <w:tc>
          <w:tcPr>
            <w:tcW w:w="2240" w:type="dxa"/>
            <w:vAlign w:val="bottom"/>
          </w:tcPr>
          <w:p>
            <w:pPr>
              <w:spacing w:after="0"/>
              <w:rPr>
                <w:sz w:val="21"/>
                <w:szCs w:val="21"/>
                <w:color w:val="auto"/>
              </w:rPr>
            </w:pPr>
          </w:p>
        </w:tc>
      </w:tr>
      <w:tr>
        <w:trPr>
          <w:trHeight w:val="237"/>
        </w:trPr>
        <w:tc>
          <w:tcPr>
            <w:tcW w:w="2260" w:type="dxa"/>
            <w:vAlign w:val="bottom"/>
          </w:tcPr>
          <w:p>
            <w:pPr>
              <w:spacing w:after="0"/>
              <w:rPr>
                <w:sz w:val="20"/>
                <w:szCs w:val="20"/>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Beyond</w:t>
            </w:r>
          </w:p>
        </w:tc>
        <w:tc>
          <w:tcPr>
            <w:tcW w:w="36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2,232</w:t>
            </w:r>
          </w:p>
        </w:tc>
        <w:tc>
          <w:tcPr>
            <w:tcW w:w="2240" w:type="dxa"/>
            <w:vAlign w:val="bottom"/>
          </w:tcPr>
          <w:p>
            <w:pPr>
              <w:spacing w:after="0"/>
              <w:rPr>
                <w:sz w:val="20"/>
                <w:szCs w:val="20"/>
                <w:color w:val="auto"/>
              </w:rPr>
            </w:pPr>
          </w:p>
        </w:tc>
      </w:tr>
      <w:tr>
        <w:trPr>
          <w:trHeight w:val="276"/>
        </w:trPr>
        <w:tc>
          <w:tcPr>
            <w:tcW w:w="2260" w:type="dxa"/>
            <w:vAlign w:val="bottom"/>
          </w:tcPr>
          <w:p>
            <w:pPr>
              <w:spacing w:after="0"/>
              <w:rPr>
                <w:sz w:val="24"/>
                <w:szCs w:val="24"/>
                <w:color w:val="auto"/>
              </w:rPr>
            </w:pPr>
          </w:p>
        </w:tc>
        <w:tc>
          <w:tcPr>
            <w:tcW w:w="1880" w:type="dxa"/>
            <w:vAlign w:val="bottom"/>
            <w:tcBorders>
              <w:bottom w:val="single" w:sz="8" w:color="CFF0FC"/>
            </w:tcBorders>
            <w:shd w:val="clear" w:color="auto" w:fill="CFF0FC"/>
          </w:tcPr>
          <w:p>
            <w:pPr>
              <w:spacing w:after="0"/>
              <w:rPr>
                <w:sz w:val="24"/>
                <w:szCs w:val="24"/>
                <w:color w:val="auto"/>
              </w:rPr>
            </w:pPr>
          </w:p>
        </w:tc>
        <w:tc>
          <w:tcPr>
            <w:tcW w:w="364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11,694</w:t>
            </w:r>
          </w:p>
        </w:tc>
        <w:tc>
          <w:tcPr>
            <w:tcW w:w="2240" w:type="dxa"/>
            <w:vAlign w:val="bottom"/>
          </w:tcPr>
          <w:p>
            <w:pPr>
              <w:spacing w:after="0"/>
              <w:rPr>
                <w:sz w:val="24"/>
                <w:szCs w:val="24"/>
                <w:color w:val="auto"/>
              </w:rPr>
            </w:pPr>
          </w:p>
        </w:tc>
      </w:tr>
      <w:tr>
        <w:trPr>
          <w:trHeight w:val="419"/>
        </w:trPr>
        <w:tc>
          <w:tcPr>
            <w:tcW w:w="22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020" w:type="dxa"/>
            <w:vAlign w:val="bottom"/>
            <w:gridSpan w:val="2"/>
          </w:tcPr>
          <w:p>
            <w:pPr>
              <w:jc w:val="right"/>
              <w:ind w:right="2270"/>
              <w:spacing w:after="0"/>
              <w:rPr>
                <w:sz w:val="20"/>
                <w:szCs w:val="20"/>
                <w:color w:val="auto"/>
              </w:rPr>
            </w:pPr>
            <w:r>
              <w:rPr>
                <w:rFonts w:ascii="Arial" w:cs="Arial" w:eastAsia="Arial" w:hAnsi="Arial"/>
                <w:sz w:val="18"/>
                <w:szCs w:val="18"/>
                <w:color w:val="auto"/>
              </w:rPr>
              <w:t>F-20</w:t>
            </w:r>
          </w:p>
        </w:tc>
        <w:tc>
          <w:tcPr>
            <w:tcW w:w="8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358"/>
        </w:trPr>
        <w:tc>
          <w:tcPr>
            <w:tcW w:w="226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-539115</wp:posOffset>
            </wp:positionV>
            <wp:extent cx="3429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-521970</wp:posOffset>
            </wp:positionV>
            <wp:extent cx="3429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94" w:name="page95"/>
    <w:bookmarkEnd w:id="94"/>
    <w:p>
      <w:pPr>
        <w:ind w:left="360" w:hanging="352"/>
        <w:spacing w:after="0"/>
        <w:tabs>
          <w:tab w:leader="none" w:pos="3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288"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7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23"/>
        </w:trPr>
        <w:tc>
          <w:tcPr>
            <w:tcW w:w="57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9"/>
                <w:szCs w:val="19"/>
                <w:color w:val="auto"/>
              </w:rPr>
            </w:pPr>
          </w:p>
        </w:tc>
      </w:tr>
      <w:tr>
        <w:trPr>
          <w:trHeight w:val="237"/>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Payroll and related benefits</w:t>
            </w:r>
          </w:p>
        </w:tc>
        <w:tc>
          <w:tcPr>
            <w:tcW w:w="900" w:type="dxa"/>
            <w:vAlign w:val="bottom"/>
            <w:shd w:val="clear" w:color="auto" w:fill="CFF0FC"/>
          </w:tcPr>
          <w:p>
            <w:pPr>
              <w:jc w:val="right"/>
              <w:ind w:right="71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14,103</w:t>
            </w:r>
          </w:p>
        </w:tc>
        <w:tc>
          <w:tcPr>
            <w:tcW w:w="240" w:type="dxa"/>
            <w:vAlign w:val="bottom"/>
            <w:shd w:val="clear" w:color="auto" w:fill="CFF0FC"/>
          </w:tcPr>
          <w:p>
            <w:pPr>
              <w:spacing w:after="0"/>
              <w:rPr>
                <w:sz w:val="20"/>
                <w:szCs w:val="20"/>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15,570</w:t>
            </w:r>
          </w:p>
        </w:tc>
        <w:tc>
          <w:tcPr>
            <w:tcW w:w="80" w:type="dxa"/>
            <w:vAlign w:val="bottom"/>
            <w:shd w:val="clear" w:color="auto" w:fill="CFF0FC"/>
          </w:tcPr>
          <w:p>
            <w:pPr>
              <w:spacing w:after="0"/>
              <w:rPr>
                <w:sz w:val="20"/>
                <w:szCs w:val="20"/>
                <w:color w:val="auto"/>
              </w:rPr>
            </w:pPr>
          </w:p>
        </w:tc>
      </w:tr>
      <w:tr>
        <w:trPr>
          <w:trHeight w:val="237"/>
        </w:trPr>
        <w:tc>
          <w:tcPr>
            <w:tcW w:w="5740" w:type="dxa"/>
            <w:vAlign w:val="bottom"/>
          </w:tcPr>
          <w:p>
            <w:pPr>
              <w:spacing w:after="0"/>
              <w:rPr>
                <w:sz w:val="20"/>
                <w:szCs w:val="20"/>
                <w:color w:val="auto"/>
              </w:rPr>
            </w:pPr>
            <w:r>
              <w:rPr>
                <w:rFonts w:ascii="Arial" w:cs="Arial" w:eastAsia="Arial" w:hAnsi="Arial"/>
                <w:sz w:val="18"/>
                <w:szCs w:val="18"/>
                <w:color w:val="auto"/>
              </w:rPr>
              <w:t>Commitment to purchase under government contract</w:t>
            </w:r>
          </w:p>
        </w:tc>
        <w:tc>
          <w:tcPr>
            <w:tcW w:w="9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8,103</w:t>
            </w:r>
          </w:p>
        </w:tc>
        <w:tc>
          <w:tcPr>
            <w:tcW w:w="80" w:type="dxa"/>
            <w:vAlign w:val="bottom"/>
          </w:tcPr>
          <w:p>
            <w:pPr>
              <w:spacing w:after="0"/>
              <w:rPr>
                <w:sz w:val="20"/>
                <w:szCs w:val="20"/>
                <w:color w:val="auto"/>
              </w:rPr>
            </w:pPr>
          </w:p>
        </w:tc>
      </w:tr>
      <w:tr>
        <w:trPr>
          <w:trHeight w:val="249"/>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90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4,685</w:t>
            </w: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3,335</w:t>
            </w:r>
          </w:p>
        </w:tc>
        <w:tc>
          <w:tcPr>
            <w:tcW w:w="80" w:type="dxa"/>
            <w:vAlign w:val="bottom"/>
            <w:shd w:val="clear" w:color="auto" w:fill="CFF0FC"/>
          </w:tcPr>
          <w:p>
            <w:pPr>
              <w:spacing w:after="0"/>
              <w:rPr>
                <w:sz w:val="21"/>
                <w:szCs w:val="21"/>
                <w:color w:val="auto"/>
              </w:rPr>
            </w:pPr>
          </w:p>
        </w:tc>
      </w:tr>
      <w:tr>
        <w:trPr>
          <w:trHeight w:val="237"/>
        </w:trPr>
        <w:tc>
          <w:tcPr>
            <w:tcW w:w="5740" w:type="dxa"/>
            <w:vAlign w:val="bottom"/>
          </w:tcPr>
          <w:p>
            <w:pPr>
              <w:spacing w:after="0"/>
              <w:rPr>
                <w:sz w:val="20"/>
                <w:szCs w:val="20"/>
                <w:color w:val="auto"/>
              </w:rPr>
            </w:pPr>
            <w:r>
              <w:rPr>
                <w:rFonts w:ascii="Arial" w:cs="Arial" w:eastAsia="Arial" w:hAnsi="Arial"/>
                <w:sz w:val="18"/>
                <w:szCs w:val="18"/>
                <w:color w:val="auto"/>
              </w:rPr>
              <w:t>Sales tax payable</w:t>
            </w:r>
          </w:p>
        </w:tc>
        <w:tc>
          <w:tcPr>
            <w:tcW w:w="9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1,519</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2,227</w:t>
            </w:r>
          </w:p>
        </w:tc>
        <w:tc>
          <w:tcPr>
            <w:tcW w:w="80" w:type="dxa"/>
            <w:vAlign w:val="bottom"/>
          </w:tcPr>
          <w:p>
            <w:pPr>
              <w:spacing w:after="0"/>
              <w:rPr>
                <w:sz w:val="20"/>
                <w:szCs w:val="20"/>
                <w:color w:val="auto"/>
              </w:rPr>
            </w:pPr>
          </w:p>
        </w:tc>
      </w:tr>
      <w:tr>
        <w:trPr>
          <w:trHeight w:val="249"/>
        </w:trPr>
        <w:tc>
          <w:tcPr>
            <w:tcW w:w="5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5,455</w:t>
            </w:r>
          </w:p>
        </w:tc>
        <w:tc>
          <w:tcPr>
            <w:tcW w:w="24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4,543</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0"/>
        </w:trPr>
        <w:tc>
          <w:tcPr>
            <w:tcW w:w="5740" w:type="dxa"/>
            <w:vAlign w:val="bottom"/>
          </w:tcPr>
          <w:p>
            <w:pPr>
              <w:spacing w:after="0"/>
              <w:rPr>
                <w:sz w:val="20"/>
                <w:szCs w:val="20"/>
                <w:color w:val="auto"/>
              </w:rPr>
            </w:pPr>
          </w:p>
        </w:tc>
        <w:tc>
          <w:tcPr>
            <w:tcW w:w="900" w:type="dxa"/>
            <w:vAlign w:val="bottom"/>
          </w:tcPr>
          <w:p>
            <w:pPr>
              <w:jc w:val="right"/>
              <w:ind w:right="716"/>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25,762</w:t>
            </w:r>
          </w:p>
        </w:tc>
        <w:tc>
          <w:tcPr>
            <w:tcW w:w="68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33,778</w:t>
            </w:r>
          </w:p>
        </w:tc>
        <w:tc>
          <w:tcPr>
            <w:tcW w:w="80" w:type="dxa"/>
            <w:vAlign w:val="bottom"/>
          </w:tcPr>
          <w:p>
            <w:pPr>
              <w:spacing w:after="0"/>
              <w:rPr>
                <w:sz w:val="20"/>
                <w:szCs w:val="20"/>
                <w:color w:val="auto"/>
              </w:rPr>
            </w:pPr>
          </w:p>
        </w:tc>
      </w:tr>
      <w:tr>
        <w:trPr>
          <w:trHeight w:val="20"/>
        </w:trPr>
        <w:tc>
          <w:tcPr>
            <w:tcW w:w="57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-187960</wp:posOffset>
            </wp:positionV>
            <wp:extent cx="60325" cy="18859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4">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18859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5">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286" w:lineRule="exact"/>
        <w:rPr>
          <w:sz w:val="20"/>
          <w:szCs w:val="20"/>
          <w:color w:val="auto"/>
        </w:rPr>
      </w:pPr>
    </w:p>
    <w:p>
      <w:pPr>
        <w:ind w:left="360" w:hanging="352"/>
        <w:spacing w:after="0"/>
        <w:tabs>
          <w:tab w:leader="none" w:pos="3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determines whether an arrangement is a lease at inception. The Company has operating and finance leases for corporate offices, warehouse space and equipment (including vehicles). As of December 31, 2022, the Company is the lessee in all agreements. The Company's leases have remaining lease terms of 1 to 10 years, some of which include options to extend the leases based on agreed upon terms, and some of which include options to terminate the leases within 1 year. The Company presents the operating right-of-use asset amortization and the change in operating lease liabilities on the same line item, other non-cash amortization on the statement of cash flows.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most of the Company's leases do not provide an implicit rate, the Company uses its incremental borrowing rate based on the information available at the lease commencement date in determining the present value of lease payments.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has lease agreements that contain both lease and non-lease components (e.g., common-area maintenance). For these agreements, the Company accounts for lease components separately from non-lease components. During 2021, the Company entered into various purchase agreements for the Company's Molecular Solutions business which include a finance lease component for the use of specialized molds made and used by the vendor for purposes of manufacturing the goods to be purchased. The Company recorded an aggregate ROU asset and offsetting lease liability of $2,074 upon commencement of these contracts. The consideration to be paid under the agreements is variable based on the amounts purchased with a fixed amount charged if specified purchase minimums are not met. Only the fixed amount has been included in the measurement of the finance right-of-use asset and lease liability, and the variable costs are recognized as purchases are made within cost of products and services sold in the Company's consolidated statements of operations. The consideration for the contract has been allocated between the lease and non-lease components based on their relative estimated stand-alone selling prices.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are as follows:</w:t>
      </w:r>
    </w:p>
    <w:p>
      <w:pPr>
        <w:spacing w:after="0" w:line="200" w:lineRule="exact"/>
        <w:rPr>
          <w:sz w:val="20"/>
          <w:szCs w:val="20"/>
          <w:color w:val="auto"/>
        </w:rPr>
      </w:pPr>
    </w:p>
    <w:p>
      <w:pPr>
        <w:spacing w:after="0" w:line="314"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484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89"/>
              </w:rPr>
              <w:t>Years ended December 31,</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8"/>
        </w:trPr>
        <w:tc>
          <w:tcPr>
            <w:tcW w:w="48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r>
      <w:tr>
        <w:trPr>
          <w:trHeight w:val="25"/>
        </w:trPr>
        <w:tc>
          <w:tcPr>
            <w:tcW w:w="4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37"/>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780" w:type="dxa"/>
            <w:vAlign w:val="bottom"/>
            <w:tcBorders>
              <w:top w:val="single" w:sz="8" w:color="auto"/>
            </w:tcBorders>
            <w:shd w:val="clear" w:color="auto" w:fill="CFF0FC"/>
          </w:tcPr>
          <w:p>
            <w:pPr>
              <w:jc w:val="right"/>
              <w:ind w:right="59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2,910</w:t>
            </w:r>
          </w:p>
        </w:tc>
        <w:tc>
          <w:tcPr>
            <w:tcW w:w="2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2,226</w:t>
            </w:r>
          </w:p>
        </w:tc>
        <w:tc>
          <w:tcPr>
            <w:tcW w:w="18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1,291</w:t>
            </w:r>
          </w:p>
        </w:tc>
        <w:tc>
          <w:tcPr>
            <w:tcW w:w="80" w:type="dxa"/>
            <w:vAlign w:val="bottom"/>
            <w:shd w:val="clear" w:color="auto" w:fill="CFF0FC"/>
          </w:tcPr>
          <w:p>
            <w:pPr>
              <w:spacing w:after="0"/>
              <w:rPr>
                <w:sz w:val="20"/>
                <w:szCs w:val="20"/>
                <w:color w:val="auto"/>
              </w:rPr>
            </w:pPr>
          </w:p>
        </w:tc>
      </w:tr>
      <w:tr>
        <w:trPr>
          <w:trHeight w:val="237"/>
        </w:trPr>
        <w:tc>
          <w:tcPr>
            <w:tcW w:w="4840" w:type="dxa"/>
            <w:vAlign w:val="bottom"/>
          </w:tcPr>
          <w:p>
            <w:pPr>
              <w:spacing w:after="0"/>
              <w:rPr>
                <w:sz w:val="20"/>
                <w:szCs w:val="20"/>
                <w:color w:val="auto"/>
              </w:rPr>
            </w:pPr>
            <w:r>
              <w:rPr>
                <w:rFonts w:ascii="Arial" w:cs="Arial" w:eastAsia="Arial" w:hAnsi="Arial"/>
                <w:sz w:val="18"/>
                <w:szCs w:val="18"/>
                <w:color w:val="auto"/>
              </w:rPr>
              <w:t>Variable and short-term lease cost</w:t>
            </w:r>
          </w:p>
        </w:tc>
        <w:tc>
          <w:tcPr>
            <w:tcW w:w="7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521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49"/>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Finance lease cost:</w:t>
            </w:r>
          </w:p>
        </w:tc>
        <w:tc>
          <w:tcPr>
            <w:tcW w:w="7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7"/>
        </w:trPr>
        <w:tc>
          <w:tcPr>
            <w:tcW w:w="4840" w:type="dxa"/>
            <w:vAlign w:val="bottom"/>
          </w:tcPr>
          <w:p>
            <w:pPr>
              <w:ind w:left="180"/>
              <w:spacing w:after="0"/>
              <w:rPr>
                <w:sz w:val="20"/>
                <w:szCs w:val="20"/>
                <w:color w:val="auto"/>
              </w:rPr>
            </w:pPr>
            <w:r>
              <w:rPr>
                <w:rFonts w:ascii="Arial" w:cs="Arial" w:eastAsia="Arial" w:hAnsi="Arial"/>
                <w:sz w:val="18"/>
                <w:szCs w:val="18"/>
                <w:color w:val="auto"/>
              </w:rPr>
              <w:t>Amortization of right-of use assets</w:t>
            </w:r>
          </w:p>
        </w:tc>
        <w:tc>
          <w:tcPr>
            <w:tcW w:w="7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1,299</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900</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627</w:t>
            </w:r>
          </w:p>
        </w:tc>
        <w:tc>
          <w:tcPr>
            <w:tcW w:w="80" w:type="dxa"/>
            <w:vAlign w:val="bottom"/>
          </w:tcPr>
          <w:p>
            <w:pPr>
              <w:spacing w:after="0"/>
              <w:rPr>
                <w:sz w:val="20"/>
                <w:szCs w:val="20"/>
                <w:color w:val="auto"/>
              </w:rPr>
            </w:pPr>
          </w:p>
        </w:tc>
      </w:tr>
      <w:tr>
        <w:trPr>
          <w:trHeight w:val="249"/>
        </w:trPr>
        <w:tc>
          <w:tcPr>
            <w:tcW w:w="48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Interest on lease liabilities</w:t>
            </w:r>
          </w:p>
        </w:tc>
        <w:tc>
          <w:tcPr>
            <w:tcW w:w="78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2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4840" w:type="dxa"/>
            <w:vAlign w:val="bottom"/>
          </w:tcPr>
          <w:p>
            <w:pPr>
              <w:ind w:left="280"/>
              <w:spacing w:after="0"/>
              <w:rPr>
                <w:sz w:val="20"/>
                <w:szCs w:val="20"/>
                <w:color w:val="auto"/>
              </w:rPr>
            </w:pPr>
            <w:r>
              <w:rPr>
                <w:rFonts w:ascii="Arial" w:cs="Arial" w:eastAsia="Arial" w:hAnsi="Arial"/>
                <w:sz w:val="18"/>
                <w:szCs w:val="18"/>
                <w:color w:val="auto"/>
              </w:rPr>
              <w:t>Total finance lease cost</w:t>
            </w:r>
          </w:p>
        </w:tc>
        <w:tc>
          <w:tcPr>
            <w:tcW w:w="7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1,393</w:t>
            </w:r>
          </w:p>
        </w:tc>
        <w:tc>
          <w:tcPr>
            <w:tcW w:w="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w:t>
            </w: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80" w:type="dxa"/>
            <w:vAlign w:val="bottom"/>
          </w:tcPr>
          <w:p>
            <w:pPr>
              <w:spacing w:after="0"/>
              <w:rPr>
                <w:sz w:val="20"/>
                <w:szCs w:val="20"/>
                <w:color w:val="auto"/>
              </w:rPr>
            </w:pPr>
          </w:p>
        </w:tc>
      </w:tr>
      <w:tr>
        <w:trPr>
          <w:trHeight w:val="277"/>
        </w:trPr>
        <w:tc>
          <w:tcPr>
            <w:tcW w:w="4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cost</w:t>
            </w:r>
          </w:p>
        </w:tc>
        <w:tc>
          <w:tcPr>
            <w:tcW w:w="780" w:type="dxa"/>
            <w:vAlign w:val="bottom"/>
            <w:tcBorders>
              <w:bottom w:val="single" w:sz="8" w:color="auto"/>
            </w:tcBorders>
            <w:shd w:val="clear" w:color="auto" w:fill="CFF0FC"/>
          </w:tcPr>
          <w:p>
            <w:pPr>
              <w:jc w:val="right"/>
              <w:ind w:right="59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4,824</w:t>
            </w:r>
          </w:p>
        </w:tc>
        <w:tc>
          <w:tcPr>
            <w:tcW w:w="20" w:type="dxa"/>
            <w:vAlign w:val="bottom"/>
            <w:tcBorders>
              <w:bottom w:val="single" w:sz="8" w:color="auto"/>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3,409</w:t>
            </w:r>
          </w:p>
        </w:tc>
        <w:tc>
          <w:tcPr>
            <w:tcW w:w="1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1,990</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-351155</wp:posOffset>
            </wp:positionV>
            <wp:extent cx="60325" cy="1714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6">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-351155</wp:posOffset>
            </wp:positionV>
            <wp:extent cx="51435" cy="17145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7">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-351155</wp:posOffset>
            </wp:positionV>
            <wp:extent cx="51435" cy="1714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8">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-24765</wp:posOffset>
            </wp:positionV>
            <wp:extent cx="6032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-8255</wp:posOffset>
            </wp:positionV>
            <wp:extent cx="6032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-24765</wp:posOffset>
            </wp:positionV>
            <wp:extent cx="5143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-8255</wp:posOffset>
            </wp:positionV>
            <wp:extent cx="5143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is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w w:val="89"/>
              </w:rPr>
              <w:t>Years ended December 31,</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92"/>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ind w:left="240"/>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4840" w:type="dxa"/>
            <w:vAlign w:val="bottom"/>
            <w:vMerge w:val="restart"/>
          </w:tcPr>
          <w:p>
            <w:pPr>
              <w:spacing w:after="0"/>
              <w:rPr>
                <w:sz w:val="20"/>
                <w:szCs w:val="20"/>
                <w:color w:val="auto"/>
              </w:rPr>
            </w:pPr>
            <w:r>
              <w:rPr>
                <w:rFonts w:ascii="Arial" w:cs="Arial" w:eastAsia="Arial" w:hAnsi="Arial"/>
                <w:sz w:val="18"/>
                <w:szCs w:val="18"/>
                <w:color w:val="auto"/>
                <w:w w:val="99"/>
              </w:rPr>
              <w:t>Cash paid for amounts included in the measurement of lease</w:t>
            </w: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84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liabilities:</w:t>
            </w: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48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Operating cash flows from operating leases</w:t>
            </w:r>
          </w:p>
        </w:tc>
        <w:tc>
          <w:tcPr>
            <w:tcW w:w="780" w:type="dxa"/>
            <w:vAlign w:val="bottom"/>
            <w:shd w:val="clear" w:color="auto" w:fill="CFF0FC"/>
          </w:tcPr>
          <w:p>
            <w:pPr>
              <w:jc w:val="right"/>
              <w:ind w:right="599"/>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3"/>
              </w:rPr>
              <w:t>2,209</w:t>
            </w:r>
          </w:p>
        </w:tc>
        <w:tc>
          <w:tcPr>
            <w:tcW w:w="3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3,733</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1,280</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4840" w:type="dxa"/>
            <w:vAlign w:val="bottom"/>
          </w:tcPr>
          <w:p>
            <w:pPr>
              <w:ind w:left="280"/>
              <w:spacing w:after="0"/>
              <w:rPr>
                <w:sz w:val="20"/>
                <w:szCs w:val="20"/>
                <w:color w:val="auto"/>
              </w:rPr>
            </w:pPr>
            <w:r>
              <w:rPr>
                <w:rFonts w:ascii="Arial" w:cs="Arial" w:eastAsia="Arial" w:hAnsi="Arial"/>
                <w:sz w:val="18"/>
                <w:szCs w:val="18"/>
                <w:color w:val="auto"/>
              </w:rPr>
              <w:t>Operating cash flows from financing leases</w:t>
            </w:r>
          </w:p>
        </w:tc>
        <w:tc>
          <w:tcPr>
            <w:tcW w:w="78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gridSpan w:val="3"/>
          </w:tcPr>
          <w:p>
            <w:pPr>
              <w:jc w:val="right"/>
              <w:ind w:right="20"/>
              <w:spacing w:after="0"/>
              <w:rPr>
                <w:sz w:val="20"/>
                <w:szCs w:val="20"/>
                <w:color w:val="auto"/>
              </w:rPr>
            </w:pPr>
            <w:r>
              <w:rPr>
                <w:rFonts w:ascii="Arial" w:cs="Arial" w:eastAsia="Arial" w:hAnsi="Arial"/>
                <w:sz w:val="18"/>
                <w:szCs w:val="18"/>
                <w:color w:val="auto"/>
              </w:rPr>
              <w:t>82</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48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Financing cash flows from financing leases</w:t>
            </w:r>
          </w:p>
        </w:tc>
        <w:tc>
          <w:tcPr>
            <w:tcW w:w="78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3"/>
              </w:rPr>
              <w:t>1,381</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w w:val="79"/>
              </w:rPr>
              <w:t>686</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Non-cash activity:</w:t>
            </w: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4840" w:type="dxa"/>
            <w:vAlign w:val="bottom"/>
            <w:shd w:val="clear" w:color="auto" w:fill="CFF0FC"/>
          </w:tcPr>
          <w:p>
            <w:pPr>
              <w:ind w:left="280"/>
              <w:spacing w:after="0"/>
              <w:rPr>
                <w:sz w:val="20"/>
                <w:szCs w:val="20"/>
                <w:color w:val="auto"/>
              </w:rPr>
            </w:pPr>
            <w:r>
              <w:rPr>
                <w:rFonts w:ascii="Arial" w:cs="Arial" w:eastAsia="Arial" w:hAnsi="Arial"/>
                <w:sz w:val="18"/>
                <w:szCs w:val="18"/>
                <w:color w:val="auto"/>
                <w:w w:val="93"/>
              </w:rPr>
              <w:t>Right-of-use assets obtained in exchange for operating lease</w:t>
            </w: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1140" w:type="dxa"/>
            <w:vAlign w:val="bottom"/>
          </w:tcPr>
          <w:p>
            <w:pPr>
              <w:spacing w:after="0"/>
              <w:rPr>
                <w:sz w:val="21"/>
                <w:szCs w:val="21"/>
                <w:color w:val="auto"/>
              </w:rPr>
            </w:pPr>
          </w:p>
        </w:tc>
        <w:tc>
          <w:tcPr>
            <w:tcW w:w="48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obligations</w:t>
            </w:r>
          </w:p>
        </w:tc>
        <w:tc>
          <w:tcPr>
            <w:tcW w:w="78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3"/>
              </w:rPr>
              <w:t>3,963</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6,480</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840" w:type="dxa"/>
            <w:vAlign w:val="bottom"/>
          </w:tcPr>
          <w:p>
            <w:pPr>
              <w:ind w:left="280"/>
              <w:spacing w:after="0"/>
              <w:rPr>
                <w:sz w:val="20"/>
                <w:szCs w:val="20"/>
                <w:color w:val="auto"/>
              </w:rPr>
            </w:pPr>
            <w:r>
              <w:rPr>
                <w:rFonts w:ascii="Arial" w:cs="Arial" w:eastAsia="Arial" w:hAnsi="Arial"/>
                <w:sz w:val="18"/>
                <w:szCs w:val="18"/>
                <w:color w:val="auto"/>
                <w:w w:val="96"/>
              </w:rPr>
              <w:t>Right-of-use assets obtained in exchange for finance lease</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4840" w:type="dxa"/>
            <w:vAlign w:val="bottom"/>
          </w:tcPr>
          <w:p>
            <w:pPr>
              <w:ind w:left="280"/>
              <w:spacing w:after="0"/>
              <w:rPr>
                <w:sz w:val="20"/>
                <w:szCs w:val="20"/>
                <w:color w:val="auto"/>
              </w:rPr>
            </w:pPr>
            <w:r>
              <w:rPr>
                <w:rFonts w:ascii="Arial" w:cs="Arial" w:eastAsia="Arial" w:hAnsi="Arial"/>
                <w:sz w:val="18"/>
                <w:szCs w:val="18"/>
                <w:color w:val="auto"/>
              </w:rPr>
              <w:t>obligations</w:t>
            </w:r>
          </w:p>
        </w:tc>
        <w:tc>
          <w:tcPr>
            <w:tcW w:w="78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auto"/>
              </w:rPr>
              <w:t>2,074</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5980" w:type="dxa"/>
            <w:vAlign w:val="bottom"/>
            <w:gridSpan w:val="2"/>
          </w:tcPr>
          <w:p>
            <w:pPr>
              <w:spacing w:after="0"/>
              <w:rPr>
                <w:sz w:val="20"/>
                <w:szCs w:val="20"/>
                <w:color w:val="auto"/>
              </w:rPr>
            </w:pPr>
            <w:r>
              <w:rPr>
                <w:rFonts w:ascii="Arial" w:cs="Arial" w:eastAsia="Arial" w:hAnsi="Arial"/>
                <w:sz w:val="18"/>
                <w:szCs w:val="18"/>
                <w:color w:val="auto"/>
              </w:rPr>
              <w:t>Supplemental balance sheet information related to leases is as follows:</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14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Leases</w:t>
            </w:r>
          </w:p>
        </w:tc>
        <w:tc>
          <w:tcPr>
            <w:tcW w:w="7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4840" w:type="dxa"/>
            <w:vAlign w:val="bottom"/>
          </w:tcPr>
          <w:p>
            <w:pPr>
              <w:ind w:left="100"/>
              <w:spacing w:after="0"/>
              <w:rPr>
                <w:sz w:val="20"/>
                <w:szCs w:val="20"/>
                <w:color w:val="auto"/>
              </w:rPr>
            </w:pPr>
            <w:r>
              <w:rPr>
                <w:rFonts w:ascii="Arial" w:cs="Arial" w:eastAsia="Arial" w:hAnsi="Arial"/>
                <w:sz w:val="18"/>
                <w:szCs w:val="18"/>
                <w:color w:val="auto"/>
              </w:rPr>
              <w:t>Right-of-use assets</w:t>
            </w:r>
          </w:p>
        </w:tc>
        <w:tc>
          <w:tcPr>
            <w:tcW w:w="780" w:type="dxa"/>
            <w:vAlign w:val="bottom"/>
          </w:tcPr>
          <w:p>
            <w:pPr>
              <w:spacing w:after="0"/>
              <w:rPr>
                <w:sz w:val="20"/>
                <w:szCs w:val="20"/>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10,399</w:t>
            </w:r>
          </w:p>
        </w:tc>
        <w:tc>
          <w:tcPr>
            <w:tcW w:w="46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9,056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48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Lease liabilities:</w:t>
            </w:r>
          </w:p>
        </w:tc>
        <w:tc>
          <w:tcPr>
            <w:tcW w:w="7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4840" w:type="dxa"/>
            <w:vAlign w:val="bottom"/>
          </w:tcPr>
          <w:p>
            <w:pPr>
              <w:ind w:left="280"/>
              <w:spacing w:after="0"/>
              <w:rPr>
                <w:sz w:val="20"/>
                <w:szCs w:val="20"/>
                <w:color w:val="auto"/>
              </w:rPr>
            </w:pPr>
            <w:r>
              <w:rPr>
                <w:rFonts w:ascii="Arial" w:cs="Arial" w:eastAsia="Arial" w:hAnsi="Arial"/>
                <w:sz w:val="18"/>
                <w:szCs w:val="18"/>
                <w:color w:val="auto"/>
              </w:rPr>
              <w:t>Current lease liabilities</w:t>
            </w: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1,764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2,181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48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Non-current lease liabilities</w:t>
            </w:r>
          </w:p>
        </w:tc>
        <w:tc>
          <w:tcPr>
            <w:tcW w:w="7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9,101</w:t>
            </w:r>
          </w:p>
        </w:tc>
        <w:tc>
          <w:tcPr>
            <w:tcW w:w="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7,202</w:t>
            </w:r>
          </w:p>
        </w:tc>
        <w:tc>
          <w:tcPr>
            <w:tcW w:w="80" w:type="dxa"/>
            <w:vAlign w:val="bottom"/>
            <w:tcBorders>
              <w:bottom w:val="single" w:sz="8" w:color="CFF0FC"/>
            </w:tcBorders>
            <w:shd w:val="clear" w:color="auto" w:fill="CFF0FC"/>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4840" w:type="dxa"/>
            <w:vAlign w:val="bottom"/>
          </w:tcPr>
          <w:p>
            <w:pPr>
              <w:ind w:left="140"/>
              <w:spacing w:after="0"/>
              <w:rPr>
                <w:sz w:val="20"/>
                <w:szCs w:val="20"/>
                <w:color w:val="auto"/>
              </w:rPr>
            </w:pPr>
            <w:r>
              <w:rPr>
                <w:rFonts w:ascii="Arial" w:cs="Arial" w:eastAsia="Arial" w:hAnsi="Arial"/>
                <w:sz w:val="18"/>
                <w:szCs w:val="18"/>
                <w:color w:val="auto"/>
              </w:rPr>
              <w:t>Total operating lease liabilities</w:t>
            </w:r>
          </w:p>
        </w:tc>
        <w:tc>
          <w:tcPr>
            <w:tcW w:w="780" w:type="dxa"/>
            <w:vAlign w:val="bottom"/>
          </w:tcPr>
          <w:p>
            <w:pPr>
              <w:spacing w:after="0"/>
              <w:rPr>
                <w:sz w:val="20"/>
                <w:szCs w:val="20"/>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10,865</w:t>
            </w:r>
          </w:p>
        </w:tc>
        <w:tc>
          <w:tcPr>
            <w:tcW w:w="46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9,383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Finance Leases</w:t>
            </w:r>
          </w:p>
        </w:tc>
        <w:tc>
          <w:tcPr>
            <w:tcW w:w="7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4840" w:type="dxa"/>
            <w:vAlign w:val="bottom"/>
          </w:tcPr>
          <w:p>
            <w:pPr>
              <w:ind w:left="100"/>
              <w:spacing w:after="0"/>
              <w:rPr>
                <w:sz w:val="20"/>
                <w:szCs w:val="20"/>
                <w:color w:val="auto"/>
              </w:rPr>
            </w:pPr>
            <w:r>
              <w:rPr>
                <w:rFonts w:ascii="Arial" w:cs="Arial" w:eastAsia="Arial" w:hAnsi="Arial"/>
                <w:sz w:val="18"/>
                <w:szCs w:val="18"/>
                <w:color w:val="auto"/>
              </w:rPr>
              <w:t>Right-of-use assets</w:t>
            </w:r>
          </w:p>
        </w:tc>
        <w:tc>
          <w:tcPr>
            <w:tcW w:w="78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1,293</w:t>
            </w:r>
          </w:p>
        </w:tc>
        <w:tc>
          <w:tcPr>
            <w:tcW w:w="46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2,493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48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Lease liabilities:</w:t>
            </w:r>
          </w:p>
        </w:tc>
        <w:tc>
          <w:tcPr>
            <w:tcW w:w="7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4840" w:type="dxa"/>
            <w:vAlign w:val="bottom"/>
          </w:tcPr>
          <w:p>
            <w:pPr>
              <w:ind w:left="280"/>
              <w:spacing w:after="0"/>
              <w:rPr>
                <w:sz w:val="20"/>
                <w:szCs w:val="20"/>
                <w:color w:val="auto"/>
              </w:rPr>
            </w:pPr>
            <w:r>
              <w:rPr>
                <w:rFonts w:ascii="Arial" w:cs="Arial" w:eastAsia="Arial" w:hAnsi="Arial"/>
                <w:sz w:val="18"/>
                <w:szCs w:val="18"/>
                <w:color w:val="auto"/>
              </w:rPr>
              <w:t>Current lease liabilities</w:t>
            </w: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1,179</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48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Non-current lease liabilities</w:t>
            </w:r>
          </w:p>
        </w:tc>
        <w:tc>
          <w:tcPr>
            <w:tcW w:w="7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w:t>
            </w:r>
          </w:p>
        </w:tc>
        <w:tc>
          <w:tcPr>
            <w:tcW w:w="2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1,952</w:t>
            </w:r>
          </w:p>
        </w:tc>
        <w:tc>
          <w:tcPr>
            <w:tcW w:w="80" w:type="dxa"/>
            <w:vAlign w:val="bottom"/>
            <w:tcBorders>
              <w:bottom w:val="single" w:sz="8" w:color="CFF0FC"/>
            </w:tcBorders>
            <w:shd w:val="clear" w:color="auto" w:fill="CFF0FC"/>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4840" w:type="dxa"/>
            <w:vAlign w:val="bottom"/>
          </w:tcPr>
          <w:p>
            <w:pPr>
              <w:ind w:left="140"/>
              <w:spacing w:after="0"/>
              <w:rPr>
                <w:sz w:val="20"/>
                <w:szCs w:val="20"/>
                <w:color w:val="auto"/>
              </w:rPr>
            </w:pPr>
            <w:r>
              <w:rPr>
                <w:rFonts w:ascii="Arial" w:cs="Arial" w:eastAsia="Arial" w:hAnsi="Arial"/>
                <w:sz w:val="18"/>
                <w:szCs w:val="18"/>
                <w:color w:val="auto"/>
              </w:rPr>
              <w:t>Total finance lease liabilities</w:t>
            </w:r>
          </w:p>
        </w:tc>
        <w:tc>
          <w:tcPr>
            <w:tcW w:w="78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1,682</w:t>
            </w:r>
          </w:p>
        </w:tc>
        <w:tc>
          <w:tcPr>
            <w:tcW w:w="46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2,891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4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Remaining Lease Term</w:t>
            </w:r>
          </w:p>
        </w:tc>
        <w:tc>
          <w:tcPr>
            <w:tcW w:w="7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Weighted-average remaining lease term—operating leases</w:t>
            </w: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0"/>
              </w:rPr>
              <w:t>6.24 years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ind w:left="240"/>
              <w:spacing w:after="0"/>
              <w:rPr>
                <w:sz w:val="20"/>
                <w:szCs w:val="20"/>
                <w:color w:val="auto"/>
              </w:rPr>
            </w:pPr>
            <w:r>
              <w:rPr>
                <w:rFonts w:ascii="Arial" w:cs="Arial" w:eastAsia="Arial" w:hAnsi="Arial"/>
                <w:sz w:val="18"/>
                <w:szCs w:val="18"/>
                <w:color w:val="auto"/>
                <w:w w:val="97"/>
              </w:rPr>
              <w:t>5.26 years</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40" w:type="dxa"/>
            <w:vAlign w:val="bottom"/>
          </w:tcPr>
          <w:p>
            <w:pPr>
              <w:spacing w:after="0"/>
              <w:rPr>
                <w:sz w:val="22"/>
                <w:szCs w:val="22"/>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remaining lease term—finance leases</w:t>
            </w:r>
          </w:p>
        </w:tc>
        <w:tc>
          <w:tcPr>
            <w:tcW w:w="7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1.33 years</w:t>
            </w:r>
          </w:p>
        </w:tc>
        <w:tc>
          <w:tcPr>
            <w:tcW w:w="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w w:val="97"/>
              </w:rPr>
              <w:t>2.21 years</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3"/>
        </w:trPr>
        <w:tc>
          <w:tcPr>
            <w:tcW w:w="1140" w:type="dxa"/>
            <w:vAlign w:val="bottom"/>
          </w:tcPr>
          <w:p>
            <w:pPr>
              <w:spacing w:after="0"/>
              <w:rPr>
                <w:sz w:val="24"/>
                <w:szCs w:val="24"/>
                <w:color w:val="auto"/>
              </w:rPr>
            </w:pPr>
          </w:p>
        </w:tc>
        <w:tc>
          <w:tcPr>
            <w:tcW w:w="4840" w:type="dxa"/>
            <w:vAlign w:val="bottom"/>
          </w:tcPr>
          <w:p>
            <w:pPr>
              <w:spacing w:after="0"/>
              <w:rPr>
                <w:sz w:val="20"/>
                <w:szCs w:val="20"/>
                <w:color w:val="auto"/>
              </w:rPr>
            </w:pPr>
            <w:r>
              <w:rPr>
                <w:rFonts w:ascii="Arial" w:cs="Arial" w:eastAsia="Arial" w:hAnsi="Arial"/>
                <w:sz w:val="18"/>
                <w:szCs w:val="18"/>
                <w:b w:val="1"/>
                <w:bCs w:val="1"/>
                <w:color w:val="auto"/>
              </w:rPr>
              <w:t>Weighted Average Discount Rate</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Weighted-average discount rate—operating leases</w:t>
            </w: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4.06 %</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3.90 %</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Weighted-average discount rate—finance leases</w:t>
            </w: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3.44 %</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3.57 %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-2510790</wp:posOffset>
            </wp:positionV>
            <wp:extent cx="60325" cy="18859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6">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-2510790</wp:posOffset>
            </wp:positionV>
            <wp:extent cx="51435" cy="18859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7">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-1396365</wp:posOffset>
            </wp:positionV>
            <wp:extent cx="51435" cy="18859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8">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-1396365</wp:posOffset>
            </wp:positionV>
            <wp:extent cx="51435" cy="18859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9">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-299720</wp:posOffset>
            </wp:positionV>
            <wp:extent cx="5700395" cy="15430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0">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minimum lease payments by period are expected to be as follows: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Finance</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Operating</w:t>
            </w:r>
          </w:p>
        </w:tc>
        <w:tc>
          <w:tcPr>
            <w:tcW w:w="112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34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2023</w:t>
            </w:r>
          </w:p>
        </w:tc>
        <w:tc>
          <w:tcPr>
            <w:tcW w:w="2280" w:type="dxa"/>
            <w:vAlign w:val="bottom"/>
            <w:shd w:val="clear" w:color="auto" w:fill="CFF0FC"/>
          </w:tcPr>
          <w:p>
            <w:pPr>
              <w:spacing w:after="0"/>
              <w:rPr>
                <w:sz w:val="21"/>
                <w:szCs w:val="21"/>
                <w:color w:val="auto"/>
              </w:rPr>
            </w:pPr>
          </w:p>
        </w:tc>
        <w:tc>
          <w:tcPr>
            <w:tcW w:w="1060" w:type="dxa"/>
            <w:vAlign w:val="bottom"/>
            <w:tcBorders>
              <w:top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1,216</w:t>
            </w:r>
          </w:p>
        </w:tc>
        <w:tc>
          <w:tcPr>
            <w:tcW w:w="20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1,898</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7"/>
        </w:trPr>
        <w:tc>
          <w:tcPr>
            <w:tcW w:w="1140" w:type="dxa"/>
            <w:vAlign w:val="bottom"/>
          </w:tcPr>
          <w:p>
            <w:pPr>
              <w:spacing w:after="0"/>
              <w:rPr>
                <w:sz w:val="20"/>
                <w:szCs w:val="20"/>
                <w:color w:val="auto"/>
              </w:rPr>
            </w:pPr>
          </w:p>
        </w:tc>
        <w:tc>
          <w:tcPr>
            <w:tcW w:w="3440" w:type="dxa"/>
            <w:vAlign w:val="bottom"/>
          </w:tcPr>
          <w:p>
            <w:pPr>
              <w:ind w:left="280"/>
              <w:spacing w:after="0"/>
              <w:rPr>
                <w:sz w:val="20"/>
                <w:szCs w:val="20"/>
                <w:color w:val="auto"/>
              </w:rPr>
            </w:pPr>
            <w:r>
              <w:rPr>
                <w:rFonts w:ascii="Arial" w:cs="Arial" w:eastAsia="Arial" w:hAnsi="Arial"/>
                <w:sz w:val="18"/>
                <w:szCs w:val="18"/>
                <w:color w:val="auto"/>
              </w:rPr>
              <w:t>2024</w:t>
            </w:r>
          </w:p>
        </w:tc>
        <w:tc>
          <w:tcPr>
            <w:tcW w:w="2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505</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2,311</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9"/>
        </w:trPr>
        <w:tc>
          <w:tcPr>
            <w:tcW w:w="1140" w:type="dxa"/>
            <w:vAlign w:val="bottom"/>
          </w:tcPr>
          <w:p>
            <w:pPr>
              <w:spacing w:after="0"/>
              <w:rPr>
                <w:sz w:val="21"/>
                <w:szCs w:val="21"/>
                <w:color w:val="auto"/>
              </w:rPr>
            </w:pPr>
          </w:p>
        </w:tc>
        <w:tc>
          <w:tcPr>
            <w:tcW w:w="34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2025</w:t>
            </w:r>
          </w:p>
        </w:tc>
        <w:tc>
          <w:tcPr>
            <w:tcW w:w="22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1,928</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7"/>
        </w:trPr>
        <w:tc>
          <w:tcPr>
            <w:tcW w:w="1140" w:type="dxa"/>
            <w:vAlign w:val="bottom"/>
          </w:tcPr>
          <w:p>
            <w:pPr>
              <w:spacing w:after="0"/>
              <w:rPr>
                <w:sz w:val="20"/>
                <w:szCs w:val="20"/>
                <w:color w:val="auto"/>
              </w:rPr>
            </w:pPr>
          </w:p>
        </w:tc>
        <w:tc>
          <w:tcPr>
            <w:tcW w:w="3440" w:type="dxa"/>
            <w:vAlign w:val="bottom"/>
          </w:tcPr>
          <w:p>
            <w:pPr>
              <w:ind w:left="280"/>
              <w:spacing w:after="0"/>
              <w:rPr>
                <w:sz w:val="20"/>
                <w:szCs w:val="20"/>
                <w:color w:val="auto"/>
              </w:rPr>
            </w:pPr>
            <w:r>
              <w:rPr>
                <w:rFonts w:ascii="Arial" w:cs="Arial" w:eastAsia="Arial" w:hAnsi="Arial"/>
                <w:sz w:val="18"/>
                <w:szCs w:val="18"/>
                <w:color w:val="auto"/>
              </w:rPr>
              <w:t>2026</w:t>
            </w:r>
          </w:p>
        </w:tc>
        <w:tc>
          <w:tcPr>
            <w:tcW w:w="2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1,710</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9"/>
        </w:trPr>
        <w:tc>
          <w:tcPr>
            <w:tcW w:w="1140" w:type="dxa"/>
            <w:vAlign w:val="bottom"/>
          </w:tcPr>
          <w:p>
            <w:pPr>
              <w:spacing w:after="0"/>
              <w:rPr>
                <w:sz w:val="21"/>
                <w:szCs w:val="21"/>
                <w:color w:val="auto"/>
              </w:rPr>
            </w:pPr>
          </w:p>
        </w:tc>
        <w:tc>
          <w:tcPr>
            <w:tcW w:w="34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2027</w:t>
            </w:r>
          </w:p>
        </w:tc>
        <w:tc>
          <w:tcPr>
            <w:tcW w:w="22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1,544</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3440" w:type="dxa"/>
            <w:vAlign w:val="bottom"/>
          </w:tcPr>
          <w:p>
            <w:pPr>
              <w:ind w:left="280"/>
              <w:spacing w:after="0"/>
              <w:rPr>
                <w:sz w:val="20"/>
                <w:szCs w:val="20"/>
                <w:color w:val="auto"/>
              </w:rPr>
            </w:pPr>
            <w:r>
              <w:rPr>
                <w:rFonts w:ascii="Arial" w:cs="Arial" w:eastAsia="Arial" w:hAnsi="Arial"/>
                <w:sz w:val="18"/>
                <w:szCs w:val="18"/>
                <w:color w:val="auto"/>
              </w:rPr>
              <w:t>Thereafter</w:t>
            </w:r>
          </w:p>
        </w:tc>
        <w:tc>
          <w:tcPr>
            <w:tcW w:w="2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3,083</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36"/>
        </w:trPr>
        <w:tc>
          <w:tcPr>
            <w:tcW w:w="1140" w:type="dxa"/>
            <w:vAlign w:val="bottom"/>
          </w:tcPr>
          <w:p>
            <w:pPr>
              <w:spacing w:after="0"/>
              <w:rPr>
                <w:sz w:val="20"/>
                <w:szCs w:val="20"/>
                <w:color w:val="auto"/>
              </w:rPr>
            </w:pPr>
          </w:p>
        </w:tc>
        <w:tc>
          <w:tcPr>
            <w:tcW w:w="34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minimum lease payments</w:t>
            </w:r>
          </w:p>
        </w:tc>
        <w:tc>
          <w:tcPr>
            <w:tcW w:w="2280" w:type="dxa"/>
            <w:vAlign w:val="bottom"/>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1,753</w:t>
            </w:r>
          </w:p>
        </w:tc>
        <w:tc>
          <w:tcPr>
            <w:tcW w:w="20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12,474</w:t>
            </w: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3440" w:type="dxa"/>
            <w:vAlign w:val="bottom"/>
          </w:tcPr>
          <w:p>
            <w:pPr>
              <w:ind w:left="280"/>
              <w:spacing w:after="0"/>
              <w:rPr>
                <w:sz w:val="20"/>
                <w:szCs w:val="20"/>
                <w:color w:val="auto"/>
              </w:rPr>
            </w:pPr>
            <w:r>
              <w:rPr>
                <w:rFonts w:ascii="Arial" w:cs="Arial" w:eastAsia="Arial" w:hAnsi="Arial"/>
                <w:sz w:val="18"/>
                <w:szCs w:val="18"/>
                <w:color w:val="auto"/>
              </w:rPr>
              <w:t>Less: imputed interest</w:t>
            </w:r>
          </w:p>
        </w:tc>
        <w:tc>
          <w:tcPr>
            <w:tcW w:w="2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(71 )</w:t>
            </w:r>
          </w:p>
        </w:tc>
        <w:tc>
          <w:tcPr>
            <w:tcW w:w="220" w:type="dxa"/>
            <w:vAlign w:val="bottom"/>
          </w:tcPr>
          <w:p>
            <w:pPr>
              <w:spacing w:after="0"/>
              <w:rPr>
                <w:sz w:val="21"/>
                <w:szCs w:val="21"/>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(1,609 )</w:t>
            </w:r>
          </w:p>
        </w:tc>
        <w:tc>
          <w:tcPr>
            <w:tcW w:w="1120" w:type="dxa"/>
            <w:vAlign w:val="bottom"/>
          </w:tcPr>
          <w:p>
            <w:pPr>
              <w:spacing w:after="0"/>
              <w:rPr>
                <w:sz w:val="21"/>
                <w:szCs w:val="21"/>
                <w:color w:val="auto"/>
              </w:rPr>
            </w:pPr>
          </w:p>
        </w:tc>
      </w:tr>
      <w:tr>
        <w:trPr>
          <w:trHeight w:val="236"/>
        </w:trPr>
        <w:tc>
          <w:tcPr>
            <w:tcW w:w="1140" w:type="dxa"/>
            <w:vAlign w:val="bottom"/>
          </w:tcPr>
          <w:p>
            <w:pPr>
              <w:spacing w:after="0"/>
              <w:rPr>
                <w:sz w:val="20"/>
                <w:szCs w:val="20"/>
                <w:color w:val="auto"/>
              </w:rPr>
            </w:pPr>
          </w:p>
        </w:tc>
        <w:tc>
          <w:tcPr>
            <w:tcW w:w="3440" w:type="dxa"/>
            <w:vAlign w:val="bottom"/>
          </w:tcPr>
          <w:p>
            <w:pPr>
              <w:ind w:left="280"/>
              <w:spacing w:after="0"/>
              <w:rPr>
                <w:sz w:val="20"/>
                <w:szCs w:val="20"/>
                <w:color w:val="auto"/>
              </w:rPr>
            </w:pPr>
            <w:r>
              <w:rPr>
                <w:rFonts w:ascii="Arial" w:cs="Arial" w:eastAsia="Arial" w:hAnsi="Arial"/>
                <w:sz w:val="18"/>
                <w:szCs w:val="18"/>
                <w:color w:val="auto"/>
              </w:rPr>
              <w:t>Present value of lease liabilities</w:t>
            </w:r>
          </w:p>
        </w:tc>
        <w:tc>
          <w:tcPr>
            <w:tcW w:w="2280" w:type="dxa"/>
            <w:vAlign w:val="bottom"/>
          </w:tcPr>
          <w:p>
            <w:pPr>
              <w:spacing w:after="0"/>
              <w:rPr>
                <w:sz w:val="20"/>
                <w:szCs w:val="20"/>
                <w:color w:val="auto"/>
              </w:rPr>
            </w:pP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1,682</w:t>
            </w:r>
          </w:p>
        </w:tc>
        <w:tc>
          <w:tcPr>
            <w:tcW w:w="2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10,865</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0"/>
        </w:trPr>
        <w:tc>
          <w:tcPr>
            <w:tcW w:w="11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629"/>
        </w:trPr>
        <w:tc>
          <w:tcPr>
            <w:tcW w:w="11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340" w:type="dxa"/>
            <w:vAlign w:val="bottom"/>
            <w:gridSpan w:val="2"/>
          </w:tcPr>
          <w:p>
            <w:pPr>
              <w:jc w:val="right"/>
              <w:ind w:right="2030"/>
              <w:spacing w:after="0"/>
              <w:rPr>
                <w:sz w:val="20"/>
                <w:szCs w:val="20"/>
                <w:color w:val="auto"/>
              </w:rPr>
            </w:pPr>
            <w:r>
              <w:rPr>
                <w:rFonts w:ascii="Arial" w:cs="Arial" w:eastAsia="Arial" w:hAnsi="Arial"/>
                <w:sz w:val="18"/>
                <w:szCs w:val="18"/>
                <w:color w:val="auto"/>
              </w:rPr>
              <w:t>F-22</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58"/>
        </w:trPr>
        <w:tc>
          <w:tcPr>
            <w:tcW w:w="114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Income (loss) before income tax expense consists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6"/>
          </w:tcPr>
          <w:p>
            <w:pPr>
              <w:jc w:val="right"/>
              <w:ind w:right="167"/>
              <w:spacing w:after="0"/>
              <w:rPr>
                <w:sz w:val="20"/>
                <w:szCs w:val="20"/>
                <w:color w:val="auto"/>
              </w:rPr>
            </w:pPr>
            <w:r>
              <w:rPr>
                <w:rFonts w:ascii="Arial" w:cs="Arial" w:eastAsia="Arial" w:hAnsi="Arial"/>
                <w:sz w:val="14"/>
                <w:szCs w:val="14"/>
                <w:b w:val="1"/>
                <w:bCs w:val="1"/>
                <w:color w:val="auto"/>
              </w:rPr>
              <w:t>Years Ended December 31,</w:t>
            </w:r>
          </w:p>
        </w:tc>
        <w:tc>
          <w:tcPr>
            <w:tcW w:w="8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114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237"/>
        </w:trPr>
        <w:tc>
          <w:tcPr>
            <w:tcW w:w="1140" w:type="dxa"/>
            <w:vAlign w:val="bottom"/>
          </w:tcPr>
          <w:p>
            <w:pPr>
              <w:spacing w:after="0"/>
              <w:rPr>
                <w:sz w:val="20"/>
                <w:szCs w:val="20"/>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(7,912</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(60,500</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(47,995</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114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Foreign</w:t>
            </w:r>
          </w:p>
        </w:tc>
        <w:tc>
          <w:tcPr>
            <w:tcW w:w="260" w:type="dxa"/>
            <w:vAlign w:val="bottom"/>
          </w:tcPr>
          <w:p>
            <w:pPr>
              <w:spacing w:after="0"/>
              <w:rPr>
                <w:sz w:val="20"/>
                <w:szCs w:val="20"/>
                <w:color w:val="auto"/>
              </w:rPr>
            </w:pP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(8,564 )</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51,208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44,471</w:t>
            </w:r>
          </w:p>
        </w:tc>
        <w:tc>
          <w:tcPr>
            <w:tcW w:w="80" w:type="dxa"/>
            <w:vAlign w:val="bottom"/>
          </w:tcPr>
          <w:p>
            <w:pPr>
              <w:spacing w:after="0"/>
              <w:rPr>
                <w:sz w:val="20"/>
                <w:szCs w:val="20"/>
                <w:color w:val="auto"/>
              </w:rPr>
            </w:pPr>
          </w:p>
        </w:tc>
      </w:tr>
      <w:tr>
        <w:trPr>
          <w:trHeight w:val="276"/>
        </w:trPr>
        <w:tc>
          <w:tcPr>
            <w:tcW w:w="1140" w:type="dxa"/>
            <w:vAlign w:val="bottom"/>
          </w:tcPr>
          <w:p>
            <w:pPr>
              <w:spacing w:after="0"/>
              <w:rPr>
                <w:sz w:val="24"/>
                <w:szCs w:val="24"/>
                <w:color w:val="auto"/>
              </w:rPr>
            </w:pPr>
          </w:p>
        </w:tc>
        <w:tc>
          <w:tcPr>
            <w:tcW w:w="50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(16,476</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(9,292</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(3,524</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419"/>
        </w:trPr>
        <w:tc>
          <w:tcPr>
            <w:tcW w:w="6220" w:type="dxa"/>
            <w:vAlign w:val="bottom"/>
            <w:gridSpan w:val="2"/>
          </w:tcPr>
          <w:p>
            <w:pPr>
              <w:spacing w:after="0"/>
              <w:rPr>
                <w:sz w:val="20"/>
                <w:szCs w:val="20"/>
                <w:color w:val="auto"/>
              </w:rPr>
            </w:pPr>
            <w:r>
              <w:rPr>
                <w:rFonts w:ascii="Arial" w:cs="Arial" w:eastAsia="Arial" w:hAnsi="Arial"/>
                <w:sz w:val="18"/>
                <w:szCs w:val="18"/>
                <w:color w:val="auto"/>
              </w:rPr>
              <w:t>The components of income tax expense (benefit) are as follows: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8"/>
        </w:trPr>
        <w:tc>
          <w:tcPr>
            <w:tcW w:w="114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6"/>
          </w:tcPr>
          <w:p>
            <w:pPr>
              <w:jc w:val="right"/>
              <w:ind w:right="167"/>
              <w:spacing w:after="0"/>
              <w:rPr>
                <w:sz w:val="20"/>
                <w:szCs w:val="20"/>
                <w:color w:val="auto"/>
              </w:rPr>
            </w:pPr>
            <w:r>
              <w:rPr>
                <w:rFonts w:ascii="Arial" w:cs="Arial" w:eastAsia="Arial" w:hAnsi="Arial"/>
                <w:sz w:val="14"/>
                <w:szCs w:val="14"/>
                <w:b w:val="1"/>
                <w:bCs w:val="1"/>
                <w:color w:val="auto"/>
              </w:rPr>
              <w:t>Years Ended December 31,</w:t>
            </w:r>
          </w:p>
        </w:tc>
        <w:tc>
          <w:tcPr>
            <w:tcW w:w="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69"/>
        </w:trPr>
        <w:tc>
          <w:tcPr>
            <w:tcW w:w="114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237"/>
        </w:trPr>
        <w:tc>
          <w:tcPr>
            <w:tcW w:w="1140" w:type="dxa"/>
            <w:vAlign w:val="bottom"/>
          </w:tcPr>
          <w:p>
            <w:pPr>
              <w:spacing w:after="0"/>
              <w:rPr>
                <w:sz w:val="20"/>
                <w:szCs w:val="20"/>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7"/>
        </w:trPr>
        <w:tc>
          <w:tcPr>
            <w:tcW w:w="1140" w:type="dxa"/>
            <w:vAlign w:val="bottom"/>
          </w:tcPr>
          <w:p>
            <w:pPr>
              <w:spacing w:after="0"/>
              <w:rPr>
                <w:sz w:val="20"/>
                <w:szCs w:val="20"/>
                <w:color w:val="auto"/>
              </w:rPr>
            </w:pPr>
          </w:p>
        </w:tc>
        <w:tc>
          <w:tcPr>
            <w:tcW w:w="5080" w:type="dxa"/>
            <w:vAlign w:val="bottom"/>
          </w:tcPr>
          <w:p>
            <w:pPr>
              <w:ind w:left="180"/>
              <w:spacing w:after="0"/>
              <w:rPr>
                <w:sz w:val="20"/>
                <w:szCs w:val="20"/>
                <w:color w:val="auto"/>
              </w:rPr>
            </w:pPr>
            <w:r>
              <w:rPr>
                <w:rFonts w:ascii="Arial" w:cs="Arial" w:eastAsia="Arial" w:hAnsi="Arial"/>
                <w:sz w:val="18"/>
                <w:szCs w:val="18"/>
                <w:color w:val="auto"/>
              </w:rPr>
              <w:t>Federal</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49"/>
        </w:trPr>
        <w:tc>
          <w:tcPr>
            <w:tcW w:w="1140" w:type="dxa"/>
            <w:vAlign w:val="bottom"/>
          </w:tcPr>
          <w:p>
            <w:pPr>
              <w:spacing w:after="0"/>
              <w:rPr>
                <w:sz w:val="21"/>
                <w:szCs w:val="21"/>
                <w:color w:val="auto"/>
              </w:rPr>
            </w:pPr>
          </w:p>
        </w:tc>
        <w:tc>
          <w:tcPr>
            <w:tcW w:w="50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State</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(106 )</w:t>
            </w:r>
          </w:p>
        </w:tc>
      </w:tr>
      <w:tr>
        <w:trPr>
          <w:trHeight w:val="237"/>
        </w:trPr>
        <w:tc>
          <w:tcPr>
            <w:tcW w:w="1140" w:type="dxa"/>
            <w:vAlign w:val="bottom"/>
          </w:tcPr>
          <w:p>
            <w:pPr>
              <w:spacing w:after="0"/>
              <w:rPr>
                <w:sz w:val="20"/>
                <w:szCs w:val="20"/>
                <w:color w:val="auto"/>
              </w:rPr>
            </w:pPr>
          </w:p>
        </w:tc>
        <w:tc>
          <w:tcPr>
            <w:tcW w:w="5080" w:type="dxa"/>
            <w:vAlign w:val="bottom"/>
          </w:tcPr>
          <w:p>
            <w:pPr>
              <w:ind w:left="180"/>
              <w:spacing w:after="0"/>
              <w:rPr>
                <w:sz w:val="20"/>
                <w:szCs w:val="20"/>
                <w:color w:val="auto"/>
              </w:rPr>
            </w:pPr>
            <w:r>
              <w:rPr>
                <w:rFonts w:ascii="Arial" w:cs="Arial" w:eastAsia="Arial" w:hAnsi="Arial"/>
                <w:sz w:val="18"/>
                <w:szCs w:val="18"/>
                <w:color w:val="auto"/>
              </w:rPr>
              <w:t>Foreign</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2,154</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12,517</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11,896</w:t>
            </w:r>
          </w:p>
        </w:tc>
        <w:tc>
          <w:tcPr>
            <w:tcW w:w="80" w:type="dxa"/>
            <w:vAlign w:val="bottom"/>
          </w:tcPr>
          <w:p>
            <w:pPr>
              <w:spacing w:after="0"/>
              <w:rPr>
                <w:sz w:val="20"/>
                <w:szCs w:val="20"/>
                <w:color w:val="auto"/>
              </w:rPr>
            </w:pPr>
          </w:p>
        </w:tc>
      </w:tr>
      <w:tr>
        <w:trPr>
          <w:trHeight w:val="236"/>
        </w:trPr>
        <w:tc>
          <w:tcPr>
            <w:tcW w:w="1140" w:type="dxa"/>
            <w:vAlign w:val="bottom"/>
          </w:tcPr>
          <w:p>
            <w:pPr>
              <w:spacing w:after="0"/>
              <w:rPr>
                <w:sz w:val="20"/>
                <w:szCs w:val="20"/>
                <w:color w:val="auto"/>
              </w:rPr>
            </w:pPr>
          </w:p>
        </w:tc>
        <w:tc>
          <w:tcPr>
            <w:tcW w:w="50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3,109</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12,680</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11,790</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36"/>
        </w:trPr>
        <w:tc>
          <w:tcPr>
            <w:tcW w:w="114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Deferred</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9"/>
        </w:trPr>
        <w:tc>
          <w:tcPr>
            <w:tcW w:w="1140" w:type="dxa"/>
            <w:vAlign w:val="bottom"/>
          </w:tcPr>
          <w:p>
            <w:pPr>
              <w:spacing w:after="0"/>
              <w:rPr>
                <w:sz w:val="21"/>
                <w:szCs w:val="21"/>
                <w:color w:val="auto"/>
              </w:rPr>
            </w:pPr>
          </w:p>
        </w:tc>
        <w:tc>
          <w:tcPr>
            <w:tcW w:w="50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Federal</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(2,250 )</w:t>
            </w:r>
          </w:p>
        </w:tc>
        <w:tc>
          <w:tcPr>
            <w:tcW w:w="2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(10,318 )</w:t>
            </w:r>
          </w:p>
        </w:tc>
        <w:tc>
          <w:tcPr>
            <w:tcW w:w="2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(20,946 )</w:t>
            </w:r>
          </w:p>
        </w:tc>
      </w:tr>
      <w:tr>
        <w:trPr>
          <w:trHeight w:val="237"/>
        </w:trPr>
        <w:tc>
          <w:tcPr>
            <w:tcW w:w="1140" w:type="dxa"/>
            <w:vAlign w:val="bottom"/>
          </w:tcPr>
          <w:p>
            <w:pPr>
              <w:spacing w:after="0"/>
              <w:rPr>
                <w:sz w:val="20"/>
                <w:szCs w:val="20"/>
                <w:color w:val="auto"/>
              </w:rPr>
            </w:pPr>
          </w:p>
        </w:tc>
        <w:tc>
          <w:tcPr>
            <w:tcW w:w="5080" w:type="dxa"/>
            <w:vAlign w:val="bottom"/>
          </w:tcPr>
          <w:p>
            <w:pPr>
              <w:ind w:left="180"/>
              <w:spacing w:after="0"/>
              <w:rPr>
                <w:sz w:val="20"/>
                <w:szCs w:val="20"/>
                <w:color w:val="auto"/>
              </w:rPr>
            </w:pPr>
            <w:r>
              <w:rPr>
                <w:rFonts w:ascii="Arial" w:cs="Arial" w:eastAsia="Arial" w:hAnsi="Arial"/>
                <w:sz w:val="18"/>
                <w:szCs w:val="18"/>
                <w:color w:val="auto"/>
              </w:rPr>
              <w:t>State</w:t>
            </w:r>
          </w:p>
        </w:tc>
        <w:tc>
          <w:tcPr>
            <w:tcW w:w="260" w:type="dxa"/>
            <w:vAlign w:val="bottom"/>
          </w:tcPr>
          <w:p>
            <w:pPr>
              <w:spacing w:after="0"/>
              <w:rPr>
                <w:sz w:val="20"/>
                <w:szCs w:val="20"/>
                <w:color w:val="auto"/>
              </w:rPr>
            </w:pP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(633 )</w:t>
            </w:r>
          </w:p>
        </w:tc>
        <w:tc>
          <w:tcPr>
            <w:tcW w:w="260" w:type="dxa"/>
            <w:vAlign w:val="bottom"/>
          </w:tcPr>
          <w:p>
            <w:pPr>
              <w:spacing w:after="0"/>
              <w:rPr>
                <w:sz w:val="20"/>
                <w:szCs w:val="20"/>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(965 )</w:t>
            </w:r>
          </w:p>
        </w:tc>
        <w:tc>
          <w:tcPr>
            <w:tcW w:w="2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(1,053 )</w:t>
            </w:r>
          </w:p>
        </w:tc>
      </w:tr>
      <w:tr>
        <w:trPr>
          <w:trHeight w:val="243"/>
        </w:trPr>
        <w:tc>
          <w:tcPr>
            <w:tcW w:w="1140" w:type="dxa"/>
            <w:vAlign w:val="bottom"/>
          </w:tcPr>
          <w:p>
            <w:pPr>
              <w:spacing w:after="0"/>
              <w:rPr>
                <w:sz w:val="21"/>
                <w:szCs w:val="21"/>
                <w:color w:val="auto"/>
              </w:rPr>
            </w:pPr>
          </w:p>
        </w:tc>
        <w:tc>
          <w:tcPr>
            <w:tcW w:w="50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Foreign</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(2,617 )</w:t>
            </w:r>
          </w:p>
        </w:tc>
        <w:tc>
          <w:tcPr>
            <w:tcW w:w="2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(151 )</w:t>
            </w:r>
          </w:p>
        </w:tc>
        <w:tc>
          <w:tcPr>
            <w:tcW w:w="2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(410 )</w:t>
            </w:r>
          </w:p>
        </w:tc>
      </w:tr>
      <w:tr>
        <w:trPr>
          <w:trHeight w:val="20"/>
        </w:trPr>
        <w:tc>
          <w:tcPr>
            <w:tcW w:w="1140" w:type="dxa"/>
            <w:vAlign w:val="bottom"/>
          </w:tcPr>
          <w:p>
            <w:pPr>
              <w:spacing w:after="0" w:line="20" w:lineRule="exact"/>
              <w:rPr>
                <w:sz w:val="1"/>
                <w:szCs w:val="1"/>
                <w:color w:val="auto"/>
              </w:rPr>
            </w:pPr>
          </w:p>
        </w:tc>
        <w:tc>
          <w:tcPr>
            <w:tcW w:w="50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36"/>
        </w:trPr>
        <w:tc>
          <w:tcPr>
            <w:tcW w:w="114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 xml:space="preserve">(5,500 </w:t>
            </w:r>
            <w:r>
              <w:rPr>
                <w:rFonts w:ascii="Arial" w:cs="Arial" w:eastAsia="Arial" w:hAnsi="Arial"/>
                <w:sz w:val="18"/>
                <w:szCs w:val="18"/>
                <w:color w:val="auto"/>
                <w:highlight w:val="white"/>
              </w:rPr>
              <w:t>)</w:t>
            </w:r>
          </w:p>
        </w:tc>
        <w:tc>
          <w:tcPr>
            <w:tcW w:w="260" w:type="dxa"/>
            <w:vAlign w:val="bottom"/>
          </w:tcPr>
          <w:p>
            <w:pPr>
              <w:spacing w:after="0"/>
              <w:rPr>
                <w:sz w:val="20"/>
                <w:szCs w:val="20"/>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 xml:space="preserve">(11,434 </w:t>
            </w:r>
            <w:r>
              <w:rPr>
                <w:rFonts w:ascii="Arial" w:cs="Arial" w:eastAsia="Arial" w:hAnsi="Arial"/>
                <w:sz w:val="18"/>
                <w:szCs w:val="18"/>
                <w:color w:val="auto"/>
                <w:highlight w:val="white"/>
              </w:rPr>
              <w:t>)</w:t>
            </w:r>
          </w:p>
        </w:tc>
        <w:tc>
          <w:tcPr>
            <w:tcW w:w="2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xml:space="preserve">(22,409 </w:t>
            </w:r>
            <w:r>
              <w:rPr>
                <w:rFonts w:ascii="Arial" w:cs="Arial" w:eastAsia="Arial" w:hAnsi="Arial"/>
                <w:sz w:val="18"/>
                <w:szCs w:val="18"/>
                <w:color w:val="auto"/>
                <w:highlight w:val="white"/>
              </w:rPr>
              <w:t>)</w:t>
            </w:r>
          </w:p>
        </w:tc>
      </w:tr>
      <w:tr>
        <w:trPr>
          <w:trHeight w:val="243"/>
        </w:trPr>
        <w:tc>
          <w:tcPr>
            <w:tcW w:w="1140" w:type="dxa"/>
            <w:vAlign w:val="bottom"/>
          </w:tcPr>
          <w:p>
            <w:pPr>
              <w:spacing w:after="0"/>
              <w:rPr>
                <w:sz w:val="21"/>
                <w:szCs w:val="21"/>
                <w:color w:val="auto"/>
              </w:rPr>
            </w:pPr>
          </w:p>
        </w:tc>
        <w:tc>
          <w:tcPr>
            <w:tcW w:w="5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Increase (decrease) in valuation allowance</w:t>
            </w: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3,849</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12,460</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22,017</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114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 xml:space="preserve">(1,651 </w:t>
            </w:r>
            <w:r>
              <w:rPr>
                <w:rFonts w:ascii="Arial" w:cs="Arial" w:eastAsia="Arial" w:hAnsi="Arial"/>
                <w:sz w:val="18"/>
                <w:szCs w:val="18"/>
                <w:color w:val="auto"/>
                <w:highlight w:val="white"/>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xml:space="preserve">(392 </w:t>
            </w:r>
            <w:r>
              <w:rPr>
                <w:rFonts w:ascii="Arial" w:cs="Arial" w:eastAsia="Arial" w:hAnsi="Arial"/>
                <w:sz w:val="18"/>
                <w:szCs w:val="18"/>
                <w:color w:val="auto"/>
                <w:highlight w:val="white"/>
              </w:rPr>
              <w:t>)</w:t>
            </w:r>
          </w:p>
        </w:tc>
      </w:tr>
      <w:tr>
        <w:trPr>
          <w:trHeight w:val="276"/>
        </w:trPr>
        <w:tc>
          <w:tcPr>
            <w:tcW w:w="1140" w:type="dxa"/>
            <w:vAlign w:val="bottom"/>
          </w:tcPr>
          <w:p>
            <w:pPr>
              <w:spacing w:after="0"/>
              <w:rPr>
                <w:sz w:val="24"/>
                <w:szCs w:val="24"/>
                <w:color w:val="auto"/>
              </w:rPr>
            </w:pPr>
          </w:p>
        </w:tc>
        <w:tc>
          <w:tcPr>
            <w:tcW w:w="5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income tax expense</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1,458</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13,706</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11,398</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-2767965</wp:posOffset>
            </wp:positionV>
            <wp:extent cx="6032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-2750820</wp:posOffset>
            </wp:positionV>
            <wp:extent cx="6032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-2767965</wp:posOffset>
            </wp:positionV>
            <wp:extent cx="5143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-2750820</wp:posOffset>
            </wp:positionV>
            <wp:extent cx="5143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-2767965</wp:posOffset>
            </wp:positionV>
            <wp:extent cx="5143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-2750820</wp:posOffset>
            </wp:positionV>
            <wp:extent cx="5143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-1293495</wp:posOffset>
            </wp:positionV>
            <wp:extent cx="60325" cy="16256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9">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-1293495</wp:posOffset>
            </wp:positionV>
            <wp:extent cx="51435" cy="16256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0">
                      <a:extLst>
                        <a:ext uri="{28A0092B-C50C-407E-A947-70E740481C1C}"/>
                      </a:extLst>
                    </a:blip>
                    <a:srcRect/>
                    <a:stretch>
                      <a:fillRect/>
                    </a:stretch>
                  </pic:blipFill>
                  <pic:spPr bwMode="auto">
                    <a:xfrm>
                      <a:off x="0" y="0"/>
                      <a:ext cx="51435" cy="16256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-1293495</wp:posOffset>
            </wp:positionV>
            <wp:extent cx="51435" cy="16256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1">
                      <a:extLst>
                        <a:ext uri="{28A0092B-C50C-407E-A947-70E740481C1C}"/>
                      </a:extLst>
                    </a:blip>
                    <a:srcRect/>
                    <a:stretch>
                      <a:fillRect/>
                    </a:stretch>
                  </pic:blipFill>
                  <pic:spPr bwMode="auto">
                    <a:xfrm>
                      <a:off x="0" y="0"/>
                      <a:ext cx="51435" cy="16256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-350520</wp:posOffset>
            </wp:positionV>
            <wp:extent cx="51435" cy="17145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2">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-24765</wp:posOffset>
            </wp:positionV>
            <wp:extent cx="6032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-7620</wp:posOffset>
            </wp:positionV>
            <wp:extent cx="6032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-24765</wp:posOffset>
            </wp:positionV>
            <wp:extent cx="5143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-7620</wp:posOffset>
            </wp:positionV>
            <wp:extent cx="5143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8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the years ended December 31, 2022, 2021, and 2020 the Company recorded foreign income tax expense of $503, $13,543, and $12,185, respectively. The Company's 2022 income tax expense is comprised of $1,703 of Canadian withholding taxes paid on the repatriation of Canadian earnings which occurred in the first quarter of 2022, $955 of U.S. state income taxes, and a foreign income tax benefit of $1,200 associated with the Company's Canadian subsidiary. The Company's 2021 income tax expense is comprised of U.S. state income taxes of $163 and foreign tax expense associated with the Company's Canadian subsidiary of $13,543. The Company's 2020 income tax expense is comprised of a U.S. state income tax benefit of a $794 and foreign tax expense associated with the Company's Canadian subsidiary of $12,192.</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reconciliation of the statutory United States federal income tax rate to the Company's effective tax rate for each of the years ended December 31, 2022, 2021, and 2020 is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80" w:type="dxa"/>
            <w:vAlign w:val="bottom"/>
          </w:tcPr>
          <w:p>
            <w:pPr>
              <w:spacing w:after="0"/>
              <w:rPr>
                <w:sz w:val="16"/>
                <w:szCs w:val="16"/>
                <w:color w:val="auto"/>
              </w:rPr>
            </w:pPr>
          </w:p>
        </w:tc>
        <w:tc>
          <w:tcPr>
            <w:tcW w:w="4860" w:type="dxa"/>
            <w:vAlign w:val="bottom"/>
            <w:gridSpan w:val="2"/>
          </w:tcPr>
          <w:p>
            <w:pPr>
              <w:ind w:left="4520"/>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7"/>
        </w:trPr>
        <w:tc>
          <w:tcPr>
            <w:tcW w:w="1080" w:type="dxa"/>
            <w:vAlign w:val="bottom"/>
          </w:tcPr>
          <w:p>
            <w:pPr>
              <w:spacing w:after="0"/>
              <w:rPr>
                <w:sz w:val="20"/>
                <w:szCs w:val="20"/>
                <w:color w:val="auto"/>
              </w:rPr>
            </w:pPr>
          </w:p>
        </w:tc>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Statutory U.S. federal income tax rate</w:t>
            </w:r>
          </w:p>
        </w:tc>
        <w:tc>
          <w:tcPr>
            <w:tcW w:w="860" w:type="dxa"/>
            <w:vAlign w:val="bottom"/>
            <w:tcBorders>
              <w:top w:val="single" w:sz="8" w:color="auto"/>
            </w:tcBorders>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w w:val="87"/>
              </w:rPr>
              <w:t>%</w:t>
            </w:r>
          </w:p>
        </w:tc>
        <w:tc>
          <w:tcPr>
            <w:tcW w:w="800" w:type="dxa"/>
            <w:vAlign w:val="bottom"/>
            <w:tcBorders>
              <w:top w:val="single" w:sz="8" w:color="auto"/>
            </w:tcBorders>
            <w:shd w:val="clear" w:color="auto" w:fill="CFF0FC"/>
          </w:tcPr>
          <w:p>
            <w:pPr>
              <w:spacing w:after="0"/>
              <w:rPr>
                <w:sz w:val="20"/>
                <w:szCs w:val="20"/>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87"/>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420" w:type="dxa"/>
            <w:vAlign w:val="bottom"/>
            <w:shd w:val="clear" w:color="auto" w:fill="CFF0FC"/>
          </w:tcPr>
          <w:p>
            <w:pPr>
              <w:jc w:val="right"/>
              <w:ind w:right="97"/>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0"/>
                <w:szCs w:val="20"/>
                <w:color w:val="auto"/>
              </w:rPr>
            </w:pPr>
          </w:p>
        </w:tc>
      </w:tr>
      <w:tr>
        <w:trPr>
          <w:trHeight w:val="237"/>
        </w:trPr>
        <w:tc>
          <w:tcPr>
            <w:tcW w:w="1080" w:type="dxa"/>
            <w:vAlign w:val="bottom"/>
          </w:tcPr>
          <w:p>
            <w:pPr>
              <w:spacing w:after="0"/>
              <w:rPr>
                <w:sz w:val="20"/>
                <w:szCs w:val="20"/>
                <w:color w:val="auto"/>
              </w:rPr>
            </w:pPr>
          </w:p>
        </w:tc>
        <w:tc>
          <w:tcPr>
            <w:tcW w:w="4860" w:type="dxa"/>
            <w:vAlign w:val="bottom"/>
            <w:gridSpan w:val="2"/>
          </w:tcPr>
          <w:p>
            <w:pPr>
              <w:ind w:left="20"/>
              <w:spacing w:after="0"/>
              <w:rPr>
                <w:sz w:val="20"/>
                <w:szCs w:val="20"/>
                <w:color w:val="auto"/>
              </w:rPr>
            </w:pPr>
            <w:r>
              <w:rPr>
                <w:rFonts w:ascii="Arial" w:cs="Arial" w:eastAsia="Arial" w:hAnsi="Arial"/>
                <w:sz w:val="18"/>
                <w:szCs w:val="18"/>
                <w:color w:val="auto"/>
              </w:rPr>
              <w:t>Nondeductible executive compensation</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(5.5 )</w:t>
            </w: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(6.1 )</w:t>
            </w:r>
          </w:p>
        </w:tc>
        <w:tc>
          <w:tcPr>
            <w:tcW w:w="300" w:type="dxa"/>
            <w:vAlign w:val="bottom"/>
          </w:tcPr>
          <w:p>
            <w:pPr>
              <w:spacing w:after="0"/>
              <w:rPr>
                <w:sz w:val="20"/>
                <w:szCs w:val="20"/>
                <w:color w:val="auto"/>
              </w:rPr>
            </w:pPr>
          </w:p>
        </w:tc>
        <w:tc>
          <w:tcPr>
            <w:tcW w:w="1700" w:type="dxa"/>
            <w:vAlign w:val="bottom"/>
            <w:gridSpan w:val="2"/>
          </w:tcPr>
          <w:p>
            <w:pPr>
              <w:jc w:val="right"/>
              <w:ind w:right="257"/>
              <w:spacing w:after="0"/>
              <w:rPr>
                <w:sz w:val="20"/>
                <w:szCs w:val="20"/>
                <w:color w:val="auto"/>
              </w:rPr>
            </w:pPr>
            <w:r>
              <w:rPr>
                <w:rFonts w:ascii="Arial" w:cs="Arial" w:eastAsia="Arial" w:hAnsi="Arial"/>
                <w:sz w:val="18"/>
                <w:szCs w:val="18"/>
                <w:color w:val="auto"/>
              </w:rPr>
              <w:t>(0.9 )</w:t>
            </w:r>
          </w:p>
        </w:tc>
        <w:tc>
          <w:tcPr>
            <w:tcW w:w="1060" w:type="dxa"/>
            <w:vAlign w:val="bottom"/>
          </w:tcPr>
          <w:p>
            <w:pPr>
              <w:spacing w:after="0"/>
              <w:rPr>
                <w:sz w:val="20"/>
                <w:szCs w:val="20"/>
                <w:color w:val="auto"/>
              </w:rPr>
            </w:pPr>
          </w:p>
        </w:tc>
      </w:tr>
      <w:tr>
        <w:trPr>
          <w:trHeight w:val="249"/>
        </w:trPr>
        <w:tc>
          <w:tcPr>
            <w:tcW w:w="1080" w:type="dxa"/>
            <w:vAlign w:val="bottom"/>
          </w:tcPr>
          <w:p>
            <w:pPr>
              <w:spacing w:after="0"/>
              <w:rPr>
                <w:sz w:val="21"/>
                <w:szCs w:val="21"/>
                <w:color w:val="auto"/>
              </w:rPr>
            </w:pPr>
          </w:p>
        </w:tc>
        <w:tc>
          <w:tcPr>
            <w:tcW w:w="48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Impact of share-based payment awards</w:t>
            </w: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(4.8 )</w:t>
            </w:r>
          </w:p>
        </w:tc>
        <w:tc>
          <w:tcPr>
            <w:tcW w:w="3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(3.3 )</w:t>
            </w:r>
          </w:p>
        </w:tc>
        <w:tc>
          <w:tcPr>
            <w:tcW w:w="30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257"/>
              <w:spacing w:after="0"/>
              <w:rPr>
                <w:sz w:val="20"/>
                <w:szCs w:val="20"/>
                <w:color w:val="auto"/>
              </w:rPr>
            </w:pPr>
            <w:r>
              <w:rPr>
                <w:rFonts w:ascii="Arial" w:cs="Arial" w:eastAsia="Arial" w:hAnsi="Arial"/>
                <w:sz w:val="18"/>
                <w:szCs w:val="18"/>
                <w:color w:val="auto"/>
              </w:rPr>
              <w:t>(12.4 )</w:t>
            </w:r>
          </w:p>
        </w:tc>
        <w:tc>
          <w:tcPr>
            <w:tcW w:w="1060" w:type="dxa"/>
            <w:vAlign w:val="bottom"/>
          </w:tcPr>
          <w:p>
            <w:pPr>
              <w:spacing w:after="0"/>
              <w:rPr>
                <w:sz w:val="21"/>
                <w:szCs w:val="21"/>
                <w:color w:val="auto"/>
              </w:rPr>
            </w:pPr>
          </w:p>
        </w:tc>
      </w:tr>
      <w:tr>
        <w:trPr>
          <w:trHeight w:val="237"/>
        </w:trPr>
        <w:tc>
          <w:tcPr>
            <w:tcW w:w="1080" w:type="dxa"/>
            <w:vAlign w:val="bottom"/>
          </w:tcPr>
          <w:p>
            <w:pPr>
              <w:spacing w:after="0"/>
              <w:rPr>
                <w:sz w:val="20"/>
                <w:szCs w:val="20"/>
                <w:color w:val="auto"/>
              </w:rPr>
            </w:pPr>
          </w:p>
        </w:tc>
        <w:tc>
          <w:tcPr>
            <w:tcW w:w="4860" w:type="dxa"/>
            <w:vAlign w:val="bottom"/>
            <w:gridSpan w:val="2"/>
          </w:tcPr>
          <w:p>
            <w:pPr>
              <w:ind w:left="20"/>
              <w:spacing w:after="0"/>
              <w:rPr>
                <w:sz w:val="20"/>
                <w:szCs w:val="20"/>
                <w:color w:val="auto"/>
              </w:rPr>
            </w:pPr>
            <w:r>
              <w:rPr>
                <w:rFonts w:ascii="Arial" w:cs="Arial" w:eastAsia="Arial" w:hAnsi="Arial"/>
                <w:sz w:val="18"/>
                <w:szCs w:val="18"/>
                <w:color w:val="auto"/>
              </w:rPr>
              <w:t>Tax effect of foreign items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(5.7 )</w:t>
            </w: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(30.8 )</w:t>
            </w:r>
          </w:p>
        </w:tc>
        <w:tc>
          <w:tcPr>
            <w:tcW w:w="300" w:type="dxa"/>
            <w:vAlign w:val="bottom"/>
          </w:tcPr>
          <w:p>
            <w:pPr>
              <w:spacing w:after="0"/>
              <w:rPr>
                <w:sz w:val="20"/>
                <w:szCs w:val="20"/>
                <w:color w:val="auto"/>
              </w:rPr>
            </w:pPr>
          </w:p>
        </w:tc>
        <w:tc>
          <w:tcPr>
            <w:tcW w:w="1700" w:type="dxa"/>
            <w:vAlign w:val="bottom"/>
            <w:gridSpan w:val="2"/>
          </w:tcPr>
          <w:p>
            <w:pPr>
              <w:jc w:val="right"/>
              <w:ind w:right="257"/>
              <w:spacing w:after="0"/>
              <w:rPr>
                <w:sz w:val="20"/>
                <w:szCs w:val="20"/>
                <w:color w:val="auto"/>
              </w:rPr>
            </w:pPr>
            <w:r>
              <w:rPr>
                <w:rFonts w:ascii="Arial" w:cs="Arial" w:eastAsia="Arial" w:hAnsi="Arial"/>
                <w:sz w:val="18"/>
                <w:szCs w:val="18"/>
                <w:color w:val="auto"/>
              </w:rPr>
              <w:t>(70.7 )</w:t>
            </w:r>
          </w:p>
        </w:tc>
        <w:tc>
          <w:tcPr>
            <w:tcW w:w="1060" w:type="dxa"/>
            <w:vAlign w:val="bottom"/>
          </w:tcPr>
          <w:p>
            <w:pPr>
              <w:spacing w:after="0"/>
              <w:rPr>
                <w:sz w:val="20"/>
                <w:szCs w:val="20"/>
                <w:color w:val="auto"/>
              </w:rPr>
            </w:pPr>
          </w:p>
        </w:tc>
      </w:tr>
      <w:tr>
        <w:trPr>
          <w:trHeight w:val="249"/>
        </w:trPr>
        <w:tc>
          <w:tcPr>
            <w:tcW w:w="1080" w:type="dxa"/>
            <w:vAlign w:val="bottom"/>
          </w:tcPr>
          <w:p>
            <w:pPr>
              <w:spacing w:after="0"/>
              <w:rPr>
                <w:sz w:val="21"/>
                <w:szCs w:val="21"/>
                <w:color w:val="auto"/>
              </w:rPr>
            </w:pPr>
          </w:p>
        </w:tc>
        <w:tc>
          <w:tcPr>
            <w:tcW w:w="48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State income taxes, net of federal benefit</w:t>
            </w: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(0.8 )</w:t>
            </w:r>
          </w:p>
        </w:tc>
        <w:tc>
          <w:tcPr>
            <w:tcW w:w="3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420" w:type="dxa"/>
            <w:vAlign w:val="bottom"/>
            <w:shd w:val="clear" w:color="auto" w:fill="CFF0FC"/>
          </w:tcPr>
          <w:p>
            <w:pPr>
              <w:spacing w:after="0"/>
              <w:rPr>
                <w:sz w:val="21"/>
                <w:szCs w:val="21"/>
                <w:color w:val="auto"/>
              </w:rPr>
            </w:pPr>
          </w:p>
        </w:tc>
        <w:tc>
          <w:tcPr>
            <w:tcW w:w="1060" w:type="dxa"/>
            <w:vAlign w:val="bottom"/>
          </w:tcPr>
          <w:p>
            <w:pPr>
              <w:spacing w:after="0"/>
              <w:rPr>
                <w:sz w:val="21"/>
                <w:szCs w:val="21"/>
                <w:color w:val="auto"/>
              </w:rPr>
            </w:pPr>
          </w:p>
        </w:tc>
      </w:tr>
      <w:tr>
        <w:trPr>
          <w:trHeight w:val="237"/>
        </w:trPr>
        <w:tc>
          <w:tcPr>
            <w:tcW w:w="1080" w:type="dxa"/>
            <w:vAlign w:val="bottom"/>
          </w:tcPr>
          <w:p>
            <w:pPr>
              <w:spacing w:after="0"/>
              <w:rPr>
                <w:sz w:val="20"/>
                <w:szCs w:val="20"/>
                <w:color w:val="auto"/>
              </w:rPr>
            </w:pPr>
          </w:p>
        </w:tc>
        <w:tc>
          <w:tcPr>
            <w:tcW w:w="4860" w:type="dxa"/>
            <w:vAlign w:val="bottom"/>
            <w:gridSpan w:val="2"/>
          </w:tcPr>
          <w:p>
            <w:pPr>
              <w:ind w:left="20"/>
              <w:spacing w:after="0"/>
              <w:rPr>
                <w:sz w:val="20"/>
                <w:szCs w:val="20"/>
                <w:color w:val="auto"/>
              </w:rPr>
            </w:pPr>
            <w:r>
              <w:rPr>
                <w:rFonts w:ascii="Arial" w:cs="Arial" w:eastAsia="Arial" w:hAnsi="Arial"/>
                <w:sz w:val="18"/>
                <w:szCs w:val="18"/>
                <w:color w:val="auto"/>
              </w:rPr>
              <w:t>U.S. and foreign tax credits</w:t>
            </w:r>
          </w:p>
        </w:tc>
        <w:tc>
          <w:tcPr>
            <w:tcW w:w="4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34.9</w:t>
            </w: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49"/>
        </w:trPr>
        <w:tc>
          <w:tcPr>
            <w:tcW w:w="1080" w:type="dxa"/>
            <w:vAlign w:val="bottom"/>
          </w:tcPr>
          <w:p>
            <w:pPr>
              <w:spacing w:after="0"/>
              <w:rPr>
                <w:sz w:val="21"/>
                <w:szCs w:val="21"/>
                <w:color w:val="auto"/>
              </w:rPr>
            </w:pPr>
          </w:p>
        </w:tc>
        <w:tc>
          <w:tcPr>
            <w:tcW w:w="48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Nondeductible transaction costs</w:t>
            </w:r>
          </w:p>
        </w:tc>
        <w:tc>
          <w:tcPr>
            <w:tcW w:w="560" w:type="dxa"/>
            <w:vAlign w:val="bottom"/>
            <w:gridSpan w:val="2"/>
            <w:shd w:val="clear" w:color="auto" w:fill="CFF0FC"/>
          </w:tcPr>
          <w:p>
            <w:pPr>
              <w:jc w:val="right"/>
              <w:ind w:right="43"/>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23"/>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257"/>
              <w:spacing w:after="0"/>
              <w:rPr>
                <w:sz w:val="20"/>
                <w:szCs w:val="20"/>
                <w:color w:val="auto"/>
              </w:rPr>
            </w:pPr>
            <w:r>
              <w:rPr>
                <w:rFonts w:ascii="Arial" w:cs="Arial" w:eastAsia="Arial" w:hAnsi="Arial"/>
                <w:sz w:val="18"/>
                <w:szCs w:val="18"/>
                <w:color w:val="auto"/>
              </w:rPr>
              <w:t>(2.8 )</w:t>
            </w:r>
          </w:p>
        </w:tc>
        <w:tc>
          <w:tcPr>
            <w:tcW w:w="1060" w:type="dxa"/>
            <w:vAlign w:val="bottom"/>
          </w:tcPr>
          <w:p>
            <w:pPr>
              <w:spacing w:after="0"/>
              <w:rPr>
                <w:sz w:val="21"/>
                <w:szCs w:val="21"/>
                <w:color w:val="auto"/>
              </w:rPr>
            </w:pPr>
          </w:p>
        </w:tc>
      </w:tr>
      <w:tr>
        <w:trPr>
          <w:trHeight w:val="237"/>
        </w:trPr>
        <w:tc>
          <w:tcPr>
            <w:tcW w:w="1080" w:type="dxa"/>
            <w:vAlign w:val="bottom"/>
          </w:tcPr>
          <w:p>
            <w:pPr>
              <w:spacing w:after="0"/>
              <w:rPr>
                <w:sz w:val="20"/>
                <w:szCs w:val="20"/>
                <w:color w:val="auto"/>
              </w:rPr>
            </w:pPr>
          </w:p>
        </w:tc>
        <w:tc>
          <w:tcPr>
            <w:tcW w:w="4860" w:type="dxa"/>
            <w:vAlign w:val="bottom"/>
            <w:gridSpan w:val="2"/>
          </w:tcPr>
          <w:p>
            <w:pPr>
              <w:ind w:left="20"/>
              <w:spacing w:after="0"/>
              <w:rPr>
                <w:sz w:val="20"/>
                <w:szCs w:val="20"/>
                <w:color w:val="auto"/>
              </w:rPr>
            </w:pPr>
            <w:r>
              <w:rPr>
                <w:rFonts w:ascii="Arial" w:cs="Arial" w:eastAsia="Arial" w:hAnsi="Arial"/>
                <w:sz w:val="18"/>
                <w:szCs w:val="18"/>
                <w:color w:val="auto"/>
              </w:rPr>
              <w:t>Nondeductible expenses and other</w:t>
            </w:r>
          </w:p>
        </w:tc>
        <w:tc>
          <w:tcPr>
            <w:tcW w:w="46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(4.0 )</w:t>
            </w:r>
          </w:p>
        </w:tc>
        <w:tc>
          <w:tcPr>
            <w:tcW w:w="300" w:type="dxa"/>
            <w:vAlign w:val="bottom"/>
          </w:tcPr>
          <w:p>
            <w:pPr>
              <w:spacing w:after="0"/>
              <w:rPr>
                <w:sz w:val="20"/>
                <w:szCs w:val="20"/>
                <w:color w:val="auto"/>
              </w:rPr>
            </w:pPr>
          </w:p>
        </w:tc>
        <w:tc>
          <w:tcPr>
            <w:tcW w:w="1700" w:type="dxa"/>
            <w:vAlign w:val="bottom"/>
            <w:gridSpan w:val="2"/>
          </w:tcPr>
          <w:p>
            <w:pPr>
              <w:jc w:val="right"/>
              <w:ind w:right="257"/>
              <w:spacing w:after="0"/>
              <w:rPr>
                <w:sz w:val="20"/>
                <w:szCs w:val="20"/>
                <w:color w:val="auto"/>
              </w:rPr>
            </w:pPr>
            <w:r>
              <w:rPr>
                <w:rFonts w:ascii="Arial" w:cs="Arial" w:eastAsia="Arial" w:hAnsi="Arial"/>
                <w:sz w:val="18"/>
                <w:szCs w:val="18"/>
                <w:color w:val="auto"/>
              </w:rPr>
              <w:t>(2.6 )</w:t>
            </w:r>
          </w:p>
        </w:tc>
        <w:tc>
          <w:tcPr>
            <w:tcW w:w="1060" w:type="dxa"/>
            <w:vAlign w:val="bottom"/>
          </w:tcPr>
          <w:p>
            <w:pPr>
              <w:spacing w:after="0"/>
              <w:rPr>
                <w:sz w:val="20"/>
                <w:szCs w:val="20"/>
                <w:color w:val="auto"/>
              </w:rPr>
            </w:pPr>
          </w:p>
        </w:tc>
      </w:tr>
      <w:tr>
        <w:trPr>
          <w:trHeight w:val="249"/>
        </w:trPr>
        <w:tc>
          <w:tcPr>
            <w:tcW w:w="1080" w:type="dxa"/>
            <w:vAlign w:val="bottom"/>
          </w:tcPr>
          <w:p>
            <w:pPr>
              <w:spacing w:after="0"/>
              <w:rPr>
                <w:sz w:val="21"/>
                <w:szCs w:val="21"/>
                <w:color w:val="auto"/>
              </w:rPr>
            </w:pPr>
          </w:p>
        </w:tc>
        <w:tc>
          <w:tcPr>
            <w:tcW w:w="48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NOL adjustment due to change in GILTI regulations</w:t>
            </w:r>
          </w:p>
        </w:tc>
        <w:tc>
          <w:tcPr>
            <w:tcW w:w="560" w:type="dxa"/>
            <w:vAlign w:val="bottom"/>
            <w:gridSpan w:val="2"/>
            <w:shd w:val="clear" w:color="auto" w:fill="CFF0FC"/>
          </w:tcPr>
          <w:p>
            <w:pPr>
              <w:jc w:val="right"/>
              <w:ind w:right="43"/>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23"/>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308.9</w:t>
            </w:r>
          </w:p>
        </w:tc>
        <w:tc>
          <w:tcPr>
            <w:tcW w:w="420" w:type="dxa"/>
            <w:vAlign w:val="bottom"/>
            <w:shd w:val="clear" w:color="auto" w:fill="CFF0FC"/>
          </w:tcPr>
          <w:p>
            <w:pPr>
              <w:spacing w:after="0"/>
              <w:rPr>
                <w:sz w:val="21"/>
                <w:szCs w:val="21"/>
                <w:color w:val="auto"/>
              </w:rPr>
            </w:pPr>
          </w:p>
        </w:tc>
        <w:tc>
          <w:tcPr>
            <w:tcW w:w="1060" w:type="dxa"/>
            <w:vAlign w:val="bottom"/>
          </w:tcPr>
          <w:p>
            <w:pPr>
              <w:spacing w:after="0"/>
              <w:rPr>
                <w:sz w:val="21"/>
                <w:szCs w:val="21"/>
                <w:color w:val="auto"/>
              </w:rPr>
            </w:pPr>
          </w:p>
        </w:tc>
      </w:tr>
      <w:tr>
        <w:trPr>
          <w:trHeight w:val="237"/>
        </w:trPr>
        <w:tc>
          <w:tcPr>
            <w:tcW w:w="1080" w:type="dxa"/>
            <w:vAlign w:val="bottom"/>
          </w:tcPr>
          <w:p>
            <w:pPr>
              <w:spacing w:after="0"/>
              <w:rPr>
                <w:sz w:val="20"/>
                <w:szCs w:val="20"/>
                <w:color w:val="auto"/>
              </w:rPr>
            </w:pPr>
          </w:p>
        </w:tc>
        <w:tc>
          <w:tcPr>
            <w:tcW w:w="4860" w:type="dxa"/>
            <w:vAlign w:val="bottom"/>
            <w:gridSpan w:val="2"/>
          </w:tcPr>
          <w:p>
            <w:pPr>
              <w:ind w:left="20"/>
              <w:spacing w:after="0"/>
              <w:rPr>
                <w:sz w:val="20"/>
                <w:szCs w:val="20"/>
                <w:color w:val="auto"/>
              </w:rPr>
            </w:pPr>
            <w:r>
              <w:rPr>
                <w:rFonts w:ascii="Arial" w:cs="Arial" w:eastAsia="Arial" w:hAnsi="Arial"/>
                <w:sz w:val="18"/>
                <w:szCs w:val="18"/>
                <w:color w:val="auto"/>
              </w:rPr>
              <w:t>Change in valuation allowance, federal and state</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9"/>
              </w:rPr>
              <w:t>(23.7 )</w:t>
            </w: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0"/>
              </w:rPr>
              <w:t>(133.6 )</w:t>
            </w:r>
          </w:p>
        </w:tc>
        <w:tc>
          <w:tcPr>
            <w:tcW w:w="300" w:type="dxa"/>
            <w:vAlign w:val="bottom"/>
          </w:tcPr>
          <w:p>
            <w:pPr>
              <w:spacing w:after="0"/>
              <w:rPr>
                <w:sz w:val="20"/>
                <w:szCs w:val="20"/>
                <w:color w:val="auto"/>
              </w:rPr>
            </w:pPr>
          </w:p>
        </w:tc>
        <w:tc>
          <w:tcPr>
            <w:tcW w:w="1700" w:type="dxa"/>
            <w:vAlign w:val="bottom"/>
            <w:gridSpan w:val="2"/>
          </w:tcPr>
          <w:p>
            <w:pPr>
              <w:jc w:val="right"/>
              <w:ind w:right="257"/>
              <w:spacing w:after="0"/>
              <w:rPr>
                <w:sz w:val="20"/>
                <w:szCs w:val="20"/>
                <w:color w:val="auto"/>
              </w:rPr>
            </w:pPr>
            <w:r>
              <w:rPr>
                <w:rFonts w:ascii="Arial" w:cs="Arial" w:eastAsia="Arial" w:hAnsi="Arial"/>
                <w:sz w:val="18"/>
                <w:szCs w:val="18"/>
                <w:color w:val="auto"/>
              </w:rPr>
              <w:t>(624.8 )</w:t>
            </w:r>
          </w:p>
        </w:tc>
        <w:tc>
          <w:tcPr>
            <w:tcW w:w="1060" w:type="dxa"/>
            <w:vAlign w:val="bottom"/>
          </w:tcPr>
          <w:p>
            <w:pPr>
              <w:spacing w:after="0"/>
              <w:rPr>
                <w:sz w:val="20"/>
                <w:szCs w:val="20"/>
                <w:color w:val="auto"/>
              </w:rPr>
            </w:pPr>
          </w:p>
        </w:tc>
      </w:tr>
      <w:tr>
        <w:trPr>
          <w:trHeight w:val="283"/>
        </w:trPr>
        <w:tc>
          <w:tcPr>
            <w:tcW w:w="1080" w:type="dxa"/>
            <w:vAlign w:val="bottom"/>
          </w:tcPr>
          <w:p>
            <w:pPr>
              <w:spacing w:after="0"/>
              <w:rPr>
                <w:sz w:val="24"/>
                <w:szCs w:val="24"/>
                <w:color w:val="auto"/>
              </w:rPr>
            </w:pPr>
          </w:p>
        </w:tc>
        <w:tc>
          <w:tcPr>
            <w:tcW w:w="4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Effective tax rate</w:t>
            </w:r>
          </w:p>
        </w:tc>
        <w:tc>
          <w:tcPr>
            <w:tcW w:w="860" w:type="dxa"/>
            <w:vAlign w:val="bottom"/>
            <w:tcBorders>
              <w:top w:val="single" w:sz="8" w:color="auto"/>
              <w:bottom w:val="single" w:sz="8" w:color="auto"/>
            </w:tcBorders>
            <w:shd w:val="clear" w:color="auto" w:fill="CFF0FC"/>
          </w:tcPr>
          <w:p>
            <w:pPr>
              <w:spacing w:after="0"/>
              <w:rPr>
                <w:sz w:val="24"/>
                <w:szCs w:val="24"/>
                <w:color w:val="auto"/>
              </w:rPr>
            </w:pP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400" w:type="dxa"/>
            <w:vAlign w:val="bottom"/>
            <w:tcBorders>
              <w:bottom w:val="single" w:sz="8" w:color="CFF0FC"/>
            </w:tcBorders>
            <w:gridSpan w:val="2"/>
            <w:shd w:val="clear" w:color="auto" w:fill="CFF0FC"/>
          </w:tcPr>
          <w:p>
            <w:pPr>
              <w:jc w:val="right"/>
              <w:ind w:right="59"/>
              <w:spacing w:after="0" w:line="242" w:lineRule="exact"/>
              <w:rPr>
                <w:sz w:val="20"/>
                <w:szCs w:val="20"/>
                <w:color w:val="auto"/>
              </w:rPr>
            </w:pPr>
            <w:r>
              <w:rPr>
                <w:rFonts w:ascii="Arial" w:cs="Arial" w:eastAsia="Arial" w:hAnsi="Arial"/>
                <w:sz w:val="15"/>
                <w:szCs w:val="15"/>
                <w:color w:val="auto"/>
                <w:w w:val="92"/>
              </w:rPr>
              <w:t xml:space="preserve">) </w:t>
            </w:r>
            <w:r>
              <w:rPr>
                <w:rFonts w:ascii="Arial" w:cs="Arial" w:eastAsia="Arial" w:hAnsi="Arial"/>
                <w:sz w:val="28"/>
                <w:szCs w:val="28"/>
                <w:color w:val="auto"/>
                <w:w w:val="92"/>
                <w:vertAlign w:val="subscript"/>
              </w:rPr>
              <w:t>%</w:t>
            </w:r>
          </w:p>
        </w:tc>
        <w:tc>
          <w:tcPr>
            <w:tcW w:w="800" w:type="dxa"/>
            <w:vAlign w:val="bottom"/>
            <w:tcBorders>
              <w:top w:val="single" w:sz="8" w:color="auto"/>
              <w:bottom w:val="single" w:sz="8" w:color="auto"/>
            </w:tcBorders>
            <w:shd w:val="clear" w:color="auto" w:fill="CFF0FC"/>
          </w:tcPr>
          <w:p>
            <w:pPr>
              <w:spacing w:after="0"/>
              <w:rPr>
                <w:sz w:val="24"/>
                <w:szCs w:val="24"/>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(147.5</w:t>
            </w:r>
          </w:p>
        </w:tc>
        <w:tc>
          <w:tcPr>
            <w:tcW w:w="380" w:type="dxa"/>
            <w:vAlign w:val="bottom"/>
            <w:tcBorders>
              <w:bottom w:val="single" w:sz="8" w:color="CFF0FC"/>
            </w:tcBorders>
            <w:gridSpan w:val="2"/>
            <w:shd w:val="clear" w:color="auto" w:fill="CFF0FC"/>
          </w:tcPr>
          <w:p>
            <w:pPr>
              <w:jc w:val="right"/>
              <w:ind w:right="50"/>
              <w:spacing w:after="0" w:line="242" w:lineRule="exact"/>
              <w:rPr>
                <w:sz w:val="20"/>
                <w:szCs w:val="20"/>
                <w:color w:val="auto"/>
              </w:rPr>
            </w:pPr>
            <w:r>
              <w:rPr>
                <w:rFonts w:ascii="Arial" w:cs="Arial" w:eastAsia="Arial" w:hAnsi="Arial"/>
                <w:sz w:val="15"/>
                <w:szCs w:val="15"/>
                <w:color w:val="auto"/>
                <w:w w:val="85"/>
              </w:rPr>
              <w:t xml:space="preserve">) </w:t>
            </w:r>
            <w:r>
              <w:rPr>
                <w:rFonts w:ascii="Arial" w:cs="Arial" w:eastAsia="Arial" w:hAnsi="Arial"/>
                <w:sz w:val="28"/>
                <w:szCs w:val="28"/>
                <w:color w:val="auto"/>
                <w:w w:val="85"/>
                <w:vertAlign w:val="subscript"/>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(323.4</w:t>
            </w:r>
          </w:p>
        </w:tc>
        <w:tc>
          <w:tcPr>
            <w:tcW w:w="420" w:type="dxa"/>
            <w:vAlign w:val="bottom"/>
            <w:tcBorders>
              <w:bottom w:val="single" w:sz="8" w:color="CFF0FC"/>
            </w:tcBorders>
            <w:shd w:val="clear" w:color="auto" w:fill="CFF0FC"/>
          </w:tcPr>
          <w:p>
            <w:pPr>
              <w:jc w:val="right"/>
              <w:ind w:right="97"/>
              <w:spacing w:after="0" w:line="242" w:lineRule="exact"/>
              <w:rPr>
                <w:sz w:val="20"/>
                <w:szCs w:val="20"/>
                <w:color w:val="auto"/>
              </w:rPr>
            </w:pPr>
            <w:r>
              <w:rPr>
                <w:rFonts w:ascii="Arial" w:cs="Arial" w:eastAsia="Arial" w:hAnsi="Arial"/>
                <w:sz w:val="15"/>
                <w:szCs w:val="15"/>
                <w:color w:val="auto"/>
                <w:w w:val="85"/>
              </w:rPr>
              <w:t xml:space="preserve">) </w:t>
            </w:r>
            <w:r>
              <w:rPr>
                <w:rFonts w:ascii="Arial" w:cs="Arial" w:eastAsia="Arial" w:hAnsi="Arial"/>
                <w:sz w:val="28"/>
                <w:szCs w:val="28"/>
                <w:color w:val="auto"/>
                <w:w w:val="85"/>
                <w:vertAlign w:val="subscript"/>
              </w:rPr>
              <w:t>%</w:t>
            </w:r>
          </w:p>
        </w:tc>
        <w:tc>
          <w:tcPr>
            <w:tcW w:w="1060" w:type="dxa"/>
            <w:vAlign w:val="bottom"/>
          </w:tcPr>
          <w:p>
            <w:pPr>
              <w:spacing w:after="0"/>
              <w:rPr>
                <w:sz w:val="24"/>
                <w:szCs w:val="24"/>
                <w:color w:val="auto"/>
              </w:rPr>
            </w:pPr>
          </w:p>
        </w:tc>
      </w:tr>
      <w:tr>
        <w:trPr>
          <w:trHeight w:val="413"/>
        </w:trPr>
        <w:tc>
          <w:tcPr>
            <w:tcW w:w="10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860" w:type="dxa"/>
            <w:vAlign w:val="bottom"/>
          </w:tcPr>
          <w:p>
            <w:pPr>
              <w:ind w:left="380"/>
              <w:spacing w:after="0"/>
              <w:rPr>
                <w:sz w:val="20"/>
                <w:szCs w:val="20"/>
                <w:color w:val="auto"/>
              </w:rPr>
            </w:pPr>
            <w:r>
              <w:rPr>
                <w:rFonts w:ascii="Arial" w:cs="Arial" w:eastAsia="Arial" w:hAnsi="Arial"/>
                <w:sz w:val="18"/>
                <w:szCs w:val="18"/>
                <w:color w:val="auto"/>
              </w:rPr>
              <w:t>F-23</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58"/>
        </w:trPr>
        <w:tc>
          <w:tcPr>
            <w:tcW w:w="108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-539750</wp:posOffset>
            </wp:positionV>
            <wp:extent cx="5969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-522605</wp:posOffset>
            </wp:positionV>
            <wp:extent cx="5969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-539750</wp:posOffset>
            </wp:positionV>
            <wp:extent cx="5143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-522605</wp:posOffset>
            </wp:positionV>
            <wp:extent cx="5143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-539750</wp:posOffset>
            </wp:positionV>
            <wp:extent cx="5143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-522605</wp:posOffset>
            </wp:positionV>
            <wp:extent cx="5143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7" w:name="page98"/>
    <w:bookmarkEnd w:id="97"/>
    <w:p>
      <w:pPr>
        <w:jc w:val="both"/>
        <w:spacing w:after="0" w:line="263" w:lineRule="auto"/>
        <w:rPr>
          <w:sz w:val="20"/>
          <w:szCs w:val="20"/>
          <w:color w:val="auto"/>
        </w:rPr>
      </w:pPr>
      <w:r>
        <w:rPr>
          <w:rFonts w:ascii="Arial" w:cs="Arial" w:eastAsia="Arial" w:hAnsi="Arial"/>
          <w:sz w:val="18"/>
          <w:szCs w:val="18"/>
          <w:color w:val="auto"/>
        </w:rPr>
        <w:t>Deferred income taxes reflect the tax effects of temporary differences between the basis of assets and liabilities recognized for financial reporting purposes and tax purposes, and net operating loss and tax credit carryforwards. Significant components of the Company's deferred tax assets (liabilities) as of December 31, 2022 and 2021 are as follows:</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6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r>
      <w:tr>
        <w:trPr>
          <w:trHeight w:val="236"/>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 (liabilities):</w:t>
            </w: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7"/>
        </w:trPr>
        <w:tc>
          <w:tcPr>
            <w:tcW w:w="612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39,783</w:t>
            </w:r>
          </w:p>
        </w:tc>
        <w:tc>
          <w:tcPr>
            <w:tcW w:w="2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44,191</w:t>
            </w:r>
          </w:p>
        </w:tc>
        <w:tc>
          <w:tcPr>
            <w:tcW w:w="80" w:type="dxa"/>
            <w:vAlign w:val="bottom"/>
          </w:tcPr>
          <w:p>
            <w:pPr>
              <w:spacing w:after="0"/>
              <w:rPr>
                <w:sz w:val="20"/>
                <w:szCs w:val="20"/>
                <w:color w:val="auto"/>
              </w:rPr>
            </w:pPr>
          </w:p>
        </w:tc>
      </w:tr>
      <w:tr>
        <w:trPr>
          <w:trHeight w:val="249"/>
        </w:trPr>
        <w:tc>
          <w:tcPr>
            <w:tcW w:w="61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4,504</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4,642</w:t>
            </w:r>
          </w:p>
        </w:tc>
        <w:tc>
          <w:tcPr>
            <w:tcW w:w="80" w:type="dxa"/>
            <w:vAlign w:val="bottom"/>
            <w:shd w:val="clear" w:color="auto" w:fill="CFF0FC"/>
          </w:tcPr>
          <w:p>
            <w:pPr>
              <w:spacing w:after="0"/>
              <w:rPr>
                <w:sz w:val="21"/>
                <w:szCs w:val="21"/>
                <w:color w:val="auto"/>
              </w:rPr>
            </w:pPr>
          </w:p>
        </w:tc>
      </w:tr>
      <w:tr>
        <w:trPr>
          <w:trHeight w:val="237"/>
        </w:trPr>
        <w:tc>
          <w:tcPr>
            <w:tcW w:w="6120" w:type="dxa"/>
            <w:vAlign w:val="bottom"/>
          </w:tcPr>
          <w:p>
            <w:pPr>
              <w:ind w:left="180"/>
              <w:spacing w:after="0"/>
              <w:rPr>
                <w:sz w:val="20"/>
                <w:szCs w:val="20"/>
                <w:color w:val="auto"/>
              </w:rPr>
            </w:pPr>
            <w:r>
              <w:rPr>
                <w:rFonts w:ascii="Arial" w:cs="Arial" w:eastAsia="Arial" w:hAnsi="Arial"/>
                <w:sz w:val="18"/>
                <w:szCs w:val="18"/>
                <w:color w:val="auto"/>
              </w:rPr>
              <w:t>Capitalized research and development costs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6,505</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453</w:t>
            </w:r>
          </w:p>
        </w:tc>
        <w:tc>
          <w:tcPr>
            <w:tcW w:w="80" w:type="dxa"/>
            <w:vAlign w:val="bottom"/>
          </w:tcPr>
          <w:p>
            <w:pPr>
              <w:spacing w:after="0"/>
              <w:rPr>
                <w:sz w:val="20"/>
                <w:szCs w:val="20"/>
                <w:color w:val="auto"/>
              </w:rPr>
            </w:pPr>
          </w:p>
        </w:tc>
      </w:tr>
      <w:tr>
        <w:trPr>
          <w:trHeight w:val="249"/>
        </w:trPr>
        <w:tc>
          <w:tcPr>
            <w:tcW w:w="61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Accruals and reserves currently not deductible</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2,799</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3,245</w:t>
            </w:r>
          </w:p>
        </w:tc>
        <w:tc>
          <w:tcPr>
            <w:tcW w:w="80" w:type="dxa"/>
            <w:vAlign w:val="bottom"/>
            <w:shd w:val="clear" w:color="auto" w:fill="CFF0FC"/>
          </w:tcPr>
          <w:p>
            <w:pPr>
              <w:spacing w:after="0"/>
              <w:rPr>
                <w:sz w:val="21"/>
                <w:szCs w:val="21"/>
                <w:color w:val="auto"/>
              </w:rPr>
            </w:pPr>
          </w:p>
        </w:tc>
      </w:tr>
      <w:tr>
        <w:trPr>
          <w:trHeight w:val="237"/>
        </w:trPr>
        <w:tc>
          <w:tcPr>
            <w:tcW w:w="6120" w:type="dxa"/>
            <w:vAlign w:val="bottom"/>
          </w:tcPr>
          <w:p>
            <w:pPr>
              <w:ind w:left="180"/>
              <w:spacing w:after="0"/>
              <w:rPr>
                <w:sz w:val="20"/>
                <w:szCs w:val="20"/>
                <w:color w:val="auto"/>
              </w:rPr>
            </w:pPr>
            <w:r>
              <w:rPr>
                <w:rFonts w:ascii="Arial" w:cs="Arial" w:eastAsia="Arial" w:hAnsi="Arial"/>
                <w:sz w:val="18"/>
                <w:szCs w:val="18"/>
                <w:color w:val="auto"/>
              </w:rPr>
              <w:t>Acquired intangible assets</w:t>
            </w:r>
          </w:p>
        </w:tc>
        <w:tc>
          <w:tcPr>
            <w:tcW w:w="3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(2,641 )</w:t>
            </w:r>
          </w:p>
        </w:tc>
        <w:tc>
          <w:tcPr>
            <w:tcW w:w="3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(3,117 )</w:t>
            </w:r>
          </w:p>
        </w:tc>
      </w:tr>
      <w:tr>
        <w:trPr>
          <w:trHeight w:val="249"/>
        </w:trPr>
        <w:tc>
          <w:tcPr>
            <w:tcW w:w="61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(6,227 )</w:t>
            </w:r>
          </w:p>
        </w:tc>
        <w:tc>
          <w:tcPr>
            <w:tcW w:w="3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(8,536 )</w:t>
            </w:r>
          </w:p>
        </w:tc>
      </w:tr>
      <w:tr>
        <w:trPr>
          <w:trHeight w:val="237"/>
        </w:trPr>
        <w:tc>
          <w:tcPr>
            <w:tcW w:w="6120" w:type="dxa"/>
            <w:vAlign w:val="bottom"/>
          </w:tcPr>
          <w:p>
            <w:pPr>
              <w:ind w:left="180"/>
              <w:spacing w:after="0"/>
              <w:rPr>
                <w:sz w:val="20"/>
                <w:szCs w:val="20"/>
                <w:color w:val="auto"/>
              </w:rPr>
            </w:pPr>
            <w:r>
              <w:rPr>
                <w:rFonts w:ascii="Arial" w:cs="Arial" w:eastAsia="Arial" w:hAnsi="Arial"/>
                <w:sz w:val="18"/>
                <w:szCs w:val="18"/>
                <w:color w:val="auto"/>
              </w:rPr>
              <w:t>Right-of-use assets</w:t>
            </w:r>
          </w:p>
        </w:tc>
        <w:tc>
          <w:tcPr>
            <w:tcW w:w="3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(2,775 )</w:t>
            </w:r>
          </w:p>
        </w:tc>
        <w:tc>
          <w:tcPr>
            <w:tcW w:w="3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(2,777 )</w:t>
            </w:r>
          </w:p>
        </w:tc>
      </w:tr>
      <w:tr>
        <w:trPr>
          <w:trHeight w:val="249"/>
        </w:trPr>
        <w:tc>
          <w:tcPr>
            <w:tcW w:w="61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Lease liabilities</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2,990</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2,957</w:t>
            </w:r>
          </w:p>
        </w:tc>
        <w:tc>
          <w:tcPr>
            <w:tcW w:w="80" w:type="dxa"/>
            <w:vAlign w:val="bottom"/>
            <w:shd w:val="clear" w:color="auto" w:fill="CFF0FC"/>
          </w:tcPr>
          <w:p>
            <w:pPr>
              <w:spacing w:after="0"/>
              <w:rPr>
                <w:sz w:val="21"/>
                <w:szCs w:val="21"/>
                <w:color w:val="auto"/>
              </w:rPr>
            </w:pPr>
          </w:p>
        </w:tc>
      </w:tr>
      <w:tr>
        <w:trPr>
          <w:trHeight w:val="237"/>
        </w:trPr>
        <w:tc>
          <w:tcPr>
            <w:tcW w:w="612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3,032</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1,891</w:t>
            </w:r>
          </w:p>
        </w:tc>
        <w:tc>
          <w:tcPr>
            <w:tcW w:w="80" w:type="dxa"/>
            <w:vAlign w:val="bottom"/>
          </w:tcPr>
          <w:p>
            <w:pPr>
              <w:spacing w:after="0"/>
              <w:rPr>
                <w:sz w:val="20"/>
                <w:szCs w:val="20"/>
                <w:color w:val="auto"/>
              </w:rPr>
            </w:pPr>
          </w:p>
        </w:tc>
      </w:tr>
      <w:tr>
        <w:trPr>
          <w:trHeight w:val="243"/>
        </w:trPr>
        <w:tc>
          <w:tcPr>
            <w:tcW w:w="61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Tax credit carryforwards</w:t>
            </w:r>
          </w:p>
        </w:tc>
        <w:tc>
          <w:tcPr>
            <w:tcW w:w="3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4,509</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3,855</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6120" w:type="dxa"/>
            <w:vAlign w:val="bottom"/>
          </w:tcPr>
          <w:p>
            <w:pPr>
              <w:ind w:left="180"/>
              <w:spacing w:after="0"/>
              <w:rPr>
                <w:sz w:val="20"/>
                <w:szCs w:val="20"/>
                <w:color w:val="auto"/>
              </w:rPr>
            </w:pPr>
            <w:r>
              <w:rPr>
                <w:rFonts w:ascii="Arial" w:cs="Arial" w:eastAsia="Arial" w:hAnsi="Arial"/>
                <w:sz w:val="18"/>
                <w:szCs w:val="18"/>
                <w:color w:val="auto"/>
              </w:rPr>
              <w:t>Net deferred tax asset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52,479</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46,804</w:t>
            </w:r>
          </w:p>
        </w:tc>
        <w:tc>
          <w:tcPr>
            <w:tcW w:w="80" w:type="dxa"/>
            <w:vAlign w:val="bottom"/>
          </w:tcPr>
          <w:p>
            <w:pPr>
              <w:spacing w:after="0"/>
              <w:rPr>
                <w:sz w:val="20"/>
                <w:szCs w:val="20"/>
                <w:color w:val="auto"/>
              </w:rPr>
            </w:pPr>
          </w:p>
        </w:tc>
      </w:tr>
      <w:tr>
        <w:trPr>
          <w:trHeight w:val="243"/>
        </w:trPr>
        <w:tc>
          <w:tcPr>
            <w:tcW w:w="61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Valuation allowance</w:t>
            </w:r>
          </w:p>
        </w:tc>
        <w:tc>
          <w:tcPr>
            <w:tcW w:w="3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(52,887 )</w:t>
            </w:r>
          </w:p>
        </w:tc>
        <w:tc>
          <w:tcPr>
            <w:tcW w:w="3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(49,038 )</w:t>
            </w:r>
          </w:p>
        </w:tc>
      </w:tr>
      <w:tr>
        <w:trPr>
          <w:trHeight w:val="20"/>
        </w:trPr>
        <w:tc>
          <w:tcPr>
            <w:tcW w:w="6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36"/>
        </w:trPr>
        <w:tc>
          <w:tcPr>
            <w:tcW w:w="6120" w:type="dxa"/>
            <w:vAlign w:val="bottom"/>
          </w:tcPr>
          <w:p>
            <w:pPr>
              <w:ind w:left="180"/>
              <w:spacing w:after="0"/>
              <w:rPr>
                <w:sz w:val="20"/>
                <w:szCs w:val="20"/>
                <w:color w:val="auto"/>
              </w:rPr>
            </w:pPr>
            <w:r>
              <w:rPr>
                <w:rFonts w:ascii="Arial" w:cs="Arial" w:eastAsia="Arial" w:hAnsi="Arial"/>
                <w:sz w:val="18"/>
                <w:szCs w:val="18"/>
                <w:color w:val="auto"/>
              </w:rPr>
              <w:t>Net deferred tax liability</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 xml:space="preserve">(408 </w:t>
            </w:r>
            <w:r>
              <w:rPr>
                <w:rFonts w:ascii="Arial" w:cs="Arial" w:eastAsia="Arial" w:hAnsi="Arial"/>
                <w:sz w:val="18"/>
                <w:szCs w:val="18"/>
                <w:color w:val="auto"/>
                <w:highlight w:val="white"/>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 xml:space="preserve">(2,234 </w:t>
            </w:r>
            <w:r>
              <w:rPr>
                <w:rFonts w:ascii="Arial" w:cs="Arial" w:eastAsia="Arial" w:hAnsi="Arial"/>
                <w:sz w:val="18"/>
                <w:szCs w:val="18"/>
                <w:color w:val="auto"/>
                <w:highlight w:val="white"/>
              </w:rPr>
              <w:t>)</w:t>
            </w:r>
          </w:p>
        </w:tc>
      </w:tr>
      <w:tr>
        <w:trPr>
          <w:trHeight w:val="20"/>
        </w:trPr>
        <w:tc>
          <w:tcPr>
            <w:tcW w:w="6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-505460</wp:posOffset>
            </wp:positionV>
            <wp:extent cx="60325" cy="16319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7">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-505460</wp:posOffset>
            </wp:positionV>
            <wp:extent cx="51435" cy="16319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8">
                      <a:extLst>
                        <a:ext uri="{28A0092B-C50C-407E-A947-70E740481C1C}"/>
                      </a:extLst>
                    </a:blip>
                    <a:srcRect/>
                    <a:stretch>
                      <a:fillRect/>
                    </a:stretch>
                  </pic:blipFill>
                  <pic:spPr bwMode="auto">
                    <a:xfrm>
                      <a:off x="0" y="0"/>
                      <a:ext cx="51435" cy="163195"/>
                    </a:xfrm>
                    <a:prstGeom prst="rect">
                      <a:avLst/>
                    </a:prstGeom>
                    <a:noFill/>
                  </pic:spPr>
                </pic:pic>
              </a:graphicData>
            </a:graphic>
          </wp:anchor>
        </w:drawing>
      </w:r>
    </w:p>
    <w:p>
      <w:pPr>
        <w:spacing w:after="0" w:line="182"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In assessing the realizability of the Company's deferred tax asset, the Company considers all relevant positive and negative evidence in determining whether it is more likely than not that some portion or all of the deferred income tax assets will not be realized. The realization of the gross deferred tax assets is dependent upon several factors, including the generation of sufficient taxable income prior to the expiration of the NOL carryforwards. In 2008, the Company established a full valuation allowance against the Company's U.S. deferred tax asset, and management believes the full valuation allowance is still appropriate as of December 31, 2022 and 2021 since the facts and circumstances necessitating the allowance have not changed. As a result, no U.S. federal income tax benefit was recorded for the years ended December 31, 2022, 2021, and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Company's Federal NOL carryforwards expire as follows:</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7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of Expiration</w:t>
            </w:r>
          </w:p>
        </w:tc>
        <w:tc>
          <w:tcPr>
            <w:tcW w:w="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NOLs</w:t>
            </w:r>
          </w:p>
        </w:tc>
        <w:tc>
          <w:tcPr>
            <w:tcW w:w="80" w:type="dxa"/>
            <w:vAlign w:val="bottom"/>
          </w:tcPr>
          <w:p>
            <w:pPr>
              <w:spacing w:after="0"/>
              <w:rPr>
                <w:sz w:val="16"/>
                <w:szCs w:val="16"/>
                <w:color w:val="auto"/>
              </w:rPr>
            </w:pPr>
          </w:p>
        </w:tc>
      </w:tr>
      <w:tr>
        <w:trPr>
          <w:trHeight w:val="237"/>
        </w:trPr>
        <w:tc>
          <w:tcPr>
            <w:tcW w:w="7180" w:type="dxa"/>
            <w:vAlign w:val="bottom"/>
            <w:shd w:val="clear" w:color="auto" w:fill="CFF0FC"/>
          </w:tcPr>
          <w:p>
            <w:pPr>
              <w:spacing w:after="0"/>
              <w:rPr>
                <w:sz w:val="20"/>
                <w:szCs w:val="20"/>
                <w:color w:val="auto"/>
              </w:rPr>
            </w:pPr>
            <w:r>
              <w:rPr>
                <w:rFonts w:ascii="Arial" w:cs="Arial" w:eastAsia="Arial" w:hAnsi="Arial"/>
                <w:sz w:val="18"/>
                <w:szCs w:val="18"/>
                <w:color w:val="auto"/>
              </w:rPr>
              <w:t>2030 - 2033</w:t>
            </w:r>
          </w:p>
        </w:tc>
        <w:tc>
          <w:tcPr>
            <w:tcW w:w="18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36,107</w:t>
            </w:r>
          </w:p>
        </w:tc>
        <w:tc>
          <w:tcPr>
            <w:tcW w:w="80" w:type="dxa"/>
            <w:vAlign w:val="bottom"/>
            <w:shd w:val="clear" w:color="auto" w:fill="CFF0FC"/>
          </w:tcPr>
          <w:p>
            <w:pPr>
              <w:spacing w:after="0"/>
              <w:rPr>
                <w:sz w:val="20"/>
                <w:szCs w:val="20"/>
                <w:color w:val="auto"/>
              </w:rPr>
            </w:pPr>
          </w:p>
        </w:tc>
      </w:tr>
      <w:tr>
        <w:trPr>
          <w:trHeight w:val="237"/>
        </w:trPr>
        <w:tc>
          <w:tcPr>
            <w:tcW w:w="7180" w:type="dxa"/>
            <w:vAlign w:val="bottom"/>
          </w:tcPr>
          <w:p>
            <w:pPr>
              <w:spacing w:after="0"/>
              <w:rPr>
                <w:sz w:val="20"/>
                <w:szCs w:val="20"/>
                <w:color w:val="auto"/>
              </w:rPr>
            </w:pPr>
            <w:r>
              <w:rPr>
                <w:rFonts w:ascii="Arial" w:cs="Arial" w:eastAsia="Arial" w:hAnsi="Arial"/>
                <w:sz w:val="18"/>
                <w:szCs w:val="18"/>
                <w:color w:val="auto"/>
              </w:rPr>
              <w:t>2034 - 2037</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12,055</w:t>
            </w:r>
          </w:p>
        </w:tc>
        <w:tc>
          <w:tcPr>
            <w:tcW w:w="80" w:type="dxa"/>
            <w:vAlign w:val="bottom"/>
          </w:tcPr>
          <w:p>
            <w:pPr>
              <w:spacing w:after="0"/>
              <w:rPr>
                <w:sz w:val="20"/>
                <w:szCs w:val="20"/>
                <w:color w:val="auto"/>
              </w:rPr>
            </w:pPr>
          </w:p>
        </w:tc>
      </w:tr>
      <w:tr>
        <w:trPr>
          <w:trHeight w:val="243"/>
        </w:trPr>
        <w:tc>
          <w:tcPr>
            <w:tcW w:w="7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Non-Expiring</w:t>
            </w:r>
          </w:p>
        </w:tc>
        <w:tc>
          <w:tcPr>
            <w:tcW w:w="1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117,885</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7180" w:type="dxa"/>
            <w:vAlign w:val="bottom"/>
          </w:tcPr>
          <w:p>
            <w:pPr>
              <w:spacing w:after="0"/>
              <w:rPr>
                <w:sz w:val="20"/>
                <w:szCs w:val="20"/>
                <w:color w:val="auto"/>
              </w:rPr>
            </w:pPr>
          </w:p>
        </w:tc>
        <w:tc>
          <w:tcPr>
            <w:tcW w:w="5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166,047</w:t>
            </w:r>
          </w:p>
        </w:tc>
        <w:tc>
          <w:tcPr>
            <w:tcW w:w="80" w:type="dxa"/>
            <w:vAlign w:val="bottom"/>
          </w:tcPr>
          <w:p>
            <w:pPr>
              <w:spacing w:after="0"/>
              <w:rPr>
                <w:sz w:val="20"/>
                <w:szCs w:val="20"/>
                <w:color w:val="auto"/>
              </w:rPr>
            </w:pPr>
          </w:p>
        </w:tc>
      </w:tr>
      <w:tr>
        <w:trPr>
          <w:trHeight w:val="20"/>
        </w:trPr>
        <w:tc>
          <w:tcPr>
            <w:tcW w:w="7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18859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9">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18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Tax Reform Act of 1986 contains provisions under Internal Revenue Code (“IRC”) Section 382 that limit the annual amount of federal and state NOL carryforwards that can be used in any given year in the event a significant change in ownership. The Company does not believe that there is a Section 382 limitation that will impair the Company's future ability to utilize NOLs to offset the Company's future taxable income. The Company continues to review ownership changes on an annual basis and the Company does not believe it has had a subsequent ownership change that would impact the NOLs.</w:t>
      </w:r>
    </w:p>
    <w:p>
      <w:pPr>
        <w:spacing w:after="0" w:line="15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January 2022, approximately $65,000 was repatriated from the Company's Canadian subsidiary as a one-time event. Associated with this repatriation the Company paid $1.7 million in Canadian withholding tax which is included in the Company's foreign income tax expense within the table further above. It is still the Company's intention to continue to permanently reinvest the historical undistributed earnings of the Company's foreign subsidiary to the extent that the Company will not incur any additional tax expense associated with foreign withholding or other local tax expense on the future cash transfers. As such, deferred taxes have not been recorded on the unremitted earnings of the foreign subsidiary as of December 31, 2022.</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8" w:name="page99"/>
    <w:bookmarkEnd w:id="98"/>
    <w:p>
      <w:pPr>
        <w:jc w:val="both"/>
        <w:spacing w:after="0" w:line="275" w:lineRule="auto"/>
        <w:rPr>
          <w:sz w:val="20"/>
          <w:szCs w:val="20"/>
          <w:color w:val="auto"/>
        </w:rPr>
      </w:pPr>
      <w:r>
        <w:rPr>
          <w:rFonts w:ascii="Arial" w:cs="Arial" w:eastAsia="Arial" w:hAnsi="Arial"/>
          <w:sz w:val="17"/>
          <w:szCs w:val="17"/>
          <w:color w:val="auto"/>
        </w:rPr>
        <w:t>As of December 31, 2022, the Company's gross unrecognized tax benefits totaled $373, and based upon the valuation allowance for the Company's U.S. operations, the recognition of any tax benefit would not impact the Company's effective tax rate. The Company records interest and penalties related to unrecognized tax benefits as a component of income tax expense. Interest and penalties were immaterial in 2022, 2021, and 2020. As a result of the Company's net operating loss carryforward position, the Company is subject to audit by the Internal Revenue Service since the Company's inception, as well as by several state jurisdictions for the years ended September 30, 1998 through December 31, 2022.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Company's unrecognized tax benefits is as follows:</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240" w:type="dxa"/>
            <w:vAlign w:val="bottom"/>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r>
      <w:tr>
        <w:trPr>
          <w:trHeight w:val="237"/>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Balance as of January 1</w:t>
            </w:r>
          </w:p>
        </w:tc>
        <w:tc>
          <w:tcPr>
            <w:tcW w:w="720" w:type="dxa"/>
            <w:vAlign w:val="bottom"/>
            <w:shd w:val="clear" w:color="auto" w:fill="CFF0FC"/>
          </w:tcPr>
          <w:p>
            <w:pPr>
              <w:jc w:val="right"/>
              <w:ind w:right="536"/>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1,172</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1,308</w:t>
            </w:r>
          </w:p>
        </w:tc>
        <w:tc>
          <w:tcPr>
            <w:tcW w:w="80" w:type="dxa"/>
            <w:vAlign w:val="bottom"/>
            <w:shd w:val="clear" w:color="auto" w:fill="CFF0FC"/>
          </w:tcPr>
          <w:p>
            <w:pPr>
              <w:spacing w:after="0"/>
              <w:rPr>
                <w:sz w:val="20"/>
                <w:szCs w:val="20"/>
                <w:color w:val="auto"/>
              </w:rPr>
            </w:pPr>
          </w:p>
        </w:tc>
      </w:tr>
      <w:tr>
        <w:trPr>
          <w:trHeight w:val="237"/>
        </w:trPr>
        <w:tc>
          <w:tcPr>
            <w:tcW w:w="5240" w:type="dxa"/>
            <w:vAlign w:val="bottom"/>
          </w:tcPr>
          <w:p>
            <w:pPr>
              <w:spacing w:after="0"/>
              <w:rPr>
                <w:sz w:val="20"/>
                <w:szCs w:val="20"/>
                <w:color w:val="auto"/>
              </w:rPr>
            </w:pPr>
            <w:r>
              <w:rPr>
                <w:rFonts w:ascii="Arial" w:cs="Arial" w:eastAsia="Arial" w:hAnsi="Arial"/>
                <w:sz w:val="18"/>
                <w:szCs w:val="18"/>
                <w:color w:val="auto"/>
              </w:rPr>
              <w:t>Additions for tax positions of prior periods</w:t>
            </w:r>
          </w:p>
        </w:tc>
        <w:tc>
          <w:tcPr>
            <w:tcW w:w="7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r>
      <w:tr>
        <w:trPr>
          <w:trHeight w:val="24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Reductions for tax positions of prior periods</w:t>
            </w:r>
          </w:p>
        </w:tc>
        <w:tc>
          <w:tcPr>
            <w:tcW w:w="72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89"/>
              </w:rPr>
              <w:t>(433 )</w:t>
            </w:r>
          </w:p>
        </w:tc>
        <w:tc>
          <w:tcPr>
            <w:tcW w:w="2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(368 )</w:t>
            </w:r>
          </w:p>
        </w:tc>
        <w:tc>
          <w:tcPr>
            <w:tcW w:w="2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(137 )</w:t>
            </w:r>
          </w:p>
        </w:tc>
      </w:tr>
      <w:tr>
        <w:trPr>
          <w:trHeight w:val="243"/>
        </w:trPr>
        <w:tc>
          <w:tcPr>
            <w:tcW w:w="5240" w:type="dxa"/>
            <w:vAlign w:val="bottom"/>
          </w:tcPr>
          <w:p>
            <w:pPr>
              <w:spacing w:after="0"/>
              <w:rPr>
                <w:sz w:val="20"/>
                <w:szCs w:val="20"/>
                <w:color w:val="auto"/>
              </w:rPr>
            </w:pPr>
            <w:r>
              <w:rPr>
                <w:rFonts w:ascii="Arial" w:cs="Arial" w:eastAsia="Arial" w:hAnsi="Arial"/>
                <w:sz w:val="18"/>
                <w:szCs w:val="18"/>
                <w:color w:val="auto"/>
              </w:rPr>
              <w:t>Balance as of December 31</w:t>
            </w:r>
          </w:p>
        </w:tc>
        <w:tc>
          <w:tcPr>
            <w:tcW w:w="72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2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w:t>
            </w:r>
          </w:p>
        </w:tc>
        <w:tc>
          <w:tcPr>
            <w:tcW w:w="2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1,172</w:t>
            </w:r>
          </w:p>
        </w:tc>
        <w:tc>
          <w:tcPr>
            <w:tcW w:w="80" w:type="dxa"/>
            <w:vAlign w:val="bottom"/>
          </w:tcPr>
          <w:p>
            <w:pPr>
              <w:spacing w:after="0"/>
              <w:rPr>
                <w:sz w:val="21"/>
                <w:szCs w:val="21"/>
                <w:color w:val="auto"/>
              </w:rPr>
            </w:pPr>
          </w:p>
        </w:tc>
      </w:tr>
      <w:tr>
        <w:trPr>
          <w:trHeight w:val="20"/>
        </w:trPr>
        <w:tc>
          <w:tcPr>
            <w:tcW w:w="5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Stock-Based Awards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grants stock-based awards under the OraSure Technologies, Inc. Stock Award Plan, as amended (the “Stock Plan”). The Stock Plan permits stock-based awards to employees, outside directors and consultants or other third-party advisors. Awards which may be granted under the Stock Plan include qualified incentive stock options, nonqualified stock options, stock appreciation rights, restricted awards, performance awards and other stock-based awards.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3,921 shares were available for future grants under the Stock Plan.</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Under the terms of the Stock Plan, nonqualified stock options may be granted to eligible employees, including the Company's officers at a price not less than 75 percent of the fair market value of a share of common stock on the date of grant. The option term and vesting schedule of such awards may be either unlimited or have a specified period in which to vest and be exercised. To date, options generally have been granted with ten-year exercise periods and an exercise price not less than the fair market value on the date of grant. Options generally vest over four years, with one quarter of the options vesting one year after grant and the remainder vesting on a monthly basis over the next three years.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each stock option was estimated on the date of the grant using the Black-Scholes option-pricing model using the following weighted-average assumptions:</w:t>
      </w:r>
    </w:p>
    <w:p>
      <w:pPr>
        <w:spacing w:after="0" w:line="202"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2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3"/>
              </w:rPr>
              <w:t>Years Ended December 31,</w:t>
            </w:r>
          </w:p>
        </w:tc>
        <w:tc>
          <w:tcPr>
            <w:tcW w:w="6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r>
      <w:tr>
        <w:trPr>
          <w:trHeight w:val="169"/>
        </w:trPr>
        <w:tc>
          <w:tcPr>
            <w:tcW w:w="4240" w:type="dxa"/>
            <w:vAlign w:val="bottom"/>
          </w:tcPr>
          <w:p>
            <w:pPr>
              <w:spacing w:after="0"/>
              <w:rPr>
                <w:sz w:val="20"/>
                <w:szCs w:val="20"/>
                <w:color w:val="auto"/>
              </w:rPr>
            </w:pPr>
            <w:r>
              <w:rPr>
                <w:rFonts w:ascii="Arial" w:cs="Arial" w:eastAsia="Arial" w:hAnsi="Arial"/>
                <w:sz w:val="14"/>
                <w:szCs w:val="14"/>
                <w:b w:val="1"/>
                <w:bCs w:val="1"/>
                <w:color w:val="auto"/>
              </w:rPr>
              <w:t>Black-Scholes Option Valuation Assumptions</w:t>
            </w:r>
          </w:p>
        </w:tc>
        <w:tc>
          <w:tcPr>
            <w:tcW w:w="9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9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6"/>
              </w:rPr>
              <w:t>2020</w:t>
            </w:r>
          </w:p>
        </w:tc>
        <w:tc>
          <w:tcPr>
            <w:tcW w:w="320" w:type="dxa"/>
            <w:vAlign w:val="bottom"/>
          </w:tcPr>
          <w:p>
            <w:pPr>
              <w:spacing w:after="0"/>
              <w:rPr>
                <w:sz w:val="14"/>
                <w:szCs w:val="14"/>
                <w:color w:val="auto"/>
              </w:rPr>
            </w:pPr>
          </w:p>
        </w:tc>
      </w:tr>
      <w:tr>
        <w:trPr>
          <w:trHeight w:val="237"/>
        </w:trPr>
        <w:tc>
          <w:tcPr>
            <w:tcW w:w="4240" w:type="dxa"/>
            <w:vAlign w:val="bottom"/>
            <w:shd w:val="clear" w:color="auto" w:fill="CFF0FC"/>
          </w:tcPr>
          <w:p>
            <w:pPr>
              <w:spacing w:after="0" w:line="236" w:lineRule="exact"/>
              <w:rPr>
                <w:sz w:val="20"/>
                <w:szCs w:val="20"/>
                <w:color w:val="auto"/>
              </w:rPr>
            </w:pPr>
            <w:r>
              <w:rPr>
                <w:rFonts w:ascii="Arial" w:cs="Arial" w:eastAsia="Arial" w:hAnsi="Arial"/>
                <w:sz w:val="18"/>
                <w:szCs w:val="18"/>
                <w:color w:val="auto"/>
              </w:rPr>
              <w:t>Risk-free interest rate</w:t>
            </w:r>
            <w:r>
              <w:rPr>
                <w:rFonts w:ascii="Arial" w:cs="Arial" w:eastAsia="Arial" w:hAnsi="Arial"/>
                <w:sz w:val="24"/>
                <w:szCs w:val="24"/>
                <w:color w:val="auto"/>
                <w:vertAlign w:val="superscript"/>
              </w:rPr>
              <w:t>(1)</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0.47</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42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r>
      <w:tr>
        <w:trPr>
          <w:trHeight w:val="249"/>
        </w:trPr>
        <w:tc>
          <w:tcPr>
            <w:tcW w:w="4240" w:type="dxa"/>
            <w:vAlign w:val="bottom"/>
            <w:shd w:val="clear" w:color="auto" w:fill="CFF0FC"/>
          </w:tcPr>
          <w:p>
            <w:pPr>
              <w:spacing w:after="0" w:line="249" w:lineRule="exact"/>
              <w:rPr>
                <w:sz w:val="20"/>
                <w:szCs w:val="20"/>
                <w:color w:val="auto"/>
              </w:rPr>
            </w:pPr>
            <w:r>
              <w:rPr>
                <w:rFonts w:ascii="Arial" w:cs="Arial" w:eastAsia="Arial" w:hAnsi="Arial"/>
                <w:sz w:val="18"/>
                <w:szCs w:val="18"/>
                <w:color w:val="auto"/>
              </w:rPr>
              <w:t>Expected stock price volatility</w:t>
            </w:r>
            <w:r>
              <w:rPr>
                <w:rFonts w:ascii="Arial" w:cs="Arial" w:eastAsia="Arial" w:hAnsi="Arial"/>
                <w:sz w:val="24"/>
                <w:szCs w:val="24"/>
                <w:color w:val="auto"/>
                <w:vertAlign w:val="superscript"/>
              </w:rPr>
              <w:t>(2)</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315"/>
        </w:trPr>
        <w:tc>
          <w:tcPr>
            <w:tcW w:w="4240" w:type="dxa"/>
            <w:vAlign w:val="bottom"/>
          </w:tcPr>
          <w:p>
            <w:pPr>
              <w:spacing w:after="0"/>
              <w:rPr>
                <w:sz w:val="20"/>
                <w:szCs w:val="20"/>
                <w:color w:val="auto"/>
              </w:rPr>
            </w:pPr>
            <w:r>
              <w:rPr>
                <w:rFonts w:ascii="Arial" w:cs="Arial" w:eastAsia="Arial" w:hAnsi="Arial"/>
                <w:sz w:val="18"/>
                <w:szCs w:val="18"/>
                <w:color w:val="auto"/>
              </w:rPr>
              <w:t>Expected life of stock options (in years)</w:t>
            </w:r>
            <w:r>
              <w:rPr>
                <w:rFonts w:ascii="Arial" w:cs="Arial" w:eastAsia="Arial" w:hAnsi="Arial"/>
                <w:sz w:val="24"/>
                <w:szCs w:val="24"/>
                <w:color w:val="auto"/>
                <w:vertAlign w:val="superscript"/>
              </w:rPr>
              <w:t>(2)</w:t>
            </w: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24"/>
                <w:szCs w:val="24"/>
                <w:color w:val="auto"/>
              </w:rPr>
            </w:pPr>
          </w:p>
        </w:tc>
      </w:tr>
    </w:tbl>
    <w:p>
      <w:pPr>
        <w:spacing w:after="0" w:line="157" w:lineRule="exact"/>
        <w:rPr>
          <w:sz w:val="20"/>
          <w:szCs w:val="20"/>
          <w:color w:val="auto"/>
        </w:rPr>
      </w:pPr>
    </w:p>
    <w:p>
      <w:pPr>
        <w:ind w:left="500" w:hanging="492"/>
        <w:spacing w:after="0" w:line="221" w:lineRule="auto"/>
        <w:tabs>
          <w:tab w:leader="none" w:pos="500" w:val="left"/>
        </w:tabs>
        <w:numPr>
          <w:ilvl w:val="0"/>
          <w:numId w:val="50"/>
        </w:numPr>
        <w:rPr>
          <w:rFonts w:ascii="Arial" w:cs="Arial" w:eastAsia="Arial" w:hAnsi="Arial"/>
          <w:sz w:val="24"/>
          <w:szCs w:val="24"/>
          <w:color w:val="auto"/>
          <w:vertAlign w:val="superscript"/>
        </w:rPr>
      </w:pPr>
      <w:r>
        <w:rPr>
          <w:rFonts w:ascii="Arial" w:cs="Arial" w:eastAsia="Arial" w:hAnsi="Arial"/>
          <w:sz w:val="18"/>
          <w:szCs w:val="18"/>
          <w:color w:val="auto"/>
        </w:rPr>
        <w:t>Based on the constant maturity interest rate of U.S. Treasury securities whose term is consistent with the expected life of the Company's stock options.</w:t>
      </w:r>
    </w:p>
    <w:p>
      <w:pPr>
        <w:spacing w:after="0" w:line="1" w:lineRule="exact"/>
        <w:rPr>
          <w:rFonts w:ascii="Arial" w:cs="Arial" w:eastAsia="Arial" w:hAnsi="Arial"/>
          <w:sz w:val="24"/>
          <w:szCs w:val="24"/>
          <w:color w:val="auto"/>
          <w:vertAlign w:val="superscript"/>
        </w:rPr>
      </w:pPr>
    </w:p>
    <w:p>
      <w:pPr>
        <w:ind w:left="500" w:hanging="492"/>
        <w:spacing w:after="0" w:line="187" w:lineRule="auto"/>
        <w:tabs>
          <w:tab w:leader="none" w:pos="500" w:val="left"/>
        </w:tabs>
        <w:numPr>
          <w:ilvl w:val="0"/>
          <w:numId w:val="50"/>
        </w:numPr>
        <w:rPr>
          <w:rFonts w:ascii="Arial" w:cs="Arial" w:eastAsia="Arial" w:hAnsi="Arial"/>
          <w:sz w:val="24"/>
          <w:szCs w:val="24"/>
          <w:color w:val="auto"/>
          <w:vertAlign w:val="superscript"/>
        </w:rPr>
      </w:pPr>
      <w:r>
        <w:rPr>
          <w:rFonts w:ascii="Arial" w:cs="Arial" w:eastAsia="Arial" w:hAnsi="Arial"/>
          <w:sz w:val="18"/>
          <w:szCs w:val="18"/>
          <w:color w:val="auto"/>
        </w:rPr>
        <w:t>Based upon historical experience.</w:t>
      </w:r>
    </w:p>
    <w:p>
      <w:pPr>
        <w:spacing w:after="0" w:line="2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weighted-average grant date fair value of stock options granted during the years ended December 31, 2022, 2021, and 2020 was $4.15, $6.14 and $2.79, respectively.</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Compensation expense recognized in the financial statements related to stock options was $1,515, 1,063, and $892 for the years ended December 31, 2022, 2021, and 2020, respectively.</w:t>
      </w:r>
    </w:p>
    <w:p>
      <w:pPr>
        <w:spacing w:after="0" w:line="19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The aggregate intrinsic value of options exercised during the years ended December 31, 2022, 2021, and 2020 (the amount by which the market price of the stock on the date of exercise exceeded the exercise price) was $4, $130, and $3,117, respectively.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color w:val="auto"/>
        </w:rPr>
        <w:t>The following table summarizes the stock option activity under the Stock Plan:</w:t>
      </w:r>
    </w:p>
    <w:p>
      <w:pPr>
        <w:spacing w:after="0" w:line="24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center"/>
              <w:ind w:right="56"/>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right"/>
              <w:ind w:right="204"/>
              <w:spacing w:after="0" w:line="149" w:lineRule="exact"/>
              <w:rPr>
                <w:sz w:val="20"/>
                <w:szCs w:val="20"/>
                <w:color w:val="auto"/>
              </w:rPr>
            </w:pPr>
            <w:r>
              <w:rPr>
                <w:rFonts w:ascii="Arial" w:cs="Arial" w:eastAsia="Arial" w:hAnsi="Arial"/>
                <w:sz w:val="14"/>
                <w:szCs w:val="14"/>
                <w:b w:val="1"/>
                <w:bCs w:val="1"/>
                <w:color w:val="auto"/>
              </w:rPr>
              <w:t>Remaining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center"/>
              <w:ind w:right="79"/>
              <w:spacing w:after="0"/>
              <w:rPr>
                <w:sz w:val="20"/>
                <w:szCs w:val="20"/>
                <w:color w:val="auto"/>
              </w:rPr>
            </w:pPr>
            <w:r>
              <w:rPr>
                <w:rFonts w:ascii="Arial" w:cs="Arial" w:eastAsia="Arial" w:hAnsi="Arial"/>
                <w:sz w:val="14"/>
                <w:szCs w:val="14"/>
                <w:b w:val="1"/>
                <w:bCs w:val="1"/>
                <w:color w:val="auto"/>
                <w:w w:val="89"/>
              </w:rPr>
              <w:t>Aggregate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10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2"/>
                <w:szCs w:val="12"/>
                <w:color w:val="auto"/>
              </w:rPr>
            </w:pPr>
          </w:p>
        </w:tc>
        <w:tc>
          <w:tcPr>
            <w:tcW w:w="112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18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Term</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9"/>
              </w:rPr>
              <w:t>Intrinsic</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1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ind w:right="56"/>
              <w:spacing w:after="0"/>
              <w:rPr>
                <w:sz w:val="20"/>
                <w:szCs w:val="20"/>
                <w:color w:val="auto"/>
              </w:rPr>
            </w:pPr>
            <w:r>
              <w:rPr>
                <w:rFonts w:ascii="Arial" w:cs="Arial" w:eastAsia="Arial" w:hAnsi="Arial"/>
                <w:sz w:val="14"/>
                <w:szCs w:val="14"/>
                <w:b w:val="1"/>
                <w:bCs w:val="1"/>
                <w:color w:val="auto"/>
                <w:w w:val="94"/>
              </w:rPr>
              <w:t>Per Share</w:t>
            </w:r>
          </w:p>
        </w:tc>
        <w:tc>
          <w:tcPr>
            <w:tcW w:w="18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center"/>
              <w:ind w:right="39"/>
              <w:spacing w:after="0"/>
              <w:rPr>
                <w:sz w:val="20"/>
                <w:szCs w:val="20"/>
                <w:color w:val="auto"/>
              </w:rPr>
            </w:pPr>
            <w:r>
              <w:rPr>
                <w:rFonts w:ascii="Arial" w:cs="Arial" w:eastAsia="Arial" w:hAnsi="Arial"/>
                <w:sz w:val="14"/>
                <w:szCs w:val="14"/>
                <w:b w:val="1"/>
                <w:bCs w:val="1"/>
                <w:color w:val="auto"/>
                <w:w w:val="90"/>
              </w:rPr>
              <w:t>Value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Outstanding on January 1, 2022</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1,410</w:t>
            </w:r>
          </w:p>
        </w:tc>
        <w:tc>
          <w:tcPr>
            <w:tcW w:w="2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10.73</w:t>
            </w:r>
          </w:p>
        </w:tc>
        <w:tc>
          <w:tcPr>
            <w:tcW w:w="180" w:type="dxa"/>
            <w:vAlign w:val="bottom"/>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180" w:type="dxa"/>
            <w:vAlign w:val="bottom"/>
          </w:tcPr>
          <w:p>
            <w:pPr>
              <w:ind w:left="180"/>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589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8.86</w:t>
            </w: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1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Exercised</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(2 )</w:t>
            </w: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w:t>
            </w: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80" w:type="dxa"/>
            <w:vAlign w:val="bottom"/>
          </w:tcPr>
          <w:p>
            <w:pPr>
              <w:ind w:left="180"/>
              <w:spacing w:after="0"/>
              <w:rPr>
                <w:sz w:val="20"/>
                <w:szCs w:val="20"/>
                <w:color w:val="auto"/>
              </w:rPr>
            </w:pPr>
            <w:r>
              <w:rPr>
                <w:rFonts w:ascii="Arial" w:cs="Arial" w:eastAsia="Arial" w:hAnsi="Arial"/>
                <w:sz w:val="18"/>
                <w:szCs w:val="18"/>
                <w:color w:val="auto"/>
              </w:rPr>
              <w:t>Expired</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(28 )</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10.01</w:t>
            </w: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1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Forfeited</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(211 )</w:t>
            </w: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9.63</w:t>
            </w: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8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Outstanding on December 31, 2022</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1,758</w:t>
            </w:r>
          </w:p>
        </w:tc>
        <w:tc>
          <w:tcPr>
            <w:tcW w:w="20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10.25</w:t>
            </w:r>
          </w:p>
        </w:tc>
        <w:tc>
          <w:tcPr>
            <w:tcW w:w="180" w:type="dxa"/>
            <w:vAlign w:val="bottom"/>
            <w:tcBorders>
              <w:top w:val="single" w:sz="8" w:color="CFF0FC"/>
            </w:tcBorders>
          </w:tcPr>
          <w:p>
            <w:pPr>
              <w:spacing w:after="0"/>
              <w:rPr>
                <w:sz w:val="20"/>
                <w:szCs w:val="20"/>
                <w:color w:val="auto"/>
              </w:rPr>
            </w:pPr>
          </w:p>
        </w:tc>
        <w:tc>
          <w:tcPr>
            <w:tcW w:w="1160" w:type="dxa"/>
            <w:vAlign w:val="bottom"/>
            <w:tcBorders>
              <w:top w:val="single" w:sz="8" w:color="CFF0FC"/>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160" w:type="dxa"/>
            <w:vAlign w:val="bottom"/>
            <w:tcBorders>
              <w:top w:val="single" w:sz="8" w:color="CFF0FC"/>
            </w:tcBorders>
          </w:tcPr>
          <w:p>
            <w:pPr>
              <w:spacing w:after="0"/>
              <w:rPr>
                <w:sz w:val="20"/>
                <w:szCs w:val="20"/>
                <w:color w:val="auto"/>
              </w:rPr>
            </w:pPr>
          </w:p>
        </w:tc>
        <w:tc>
          <w:tcPr>
            <w:tcW w:w="120" w:type="dxa"/>
            <w:vAlign w:val="bottom"/>
            <w:tcBorders>
              <w:top w:val="single" w:sz="8" w:color="CFF0FC"/>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CFF0FC"/>
              <w:bottom w:val="single" w:sz="8" w:color="auto"/>
            </w:tcBorders>
          </w:tcPr>
          <w:p>
            <w:pPr>
              <w:ind w:left="620"/>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8"/>
              </w:rPr>
              <w:t>Vested or expected to vest as of December 31, 2022</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1,633</w:t>
            </w:r>
          </w:p>
        </w:tc>
        <w:tc>
          <w:tcPr>
            <w:tcW w:w="2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10.29</w:t>
            </w:r>
          </w:p>
        </w:tc>
        <w:tc>
          <w:tcPr>
            <w:tcW w:w="180" w:type="dxa"/>
            <w:vAlign w:val="bottom"/>
            <w:tcBorders>
              <w:bottom w:val="single" w:sz="8" w:color="CFF0FC"/>
            </w:tcBorders>
            <w:shd w:val="clear" w:color="auto" w:fill="CFF0FC"/>
          </w:tcPr>
          <w:p>
            <w:pPr>
              <w:spacing w:after="0"/>
              <w:rPr>
                <w:sz w:val="22"/>
                <w:szCs w:val="22"/>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7.03</w:t>
            </w:r>
          </w:p>
        </w:tc>
        <w:tc>
          <w:tcPr>
            <w:tcW w:w="16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180" w:type="dxa"/>
            <w:vAlign w:val="bottom"/>
          </w:tcPr>
          <w:p>
            <w:pPr>
              <w:spacing w:after="0"/>
              <w:rPr>
                <w:sz w:val="20"/>
                <w:szCs w:val="20"/>
                <w:color w:val="auto"/>
              </w:rPr>
            </w:pPr>
            <w:r>
              <w:rPr>
                <w:rFonts w:ascii="Arial" w:cs="Arial" w:eastAsia="Arial" w:hAnsi="Arial"/>
                <w:sz w:val="18"/>
                <w:szCs w:val="18"/>
                <w:color w:val="auto"/>
              </w:rPr>
              <w:t>Exercisable on December 31, 2022</w:t>
            </w:r>
          </w:p>
        </w:tc>
        <w:tc>
          <w:tcPr>
            <w:tcW w:w="840" w:type="dxa"/>
            <w:vAlign w:val="bottom"/>
          </w:tcPr>
          <w:p>
            <w:pPr>
              <w:jc w:val="right"/>
              <w:spacing w:after="0"/>
              <w:rPr>
                <w:sz w:val="20"/>
                <w:szCs w:val="20"/>
                <w:color w:val="auto"/>
              </w:rPr>
            </w:pPr>
            <w:r>
              <w:rPr>
                <w:rFonts w:ascii="Arial" w:cs="Arial" w:eastAsia="Arial" w:hAnsi="Arial"/>
                <w:sz w:val="18"/>
                <w:szCs w:val="18"/>
                <w:color w:val="auto"/>
              </w:rPr>
              <w:t>1,045</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10.67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5.11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ind w:left="62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-548005</wp:posOffset>
            </wp:positionV>
            <wp:extent cx="60325" cy="18859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2">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-205105</wp:posOffset>
            </wp:positionV>
            <wp:extent cx="2511425" cy="20574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3">
                      <a:extLst>
                        <a:ext uri="{28A0092B-C50C-407E-A947-70E740481C1C}"/>
                      </a:extLst>
                    </a:blip>
                    <a:srcRect/>
                    <a:stretch>
                      <a:fillRect/>
                    </a:stretch>
                  </pic:blipFill>
                  <pic:spPr bwMode="auto">
                    <a:xfrm>
                      <a:off x="0" y="0"/>
                      <a:ext cx="2511425" cy="205740"/>
                    </a:xfrm>
                    <a:prstGeom prst="rect">
                      <a:avLst/>
                    </a:prstGeom>
                    <a:noFill/>
                  </pic:spPr>
                </pic:pic>
              </a:graphicData>
            </a:graphic>
          </wp:anchor>
        </w:drawing>
      </w:r>
    </w:p>
    <w:p>
      <w:pPr>
        <w:spacing w:after="0" w:line="2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2022, there was $2,583 of unrecognized compensation expense related to unvested option awards that is expected to be recognized over a weighted-average period of 2.6 years.</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Net cash proceeds from the exercise of stock options were $15, $246 and $3,222 for the years ended December 31, 2022, 2021, and 2020, respectively. As a result of the Company's net operating loss carryforward position, no actual income tax benefit was realized from stock option exercises for these periods.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as of December 31, 2022:</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20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4"/>
                <w:szCs w:val="14"/>
                <w:b w:val="1"/>
                <w:bCs w:val="1"/>
                <w:color w:val="auto"/>
              </w:rPr>
              <w:t>Options outstanding</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Options exercisable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vMerge w:val="restart"/>
          </w:tcPr>
          <w:p>
            <w:pPr>
              <w:jc w:val="center"/>
              <w:ind w:right="60"/>
              <w:spacing w:after="0"/>
              <w:rPr>
                <w:sz w:val="20"/>
                <w:szCs w:val="20"/>
                <w:color w:val="auto"/>
              </w:rPr>
            </w:pPr>
            <w:r>
              <w:rPr>
                <w:rFonts w:ascii="Arial" w:cs="Arial" w:eastAsia="Arial" w:hAnsi="Arial"/>
                <w:sz w:val="14"/>
                <w:szCs w:val="14"/>
                <w:b w:val="1"/>
                <w:bCs w:val="1"/>
                <w:color w:val="auto"/>
                <w:w w:val="94"/>
              </w:rPr>
              <w:t>Weighted-</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vMerge w:val="restart"/>
          </w:tcPr>
          <w:p>
            <w:pPr>
              <w:jc w:val="center"/>
              <w:ind w:right="80"/>
              <w:spacing w:after="0"/>
              <w:rPr>
                <w:sz w:val="20"/>
                <w:szCs w:val="20"/>
                <w:color w:val="auto"/>
              </w:rPr>
            </w:pPr>
            <w:r>
              <w:rPr>
                <w:rFonts w:ascii="Arial" w:cs="Arial" w:eastAsia="Arial" w:hAnsi="Arial"/>
                <w:sz w:val="14"/>
                <w:szCs w:val="14"/>
                <w:b w:val="1"/>
                <w:bCs w:val="1"/>
                <w:color w:val="auto"/>
                <w:w w:val="91"/>
              </w:rPr>
              <w:t>Weighted-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Exercise</w:t>
            </w:r>
          </w:p>
        </w:tc>
        <w:tc>
          <w:tcPr>
            <w:tcW w:w="160" w:type="dxa"/>
            <w:vAlign w:val="bottom"/>
          </w:tcPr>
          <w:p>
            <w:pPr>
              <w:spacing w:after="0"/>
              <w:rPr>
                <w:sz w:val="12"/>
                <w:szCs w:val="12"/>
                <w:color w:val="auto"/>
              </w:rPr>
            </w:pPr>
          </w:p>
        </w:tc>
        <w:tc>
          <w:tcPr>
            <w:tcW w:w="96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Exercise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vMerge w:val="restart"/>
          </w:tcPr>
          <w:p>
            <w:pPr>
              <w:spacing w:after="0"/>
              <w:rPr>
                <w:sz w:val="20"/>
                <w:szCs w:val="20"/>
                <w:color w:val="auto"/>
              </w:rPr>
            </w:pPr>
            <w:r>
              <w:rPr>
                <w:rFonts w:ascii="Arial" w:cs="Arial" w:eastAsia="Arial" w:hAnsi="Arial"/>
                <w:sz w:val="14"/>
                <w:szCs w:val="14"/>
                <w:b w:val="1"/>
                <w:bCs w:val="1"/>
                <w:color w:val="auto"/>
              </w:rPr>
              <w:t>Range of exercise prices</w:t>
            </w: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Term</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Price Per</w:t>
            </w: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Price Per</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8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Outstanding</w:t>
            </w:r>
          </w:p>
        </w:tc>
        <w:tc>
          <w:tcPr>
            <w:tcW w:w="20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2"/>
              </w:rPr>
              <w:t>Share</w:t>
            </w:r>
          </w:p>
        </w:tc>
        <w:tc>
          <w:tcPr>
            <w:tcW w:w="160" w:type="dxa"/>
            <w:vAlign w:val="bottom"/>
          </w:tcPr>
          <w:p>
            <w:pPr>
              <w:spacing w:after="0"/>
              <w:rPr>
                <w:sz w:val="16"/>
                <w:szCs w:val="16"/>
                <w:color w:val="auto"/>
              </w:rPr>
            </w:pP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Exercisable</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2"/>
              </w:rPr>
              <w:t>Share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80" w:type="dxa"/>
            <w:vAlign w:val="bottom"/>
            <w:shd w:val="clear" w:color="auto" w:fill="CFF0FC"/>
          </w:tcPr>
          <w:p>
            <w:pPr>
              <w:spacing w:after="0"/>
              <w:rPr>
                <w:sz w:val="20"/>
                <w:szCs w:val="20"/>
                <w:color w:val="auto"/>
              </w:rPr>
            </w:pPr>
            <w:r>
              <w:rPr>
                <w:rFonts w:ascii="Arial" w:cs="Arial" w:eastAsia="Arial" w:hAnsi="Arial"/>
                <w:sz w:val="18"/>
                <w:szCs w:val="18"/>
                <w:color w:val="auto"/>
              </w:rPr>
              <w:t>$5.37-$8.86</w:t>
            </w:r>
          </w:p>
        </w:tc>
        <w:tc>
          <w:tcPr>
            <w:tcW w:w="1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w:t>
            </w:r>
          </w:p>
        </w:tc>
        <w:tc>
          <w:tcPr>
            <w:tcW w:w="2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w:t>
            </w: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80" w:type="dxa"/>
            <w:vAlign w:val="bottom"/>
          </w:tcPr>
          <w:p>
            <w:pPr>
              <w:spacing w:after="0"/>
              <w:rPr>
                <w:sz w:val="20"/>
                <w:szCs w:val="20"/>
                <w:color w:val="auto"/>
              </w:rPr>
            </w:pPr>
            <w:r>
              <w:rPr>
                <w:rFonts w:ascii="Arial" w:cs="Arial" w:eastAsia="Arial" w:hAnsi="Arial"/>
                <w:sz w:val="18"/>
                <w:szCs w:val="18"/>
                <w:color w:val="auto"/>
              </w:rPr>
              <w:t>$8.87-$13.31</w:t>
            </w:r>
          </w:p>
        </w:tc>
        <w:tc>
          <w:tcPr>
            <w:tcW w:w="2140" w:type="dxa"/>
            <w:vAlign w:val="bottom"/>
            <w:gridSpan w:val="3"/>
          </w:tcPr>
          <w:p>
            <w:pPr>
              <w:jc w:val="right"/>
              <w:spacing w:after="0"/>
              <w:rPr>
                <w:sz w:val="20"/>
                <w:szCs w:val="20"/>
                <w:color w:val="auto"/>
              </w:rPr>
            </w:pPr>
            <w:r>
              <w:rPr>
                <w:rFonts w:ascii="Arial" w:cs="Arial" w:eastAsia="Arial" w:hAnsi="Arial"/>
                <w:sz w:val="18"/>
                <w:szCs w:val="18"/>
                <w:color w:val="auto"/>
              </w:rPr>
              <w:t>362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357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$14.95-$22.43</w:t>
            </w:r>
          </w:p>
        </w:tc>
        <w:tc>
          <w:tcPr>
            <w:tcW w:w="1180" w:type="dxa"/>
            <w:vAlign w:val="bottom"/>
            <w:tcBorders>
              <w:bottom w:val="single" w:sz="8" w:color="CFF0FC"/>
            </w:tcBorders>
            <w:gridSpan w:val="2"/>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11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16.79</w:t>
            </w:r>
          </w:p>
        </w:tc>
        <w:tc>
          <w:tcPr>
            <w:tcW w:w="16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1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17.30</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80" w:type="dxa"/>
            <w:vAlign w:val="bottom"/>
          </w:tcPr>
          <w:p>
            <w:pPr>
              <w:spacing w:after="0"/>
              <w:rPr>
                <w:sz w:val="20"/>
                <w:szCs w:val="20"/>
                <w:color w:val="auto"/>
              </w:rPr>
            </w:pPr>
          </w:p>
        </w:tc>
        <w:tc>
          <w:tcPr>
            <w:tcW w:w="2140" w:type="dxa"/>
            <w:vAlign w:val="bottom"/>
            <w:gridSpan w:val="3"/>
          </w:tcPr>
          <w:p>
            <w:pPr>
              <w:jc w:val="right"/>
              <w:spacing w:after="0"/>
              <w:rPr>
                <w:sz w:val="20"/>
                <w:szCs w:val="20"/>
                <w:color w:val="auto"/>
              </w:rPr>
            </w:pPr>
            <w:r>
              <w:rPr>
                <w:rFonts w:ascii="Arial" w:cs="Arial" w:eastAsia="Arial" w:hAnsi="Arial"/>
                <w:sz w:val="18"/>
                <w:szCs w:val="18"/>
                <w:color w:val="auto"/>
              </w:rPr>
              <w:t>1,758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10.25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1,045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10.67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-187960</wp:posOffset>
            </wp:positionV>
            <wp:extent cx="60325" cy="18859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4">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-187960</wp:posOffset>
            </wp:positionV>
            <wp:extent cx="51435" cy="18859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5">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18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Stock Plan also permits the Company to grant restricted shares and restricted units of the Company's common stock to eligible employees, including officers, and the Company's outside directors. Generally, these shares or units are nontransferable until vested and are subject to vesting requirements and/or forfeiture, as determined by the Company's Compensation Committee or Board of Directors. The market value of these shares and units at the date of grant is recognized on a straight-line basis over the period during which the vesting restrictions lapse. Compensation cost of $9,169, $4,094 and $4,094 related to restricted shares was recognized during the years ended December 31, 2022, 2021, and 2020,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stock award and restricted stock units activity under the Stock Plan:</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ind w:right="97"/>
              <w:spacing w:after="0"/>
              <w:rPr>
                <w:sz w:val="20"/>
                <w:szCs w:val="20"/>
                <w:color w:val="auto"/>
              </w:rPr>
            </w:pPr>
            <w:r>
              <w:rPr>
                <w:rFonts w:ascii="Arial" w:cs="Arial" w:eastAsia="Arial" w:hAnsi="Arial"/>
                <w:sz w:val="14"/>
                <w:szCs w:val="14"/>
                <w:b w:val="1"/>
                <w:bCs w:val="1"/>
                <w:color w:val="auto"/>
                <w:w w:val="94"/>
              </w:rPr>
              <w:t>Weighted-</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760" w:type="dxa"/>
            <w:vAlign w:val="bottom"/>
            <w:vMerge w:val="restart"/>
          </w:tcPr>
          <w:p>
            <w:pPr>
              <w:ind w:left="420"/>
              <w:spacing w:after="0"/>
              <w:rPr>
                <w:sz w:val="20"/>
                <w:szCs w:val="20"/>
                <w:color w:val="auto"/>
              </w:rPr>
            </w:pPr>
            <w:r>
              <w:rPr>
                <w:rFonts w:ascii="Arial" w:cs="Arial" w:eastAsia="Arial" w:hAnsi="Arial"/>
                <w:sz w:val="14"/>
                <w:szCs w:val="14"/>
                <w:b w:val="1"/>
                <w:bCs w:val="1"/>
                <w:color w:val="auto"/>
                <w:w w:val="91"/>
              </w:rPr>
              <w:t>Units</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6"/>
              </w:rPr>
              <w:t>Date Fair</w:t>
            </w: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0"/>
              </w:rPr>
              <w:t>Value</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Issued and unvested, January 1, 2022</w:t>
            </w:r>
          </w:p>
        </w:tc>
        <w:tc>
          <w:tcPr>
            <w:tcW w:w="760" w:type="dxa"/>
            <w:vAlign w:val="bottom"/>
            <w:shd w:val="clear" w:color="auto" w:fill="CFF0FC"/>
          </w:tcPr>
          <w:p>
            <w:pPr>
              <w:spacing w:after="0"/>
              <w:rPr>
                <w:sz w:val="20"/>
                <w:szCs w:val="20"/>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11.53</w:t>
            </w: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680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2,995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6.45</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680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Vested</w:t>
            </w: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(750 )</w:t>
            </w:r>
          </w:p>
        </w:tc>
        <w:tc>
          <w:tcPr>
            <w:tcW w:w="1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604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760" w:type="dxa"/>
            <w:vAlign w:val="bottom"/>
          </w:tcPr>
          <w:p>
            <w:pPr>
              <w:spacing w:after="0"/>
              <w:rPr>
                <w:sz w:val="21"/>
                <w:szCs w:val="21"/>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(373 )</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9.47</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1140" w:type="dxa"/>
            <w:vAlign w:val="bottom"/>
          </w:tcPr>
          <w:p>
            <w:pPr>
              <w:spacing w:after="0"/>
              <w:rPr>
                <w:sz w:val="24"/>
                <w:szCs w:val="24"/>
                <w:color w:val="auto"/>
              </w:rPr>
            </w:pPr>
          </w:p>
        </w:tc>
        <w:tc>
          <w:tcPr>
            <w:tcW w:w="6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Issued and unvested, December 31, 2022</w:t>
            </w:r>
          </w:p>
        </w:tc>
        <w:tc>
          <w:tcPr>
            <w:tcW w:w="760" w:type="dxa"/>
            <w:vAlign w:val="bottom"/>
            <w:tcBorders>
              <w:top w:val="single" w:sz="8" w:color="auto"/>
              <w:bottom w:val="single" w:sz="8" w:color="auto"/>
            </w:tcBorders>
            <w:shd w:val="clear" w:color="auto" w:fill="CFF0FC"/>
          </w:tcPr>
          <w:p>
            <w:pPr>
              <w:spacing w:after="0"/>
              <w:rPr>
                <w:sz w:val="24"/>
                <w:szCs w:val="24"/>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2,573</w:t>
            </w: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w:t>
            </w:r>
          </w:p>
        </w:tc>
        <w:tc>
          <w:tcPr>
            <w:tcW w:w="80" w:type="dxa"/>
            <w:vAlign w:val="bottom"/>
            <w:tcBorders>
              <w:bottom w:val="single" w:sz="8" w:color="CFF0FC"/>
            </w:tcBorders>
            <w:shd w:val="clear" w:color="auto" w:fill="CFF0FC"/>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6040" w:type="dxa"/>
            <w:vAlign w:val="bottom"/>
          </w:tcPr>
          <w:p>
            <w:pPr>
              <w:ind w:left="180"/>
              <w:spacing w:after="0"/>
              <w:rPr>
                <w:sz w:val="20"/>
                <w:szCs w:val="20"/>
                <w:color w:val="auto"/>
              </w:rPr>
            </w:pPr>
            <w:r>
              <w:rPr>
                <w:rFonts w:ascii="Arial" w:cs="Arial" w:eastAsia="Arial" w:hAnsi="Arial"/>
                <w:sz w:val="18"/>
                <w:szCs w:val="18"/>
                <w:color w:val="auto"/>
              </w:rPr>
              <w:t>Issued and expected to vest, December 31, 2022</w:t>
            </w:r>
          </w:p>
        </w:tc>
        <w:tc>
          <w:tcPr>
            <w:tcW w:w="7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2,538</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6800" w:type="dxa"/>
            <w:vAlign w:val="bottom"/>
            <w:gridSpan w:val="2"/>
          </w:tcPr>
          <w:p>
            <w:pPr>
              <w:ind w:left="4320"/>
              <w:spacing w:after="0"/>
              <w:rPr>
                <w:sz w:val="20"/>
                <w:szCs w:val="20"/>
                <w:color w:val="auto"/>
              </w:rPr>
            </w:pPr>
            <w:r>
              <w:rPr>
                <w:rFonts w:ascii="Arial" w:cs="Arial" w:eastAsia="Arial" w:hAnsi="Arial"/>
                <w:sz w:val="18"/>
                <w:szCs w:val="18"/>
                <w:color w:val="auto"/>
              </w:rPr>
              <w:t>F-26</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140" w:type="dxa"/>
            <w:vAlign w:val="bottom"/>
            <w:tcBorders>
              <w:bottom w:val="single" w:sz="8" w:color="9A9A9A"/>
            </w:tcBorders>
          </w:tcPr>
          <w:p>
            <w:pPr>
              <w:spacing w:after="0"/>
              <w:rPr>
                <w:sz w:val="24"/>
                <w:szCs w:val="24"/>
                <w:color w:val="auto"/>
              </w:rPr>
            </w:pPr>
          </w:p>
        </w:tc>
        <w:tc>
          <w:tcPr>
            <w:tcW w:w="60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-719455</wp:posOffset>
            </wp:positionV>
            <wp:extent cx="1105535" cy="2057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6">
                      <a:extLst>
                        <a:ext uri="{28A0092B-C50C-407E-A947-70E740481C1C}"/>
                      </a:extLst>
                    </a:blip>
                    <a:srcRect/>
                    <a:stretch>
                      <a:fillRect/>
                    </a:stretch>
                  </pic:blipFill>
                  <pic:spPr bwMode="auto">
                    <a:xfrm>
                      <a:off x="0" y="0"/>
                      <a:ext cx="1105535" cy="20574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0" w:name="page101"/>
    <w:bookmarkEnd w:id="100"/>
    <w:p>
      <w:pPr>
        <w:jc w:val="both"/>
        <w:spacing w:after="0" w:line="277" w:lineRule="auto"/>
        <w:rPr>
          <w:sz w:val="20"/>
          <w:szCs w:val="20"/>
          <w:color w:val="auto"/>
        </w:rPr>
      </w:pPr>
      <w:r>
        <w:rPr>
          <w:rFonts w:ascii="Arial" w:cs="Arial" w:eastAsia="Arial" w:hAnsi="Arial"/>
          <w:sz w:val="18"/>
          <w:szCs w:val="18"/>
          <w:color w:val="auto"/>
        </w:rPr>
        <w:t>As of December 31, 2022, there was $11,185 of unrecognized compensation expense related to unvested restricted stock awards and unvested restricted stock units that is expected to be recognized over a weighted average period of 1.8 years.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vesting of restricted shares during the years ended December 31, 2022, 2021, and 2020, the Company purchased and immediately retired 241, 107 and 127 shares with aggregate values of $1,621, $1,417 and $1,219, respectively, in satisfaction of minimum tax withholding and exercise obligations.</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grants performance-based restricted stock units (“PSUs”) to certain executives. Vesting of these PSUs is dependent upon achievement of certain performance-based metrics during a one-year or three-year period, from the date of grant. Assuming achievement of each performance-based metric, the executive must also generally remain in the Company's service for three years from the grant date. Prior to 2021, performance during the one-year period was based on a one-year income before tax target. Performance during the three-year period was based on achievement of a three-year compound annual growth rate for consolidated revenues. In 2021 and 2022, performance shares were granted based on the achievement of three-year cumulative revenue metrics with a market-based condition, or a total shareholder return modifier. PSUs are converted into shares of the Company's common stock once vested and the number of shares actually earned at the end of the performance period will vary, based on actual performance, from 0% to 200% of the target number of performance share units granted. Upon grant of the PSUs, the Company recognizes compensation expense related to these awards based on assumptions as to what percentage of each target will be achieved. The Company evaluates these target assumptions on a quarterly basis and adjusts compensation expense related to these awards, as appropriate.</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Compensation cost of $938, $2,650 and $2,153 related to the PSUs was recognized during the years ended December 31, 2022, 2021, and 2020,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PSU activity under the Stock Plan:</w:t>
      </w:r>
    </w:p>
    <w:p>
      <w:pPr>
        <w:spacing w:after="0" w:line="24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75"/>
              <w:spacing w:after="0"/>
              <w:rPr>
                <w:sz w:val="20"/>
                <w:szCs w:val="20"/>
                <w:color w:val="auto"/>
              </w:rPr>
            </w:pPr>
            <w:r>
              <w:rPr>
                <w:rFonts w:ascii="Arial" w:cs="Arial" w:eastAsia="Arial" w:hAnsi="Arial"/>
                <w:sz w:val="14"/>
                <w:szCs w:val="14"/>
                <w:b w:val="1"/>
                <w:bCs w:val="1"/>
                <w:color w:val="auto"/>
                <w:w w:val="91"/>
              </w:rPr>
              <w:t>Weighted-</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tcPr>
          <w:p>
            <w:pPr>
              <w:spacing w:after="0"/>
              <w:rPr>
                <w:sz w:val="12"/>
                <w:szCs w:val="12"/>
                <w:color w:val="auto"/>
              </w:rPr>
            </w:pPr>
          </w:p>
        </w:tc>
        <w:tc>
          <w:tcPr>
            <w:tcW w:w="90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Units</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6"/>
              </w:rPr>
              <w:t>Date Fair</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38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0"/>
              </w:rPr>
              <w:t>Value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Issued and unvested, January 1, 2022</w:t>
            </w:r>
          </w:p>
        </w:tc>
        <w:tc>
          <w:tcPr>
            <w:tcW w:w="900" w:type="dxa"/>
            <w:vAlign w:val="bottom"/>
            <w:shd w:val="clear" w:color="auto" w:fill="CFF0FC"/>
          </w:tcPr>
          <w:p>
            <w:pPr>
              <w:spacing w:after="0"/>
              <w:rPr>
                <w:sz w:val="20"/>
                <w:szCs w:val="20"/>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280" w:type="dxa"/>
            <w:vAlign w:val="bottom"/>
            <w:gridSpan w:val="2"/>
          </w:tcPr>
          <w:p>
            <w:pPr>
              <w:ind w:left="180"/>
              <w:spacing w:after="0" w:line="243"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4"/>
                <w:szCs w:val="24"/>
                <w:color w:val="auto"/>
                <w:vertAlign w:val="superscript"/>
              </w:rPr>
              <w:t>(1)</w:t>
            </w:r>
          </w:p>
        </w:tc>
        <w:tc>
          <w:tcPr>
            <w:tcW w:w="440" w:type="dxa"/>
            <w:vAlign w:val="bottom"/>
          </w:tcPr>
          <w:p>
            <w:pPr>
              <w:jc w:val="right"/>
              <w:spacing w:after="0"/>
              <w:rPr>
                <w:sz w:val="20"/>
                <w:szCs w:val="20"/>
                <w:color w:val="auto"/>
              </w:rPr>
            </w:pPr>
            <w:r>
              <w:rPr>
                <w:rFonts w:ascii="Arial" w:cs="Arial" w:eastAsia="Arial" w:hAnsi="Arial"/>
                <w:sz w:val="18"/>
                <w:szCs w:val="18"/>
                <w:color w:val="auto"/>
              </w:rPr>
              <w:t>532</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80" w:type="dxa"/>
            <w:vAlign w:val="bottom"/>
            <w:gridSpan w:val="2"/>
            <w:shd w:val="clear" w:color="auto" w:fill="CFF0FC"/>
          </w:tcPr>
          <w:p>
            <w:pPr>
              <w:ind w:left="180"/>
              <w:spacing w:after="0" w:line="243" w:lineRule="exact"/>
              <w:rPr>
                <w:sz w:val="20"/>
                <w:szCs w:val="20"/>
                <w:color w:val="auto"/>
              </w:rPr>
            </w:pPr>
            <w:r>
              <w:rPr>
                <w:rFonts w:ascii="Arial" w:cs="Arial" w:eastAsia="Arial" w:hAnsi="Arial"/>
                <w:sz w:val="18"/>
                <w:szCs w:val="18"/>
                <w:color w:val="auto"/>
              </w:rPr>
              <w:t xml:space="preserve">Performance adjustment </w:t>
            </w:r>
            <w:r>
              <w:rPr>
                <w:rFonts w:ascii="Arial" w:cs="Arial" w:eastAsia="Arial" w:hAnsi="Arial"/>
                <w:sz w:val="24"/>
                <w:szCs w:val="24"/>
                <w:color w:val="auto"/>
                <w:vertAlign w:val="superscript"/>
              </w:rPr>
              <w:t>(2)</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80" w:type="dxa"/>
            <w:vAlign w:val="bottom"/>
            <w:gridSpan w:val="2"/>
          </w:tcPr>
          <w:p>
            <w:pPr>
              <w:ind w:left="180"/>
              <w:spacing w:after="0"/>
              <w:rPr>
                <w:sz w:val="20"/>
                <w:szCs w:val="20"/>
                <w:color w:val="auto"/>
              </w:rPr>
            </w:pPr>
            <w:r>
              <w:rPr>
                <w:rFonts w:ascii="Arial" w:cs="Arial" w:eastAsia="Arial" w:hAnsi="Arial"/>
                <w:sz w:val="18"/>
                <w:szCs w:val="18"/>
                <w:color w:val="auto"/>
              </w:rPr>
              <w:t>Vested</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(241 )</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3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Forfeited</w:t>
            </w:r>
          </w:p>
        </w:tc>
        <w:tc>
          <w:tcPr>
            <w:tcW w:w="90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(234 )</w:t>
            </w: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10.50</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38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Issued and unvested, December 31, 2022</w:t>
            </w:r>
          </w:p>
        </w:tc>
        <w:tc>
          <w:tcPr>
            <w:tcW w:w="90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18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w:t>
            </w:r>
          </w:p>
        </w:tc>
        <w:tc>
          <w:tcPr>
            <w:tcW w:w="8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3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Issued and expected to vest, December 31, 2022</w:t>
            </w:r>
          </w:p>
        </w:tc>
        <w:tc>
          <w:tcPr>
            <w:tcW w:w="900" w:type="dxa"/>
            <w:vAlign w:val="bottom"/>
            <w:tcBorders>
              <w:bottom w:val="single" w:sz="8" w:color="auto"/>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698</w:t>
            </w:r>
          </w:p>
        </w:tc>
        <w:tc>
          <w:tcPr>
            <w:tcW w:w="1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6.82</w:t>
            </w:r>
          </w:p>
        </w:tc>
        <w:tc>
          <w:tcPr>
            <w:tcW w:w="8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-367665</wp:posOffset>
            </wp:positionV>
            <wp:extent cx="51435" cy="18859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9">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-367665</wp:posOffset>
            </wp:positionV>
            <wp:extent cx="51435" cy="18859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0">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-24765</wp:posOffset>
            </wp:positionV>
            <wp:extent cx="5143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-7620</wp:posOffset>
            </wp:positionV>
            <wp:extent cx="5143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50" w:lineRule="exact"/>
        <w:rPr>
          <w:sz w:val="20"/>
          <w:szCs w:val="20"/>
          <w:color w:val="auto"/>
        </w:rPr>
      </w:pPr>
    </w:p>
    <w:p>
      <w:pPr>
        <w:ind w:left="440" w:hanging="432"/>
        <w:spacing w:after="0"/>
        <w:tabs>
          <w:tab w:leader="none" w:pos="440" w:val="left"/>
        </w:tabs>
        <w:numPr>
          <w:ilvl w:val="0"/>
          <w:numId w:val="51"/>
        </w:numPr>
        <w:rPr>
          <w:rFonts w:ascii="Arial" w:cs="Arial" w:eastAsia="Arial" w:hAnsi="Arial"/>
          <w:sz w:val="24"/>
          <w:szCs w:val="24"/>
          <w:color w:val="auto"/>
          <w:vertAlign w:val="superscript"/>
        </w:rPr>
      </w:pPr>
      <w:r>
        <w:rPr>
          <w:rFonts w:ascii="Arial" w:cs="Arial" w:eastAsia="Arial" w:hAnsi="Arial"/>
          <w:sz w:val="18"/>
          <w:szCs w:val="18"/>
          <w:color w:val="auto"/>
        </w:rPr>
        <w:t>Grant activity for all PSUs disclosed at target.</w:t>
      </w:r>
    </w:p>
    <w:p>
      <w:pPr>
        <w:spacing w:after="0" w:line="15" w:lineRule="exact"/>
        <w:rPr>
          <w:rFonts w:ascii="Arial" w:cs="Arial" w:eastAsia="Arial" w:hAnsi="Arial"/>
          <w:sz w:val="24"/>
          <w:szCs w:val="24"/>
          <w:color w:val="auto"/>
          <w:vertAlign w:val="superscript"/>
        </w:rPr>
      </w:pPr>
    </w:p>
    <w:p>
      <w:pPr>
        <w:ind w:left="460" w:hanging="452"/>
        <w:spacing w:after="0" w:line="186" w:lineRule="auto"/>
        <w:tabs>
          <w:tab w:leader="none" w:pos="460" w:val="left"/>
        </w:tabs>
        <w:numPr>
          <w:ilvl w:val="0"/>
          <w:numId w:val="51"/>
        </w:numPr>
        <w:rPr>
          <w:rFonts w:ascii="Arial" w:cs="Arial" w:eastAsia="Arial" w:hAnsi="Arial"/>
          <w:sz w:val="24"/>
          <w:szCs w:val="24"/>
          <w:color w:val="auto"/>
          <w:vertAlign w:val="superscript"/>
        </w:rPr>
      </w:pPr>
      <w:r>
        <w:rPr>
          <w:rFonts w:ascii="Arial" w:cs="Arial" w:eastAsia="Arial" w:hAnsi="Arial"/>
          <w:sz w:val="18"/>
          <w:szCs w:val="18"/>
          <w:color w:val="auto"/>
        </w:rPr>
        <w:t>Reflects the performance adjustment based on actual performance measured at the end of the performance period.</w:t>
      </w:r>
    </w:p>
    <w:p>
      <w:pPr>
        <w:spacing w:after="0" w:line="2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2022, there was $316 of unrecognized compensation expense related to unvested performance stock units that is expected to be recognized over a weighted average period of 1.6 years.</w:t>
      </w:r>
    </w:p>
    <w:p>
      <w:pPr>
        <w:spacing w:after="0" w:line="319"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In connection with the vesting of performance stock units during the year ended December 31, 2022, 2021 and 2020, we purchased and immediately retired 88, 46, and 121 shares with aggregate values of $633, $696 and $869, respectively.</w:t>
      </w:r>
    </w:p>
    <w:p>
      <w:pPr>
        <w:spacing w:after="0" w:line="252"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Public Offering</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 2020, the Company entered into an underwriting agreement with J.P. Morgan Securities LLC, Citigroup Global Markets Inc. and Evercore Group LLC, as representatives of several underwriters, relating to the issuance and sale of 8,000 shares of the Company's common stock. The price to the public in the offering was $11.00 per share. Under the terms of the underwriting agreement, the Company also granted the underwriters an option, exercisable for 30 days, to purchase up to an additional 1,200 shares of common stock. On June 3, 2020, the Company announced the full exercise by the underwriters of their option to purchase these additional shares.</w:t>
      </w:r>
    </w:p>
    <w:p>
      <w:pPr>
        <w:spacing w:after="0" w:line="22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offering was made pursuant to an effective registration statement on Form S-3 (File No. 333-228877) the Company had previously filed with the SEC, and a prospectus supplement thereunder. The net proceeds from the offering were approximately $95,000 after deducting underwriting discounts and offering expenses paid by the Company.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01" w:name="page102"/>
    <w:bookmarkEnd w:id="101"/>
    <w:p>
      <w:pPr>
        <w:ind w:left="520"/>
        <w:spacing w:after="0"/>
        <w:rPr>
          <w:sz w:val="20"/>
          <w:szCs w:val="20"/>
          <w:color w:val="auto"/>
        </w:rPr>
      </w:pPr>
      <w:r>
        <w:rPr>
          <w:rFonts w:ascii="Arial" w:cs="Arial" w:eastAsia="Arial" w:hAnsi="Arial"/>
          <w:sz w:val="18"/>
          <w:szCs w:val="18"/>
          <w:i w:val="1"/>
          <w:iCs w:val="1"/>
          <w:color w:val="auto"/>
        </w:rPr>
        <w:t>Share Repurchase Program</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On August 5, 2008, the Company's Board of Directors approved a share repurchase program pursuant to which the Company is permitted to acquire up to $25,000 of the Company's outstanding common shares. No shares were purchased and retired in 2022, 2021, and 2020.</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TRANSITION COSTS</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December 31, 2021, the Company's Board of Directors approved the termination of Stephen S. Tang, the Company’s President and Chief Executive Officer, without cause under his existing employment agreement with the Company, with such termination effective as of March 31, 2022. On January 2, 2022, Dr. Tang and the Company entered into a Transition Agreement providing for the terms of the cessation of Dr. Tang’s employment with the Company, including the cessation of his service as President and Chief Executive Officer of the Company and as a member of the Board. Under the Transition Agreement, Dr. Tang’s service to the Company in all capacities ended on March 31, 2022.</w:t>
      </w:r>
    </w:p>
    <w:p>
      <w:pPr>
        <w:spacing w:after="0" w:line="2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the Transition Agreement, Dr. Tang received severance of $1,569, which was accrued in the consolidated financial statements at December 31, 2021 and paid in April 2022. Additionally, in accordance with his Transition Agreement, certain of his unvested time-vesting restricted stock awards and unvested PSUs that were outstanding at March 31, 2022 vested on April 8, 2022. His remaining unvested time-vesting restricted stock awards and PSUs were forfeited on March 31, 2022. These payments, rights and benefits are substantially similar to the severance benefits contemplated by his previous employment agreement in respect to a termination without cause thereunder. In aggregate, the Company recognized $1,508 of expense in relation to Dr. Tang's stock compensation for the year ended December 31, 2022.</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BUSINESS SEGMENT INFORMATION:</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business consists of two segments, which are described in Note 1: the Company's “Diagnostics” segment and the Company's “Molecular Solutions” segment.</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organized its operating segments according to the nature of the products included in those segments. The accounting policies of the segments are the same as those described in the summary of significant accounting policies (see Note 2). The Company evaluates performance of its operating segments based on revenue and operating income. The Company does not allocate interest income, interest expense, other income, other expenses or income taxes to its operating segments. Reportable segments have no inter-segment revenues and inter-segment expenses have been eliminated.</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operating segment information for the years ended December 31, 2022, 2021, and 2020, and asset information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and 2021:</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right"/>
              <w:ind w:right="127"/>
              <w:spacing w:after="0"/>
              <w:rPr>
                <w:sz w:val="20"/>
                <w:szCs w:val="20"/>
                <w:color w:val="auto"/>
              </w:rPr>
            </w:pPr>
            <w:r>
              <w:rPr>
                <w:rFonts w:ascii="Arial" w:cs="Arial" w:eastAsia="Arial" w:hAnsi="Arial"/>
                <w:sz w:val="14"/>
                <w:szCs w:val="14"/>
                <w:b w:val="1"/>
                <w:bCs w:val="1"/>
                <w:color w:val="auto"/>
              </w:rPr>
              <w:t>Years ended December 31,</w:t>
            </w: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69"/>
        </w:trPr>
        <w:tc>
          <w:tcPr>
            <w:tcW w:w="11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36"/>
        </w:trPr>
        <w:tc>
          <w:tcPr>
            <w:tcW w:w="1140" w:type="dxa"/>
            <w:vAlign w:val="bottom"/>
          </w:tcPr>
          <w:p>
            <w:pPr>
              <w:spacing w:after="0"/>
              <w:rPr>
                <w:sz w:val="20"/>
                <w:szCs w:val="20"/>
                <w:color w:val="auto"/>
              </w:rPr>
            </w:pPr>
          </w:p>
        </w:tc>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Net revenues:</w:t>
            </w:r>
          </w:p>
        </w:tc>
        <w:tc>
          <w:tcPr>
            <w:tcW w:w="1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237"/>
        </w:trPr>
        <w:tc>
          <w:tcPr>
            <w:tcW w:w="1140" w:type="dxa"/>
            <w:vAlign w:val="bottom"/>
          </w:tcPr>
          <w:p>
            <w:pPr>
              <w:spacing w:after="0"/>
              <w:rPr>
                <w:sz w:val="20"/>
                <w:szCs w:val="20"/>
                <w:color w:val="auto"/>
              </w:rPr>
            </w:pPr>
          </w:p>
        </w:tc>
        <w:tc>
          <w:tcPr>
            <w:tcW w:w="3280" w:type="dxa"/>
            <w:vAlign w:val="bottom"/>
          </w:tcPr>
          <w:p>
            <w:pPr>
              <w:ind w:left="180"/>
              <w:spacing w:after="0"/>
              <w:rPr>
                <w:sz w:val="20"/>
                <w:szCs w:val="20"/>
                <w:color w:val="auto"/>
              </w:rPr>
            </w:pPr>
            <w:r>
              <w:rPr>
                <w:rFonts w:ascii="Arial" w:cs="Arial" w:eastAsia="Arial" w:hAnsi="Arial"/>
                <w:sz w:val="18"/>
                <w:szCs w:val="18"/>
                <w:color w:val="auto"/>
              </w:rPr>
              <w:t>Diagnostics</w:t>
            </w:r>
          </w:p>
        </w:tc>
        <w:tc>
          <w:tcPr>
            <w:tcW w:w="22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303,673</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90,040</w:t>
            </w:r>
          </w:p>
        </w:tc>
        <w:tc>
          <w:tcPr>
            <w:tcW w:w="220" w:type="dxa"/>
            <w:vAlign w:val="bottom"/>
          </w:tcPr>
          <w:p>
            <w:pPr>
              <w:spacing w:after="0"/>
              <w:rPr>
                <w:sz w:val="20"/>
                <w:szCs w:val="20"/>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65,240</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32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Molecular Solutions</w:t>
            </w:r>
          </w:p>
        </w:tc>
        <w:tc>
          <w:tcPr>
            <w:tcW w:w="19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83,806</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143,634</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106,481</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7"/>
        </w:trPr>
        <w:tc>
          <w:tcPr>
            <w:tcW w:w="1140" w:type="dxa"/>
            <w:vAlign w:val="bottom"/>
          </w:tcPr>
          <w:p>
            <w:pPr>
              <w:spacing w:after="0"/>
              <w:rPr>
                <w:sz w:val="20"/>
                <w:szCs w:val="20"/>
                <w:color w:val="auto"/>
              </w:rPr>
            </w:pPr>
          </w:p>
        </w:tc>
        <w:tc>
          <w:tcPr>
            <w:tcW w:w="3280" w:type="dxa"/>
            <w:vAlign w:val="bottom"/>
          </w:tcPr>
          <w:p>
            <w:pPr>
              <w:ind w:left="360"/>
              <w:spacing w:after="0"/>
              <w:rPr>
                <w:sz w:val="20"/>
                <w:szCs w:val="20"/>
                <w:color w:val="auto"/>
              </w:rPr>
            </w:pPr>
            <w:r>
              <w:rPr>
                <w:rFonts w:ascii="Arial" w:cs="Arial" w:eastAsia="Arial" w:hAnsi="Arial"/>
                <w:sz w:val="18"/>
                <w:szCs w:val="18"/>
                <w:color w:val="auto"/>
              </w:rPr>
              <w:t>Total</w:t>
            </w:r>
          </w:p>
        </w:tc>
        <w:tc>
          <w:tcPr>
            <w:tcW w:w="22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387,479</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233,674</w:t>
            </w:r>
          </w:p>
        </w:tc>
        <w:tc>
          <w:tcPr>
            <w:tcW w:w="220" w:type="dxa"/>
            <w:vAlign w:val="bottom"/>
          </w:tcPr>
          <w:p>
            <w:pPr>
              <w:spacing w:after="0"/>
              <w:rPr>
                <w:sz w:val="20"/>
                <w:szCs w:val="20"/>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171,721</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0"/>
        </w:trPr>
        <w:tc>
          <w:tcPr>
            <w:tcW w:w="11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30"/>
        </w:trPr>
        <w:tc>
          <w:tcPr>
            <w:tcW w:w="1140" w:type="dxa"/>
            <w:vAlign w:val="bottom"/>
          </w:tcPr>
          <w:p>
            <w:pPr>
              <w:spacing w:after="0"/>
              <w:rPr>
                <w:sz w:val="19"/>
                <w:szCs w:val="19"/>
                <w:color w:val="auto"/>
              </w:rPr>
            </w:pPr>
          </w:p>
        </w:tc>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1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37"/>
        </w:trPr>
        <w:tc>
          <w:tcPr>
            <w:tcW w:w="1140" w:type="dxa"/>
            <w:vAlign w:val="bottom"/>
          </w:tcPr>
          <w:p>
            <w:pPr>
              <w:spacing w:after="0"/>
              <w:rPr>
                <w:sz w:val="20"/>
                <w:szCs w:val="20"/>
                <w:color w:val="auto"/>
              </w:rPr>
            </w:pPr>
          </w:p>
        </w:tc>
        <w:tc>
          <w:tcPr>
            <w:tcW w:w="3280" w:type="dxa"/>
            <w:vAlign w:val="bottom"/>
          </w:tcPr>
          <w:p>
            <w:pPr>
              <w:ind w:left="180"/>
              <w:spacing w:after="0"/>
              <w:rPr>
                <w:sz w:val="20"/>
                <w:szCs w:val="20"/>
                <w:color w:val="auto"/>
              </w:rPr>
            </w:pPr>
            <w:r>
              <w:rPr>
                <w:rFonts w:ascii="Arial" w:cs="Arial" w:eastAsia="Arial" w:hAnsi="Arial"/>
                <w:sz w:val="18"/>
                <w:szCs w:val="18"/>
                <w:color w:val="auto"/>
              </w:rPr>
              <w:t>Diagnostics</w:t>
            </w:r>
          </w:p>
        </w:tc>
        <w:tc>
          <w:tcPr>
            <w:tcW w:w="22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(598 )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(57,177 )</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(43,156 )</w:t>
            </w:r>
          </w:p>
        </w:tc>
        <w:tc>
          <w:tcPr>
            <w:tcW w:w="112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32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Molecular Solutions</w:t>
            </w:r>
          </w:p>
        </w:tc>
        <w:tc>
          <w:tcPr>
            <w:tcW w:w="19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(22,359 )</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47,013</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37,979</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3280" w:type="dxa"/>
            <w:vAlign w:val="bottom"/>
            <w:shd w:val="clear" w:color="auto" w:fill="CFF0FC"/>
          </w:tcPr>
          <w:p>
            <w:pPr>
              <w:spacing w:after="0" w:line="20" w:lineRule="exact"/>
              <w:rPr>
                <w:sz w:val="1"/>
                <w:szCs w:val="1"/>
                <w:color w:val="auto"/>
              </w:rPr>
            </w:pPr>
          </w:p>
        </w:tc>
        <w:tc>
          <w:tcPr>
            <w:tcW w:w="19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36"/>
        </w:trPr>
        <w:tc>
          <w:tcPr>
            <w:tcW w:w="1140" w:type="dxa"/>
            <w:vAlign w:val="bottom"/>
          </w:tcPr>
          <w:p>
            <w:pPr>
              <w:spacing w:after="0"/>
              <w:rPr>
                <w:sz w:val="20"/>
                <w:szCs w:val="20"/>
                <w:color w:val="auto"/>
              </w:rPr>
            </w:pPr>
          </w:p>
        </w:tc>
        <w:tc>
          <w:tcPr>
            <w:tcW w:w="3280" w:type="dxa"/>
            <w:vAlign w:val="bottom"/>
          </w:tcPr>
          <w:p>
            <w:pPr>
              <w:ind w:left="360"/>
              <w:spacing w:after="0"/>
              <w:rPr>
                <w:sz w:val="20"/>
                <w:szCs w:val="20"/>
                <w:color w:val="auto"/>
              </w:rPr>
            </w:pPr>
            <w:r>
              <w:rPr>
                <w:rFonts w:ascii="Arial" w:cs="Arial" w:eastAsia="Arial" w:hAnsi="Arial"/>
                <w:sz w:val="18"/>
                <w:szCs w:val="18"/>
                <w:color w:val="auto"/>
              </w:rPr>
              <w:t>Total</w:t>
            </w:r>
          </w:p>
        </w:tc>
        <w:tc>
          <w:tcPr>
            <w:tcW w:w="196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 xml:space="preserve">(22,957 </w:t>
            </w:r>
            <w:r>
              <w:rPr>
                <w:rFonts w:ascii="Arial" w:cs="Arial" w:eastAsia="Arial" w:hAnsi="Arial"/>
                <w:sz w:val="18"/>
                <w:szCs w:val="18"/>
                <w:color w:val="auto"/>
                <w:highlight w:val="white"/>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 xml:space="preserve">(10,164 </w:t>
            </w:r>
            <w:r>
              <w:rPr>
                <w:rFonts w:ascii="Arial" w:cs="Arial" w:eastAsia="Arial" w:hAnsi="Arial"/>
                <w:sz w:val="18"/>
                <w:szCs w:val="18"/>
                <w:color w:val="auto"/>
                <w:highlight w:val="white"/>
              </w:rPr>
              <w:t>)</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 xml:space="preserve">(5,177 </w:t>
            </w:r>
            <w:r>
              <w:rPr>
                <w:rFonts w:ascii="Arial" w:cs="Arial" w:eastAsia="Arial" w:hAnsi="Arial"/>
                <w:sz w:val="18"/>
                <w:szCs w:val="18"/>
                <w:color w:val="auto"/>
                <w:highlight w:val="white"/>
              </w:rPr>
              <w:t>)</w:t>
            </w:r>
          </w:p>
        </w:tc>
        <w:tc>
          <w:tcPr>
            <w:tcW w:w="1120" w:type="dxa"/>
            <w:vAlign w:val="bottom"/>
          </w:tcPr>
          <w:p>
            <w:pPr>
              <w:spacing w:after="0"/>
              <w:rPr>
                <w:sz w:val="20"/>
                <w:szCs w:val="20"/>
                <w:color w:val="auto"/>
              </w:rPr>
            </w:pPr>
          </w:p>
        </w:tc>
      </w:tr>
      <w:tr>
        <w:trPr>
          <w:trHeight w:val="20"/>
        </w:trPr>
        <w:tc>
          <w:tcPr>
            <w:tcW w:w="11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30"/>
        </w:trPr>
        <w:tc>
          <w:tcPr>
            <w:tcW w:w="1140" w:type="dxa"/>
            <w:vAlign w:val="bottom"/>
          </w:tcPr>
          <w:p>
            <w:pPr>
              <w:spacing w:after="0"/>
              <w:rPr>
                <w:sz w:val="19"/>
                <w:szCs w:val="19"/>
                <w:color w:val="auto"/>
              </w:rPr>
            </w:pPr>
          </w:p>
        </w:tc>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37"/>
        </w:trPr>
        <w:tc>
          <w:tcPr>
            <w:tcW w:w="1140" w:type="dxa"/>
            <w:vAlign w:val="bottom"/>
          </w:tcPr>
          <w:p>
            <w:pPr>
              <w:spacing w:after="0"/>
              <w:rPr>
                <w:sz w:val="20"/>
                <w:szCs w:val="20"/>
                <w:color w:val="auto"/>
              </w:rPr>
            </w:pPr>
          </w:p>
        </w:tc>
        <w:tc>
          <w:tcPr>
            <w:tcW w:w="3280" w:type="dxa"/>
            <w:vAlign w:val="bottom"/>
          </w:tcPr>
          <w:p>
            <w:pPr>
              <w:ind w:left="180"/>
              <w:spacing w:after="0"/>
              <w:rPr>
                <w:sz w:val="20"/>
                <w:szCs w:val="20"/>
                <w:color w:val="auto"/>
              </w:rPr>
            </w:pPr>
            <w:r>
              <w:rPr>
                <w:rFonts w:ascii="Arial" w:cs="Arial" w:eastAsia="Arial" w:hAnsi="Arial"/>
                <w:sz w:val="18"/>
                <w:szCs w:val="18"/>
                <w:color w:val="auto"/>
              </w:rPr>
              <w:t>Diagnostics</w:t>
            </w:r>
          </w:p>
        </w:tc>
        <w:tc>
          <w:tcPr>
            <w:tcW w:w="22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8,099</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4,325</w:t>
            </w:r>
          </w:p>
        </w:tc>
        <w:tc>
          <w:tcPr>
            <w:tcW w:w="220" w:type="dxa"/>
            <w:vAlign w:val="bottom"/>
          </w:tcPr>
          <w:p>
            <w:pPr>
              <w:spacing w:after="0"/>
              <w:rPr>
                <w:sz w:val="20"/>
                <w:szCs w:val="20"/>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3,345</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32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Molecular Solutions</w:t>
            </w:r>
          </w:p>
        </w:tc>
        <w:tc>
          <w:tcPr>
            <w:tcW w:w="19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7,209</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7,333</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6,042</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6"/>
        </w:trPr>
        <w:tc>
          <w:tcPr>
            <w:tcW w:w="1140" w:type="dxa"/>
            <w:vAlign w:val="bottom"/>
          </w:tcPr>
          <w:p>
            <w:pPr>
              <w:spacing w:after="0"/>
              <w:rPr>
                <w:sz w:val="20"/>
                <w:szCs w:val="20"/>
                <w:color w:val="auto"/>
              </w:rPr>
            </w:pPr>
          </w:p>
        </w:tc>
        <w:tc>
          <w:tcPr>
            <w:tcW w:w="3280" w:type="dxa"/>
            <w:vAlign w:val="bottom"/>
          </w:tcPr>
          <w:p>
            <w:pPr>
              <w:ind w:left="360"/>
              <w:spacing w:after="0"/>
              <w:rPr>
                <w:sz w:val="20"/>
                <w:szCs w:val="20"/>
                <w:color w:val="auto"/>
              </w:rPr>
            </w:pPr>
            <w:r>
              <w:rPr>
                <w:rFonts w:ascii="Arial" w:cs="Arial" w:eastAsia="Arial" w:hAnsi="Arial"/>
                <w:sz w:val="18"/>
                <w:szCs w:val="18"/>
                <w:color w:val="auto"/>
              </w:rPr>
              <w:t>Total</w:t>
            </w:r>
          </w:p>
        </w:tc>
        <w:tc>
          <w:tcPr>
            <w:tcW w:w="22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15,308</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11,658</w:t>
            </w:r>
          </w:p>
        </w:tc>
        <w:tc>
          <w:tcPr>
            <w:tcW w:w="220" w:type="dxa"/>
            <w:vAlign w:val="bottom"/>
          </w:tcPr>
          <w:p>
            <w:pPr>
              <w:spacing w:after="0"/>
              <w:rPr>
                <w:sz w:val="20"/>
                <w:szCs w:val="20"/>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9,387</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0"/>
        </w:trPr>
        <w:tc>
          <w:tcPr>
            <w:tcW w:w="11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30"/>
        </w:trPr>
        <w:tc>
          <w:tcPr>
            <w:tcW w:w="1140" w:type="dxa"/>
            <w:vAlign w:val="bottom"/>
          </w:tcPr>
          <w:p>
            <w:pPr>
              <w:spacing w:after="0"/>
              <w:rPr>
                <w:sz w:val="19"/>
                <w:szCs w:val="19"/>
                <w:color w:val="auto"/>
              </w:rPr>
            </w:pPr>
          </w:p>
        </w:tc>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Capital expenditures:</w:t>
            </w:r>
          </w:p>
        </w:tc>
        <w:tc>
          <w:tcPr>
            <w:tcW w:w="1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43"/>
        </w:trPr>
        <w:tc>
          <w:tcPr>
            <w:tcW w:w="1140" w:type="dxa"/>
            <w:vAlign w:val="bottom"/>
          </w:tcPr>
          <w:p>
            <w:pPr>
              <w:spacing w:after="0"/>
              <w:rPr>
                <w:sz w:val="21"/>
                <w:szCs w:val="21"/>
                <w:color w:val="auto"/>
              </w:rPr>
            </w:pPr>
          </w:p>
        </w:tc>
        <w:tc>
          <w:tcPr>
            <w:tcW w:w="3280" w:type="dxa"/>
            <w:vAlign w:val="bottom"/>
          </w:tcPr>
          <w:p>
            <w:pPr>
              <w:ind w:left="180"/>
              <w:spacing w:after="0" w:line="243" w:lineRule="exact"/>
              <w:rPr>
                <w:sz w:val="20"/>
                <w:szCs w:val="20"/>
                <w:color w:val="auto"/>
              </w:rPr>
            </w:pPr>
            <w:r>
              <w:rPr>
                <w:rFonts w:ascii="Arial" w:cs="Arial" w:eastAsia="Arial" w:hAnsi="Arial"/>
                <w:sz w:val="18"/>
                <w:szCs w:val="18"/>
                <w:color w:val="auto"/>
              </w:rPr>
              <w:t>Diagnostics</w:t>
            </w:r>
            <w:r>
              <w:rPr>
                <w:rFonts w:ascii="Arial" w:cs="Arial" w:eastAsia="Arial" w:hAnsi="Arial"/>
                <w:sz w:val="24"/>
                <w:szCs w:val="24"/>
                <w:color w:val="auto"/>
                <w:vertAlign w:val="superscript"/>
              </w:rPr>
              <w:t>(1)</w:t>
            </w:r>
          </w:p>
        </w:tc>
        <w:tc>
          <w:tcPr>
            <w:tcW w:w="22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3,644</w:t>
            </w:r>
          </w:p>
        </w:tc>
        <w:tc>
          <w:tcPr>
            <w:tcW w:w="2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12,265</w:t>
            </w:r>
          </w:p>
        </w:tc>
        <w:tc>
          <w:tcPr>
            <w:tcW w:w="220" w:type="dxa"/>
            <w:vAlign w:val="bottom"/>
          </w:tcPr>
          <w:p>
            <w:pPr>
              <w:spacing w:after="0"/>
              <w:rPr>
                <w:sz w:val="21"/>
                <w:szCs w:val="21"/>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17,860</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37"/>
        </w:trPr>
        <w:tc>
          <w:tcPr>
            <w:tcW w:w="1140" w:type="dxa"/>
            <w:vAlign w:val="bottom"/>
          </w:tcPr>
          <w:p>
            <w:pPr>
              <w:spacing w:after="0"/>
              <w:rPr>
                <w:sz w:val="20"/>
                <w:szCs w:val="20"/>
                <w:color w:val="auto"/>
              </w:rPr>
            </w:pPr>
          </w:p>
        </w:tc>
        <w:tc>
          <w:tcPr>
            <w:tcW w:w="32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Molecular Solutions</w:t>
            </w:r>
          </w:p>
        </w:tc>
        <w:tc>
          <w:tcPr>
            <w:tcW w:w="19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3,130</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9,628</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8,814</w:t>
            </w:r>
          </w:p>
        </w:tc>
        <w:tc>
          <w:tcPr>
            <w:tcW w:w="80" w:type="dxa"/>
            <w:vAlign w:val="bottom"/>
            <w:tcBorders>
              <w:bottom w:val="single" w:sz="8" w:color="CFF0FC"/>
            </w:tcBorders>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236"/>
        </w:trPr>
        <w:tc>
          <w:tcPr>
            <w:tcW w:w="1140" w:type="dxa"/>
            <w:vAlign w:val="bottom"/>
          </w:tcPr>
          <w:p>
            <w:pPr>
              <w:spacing w:after="0"/>
              <w:rPr>
                <w:sz w:val="20"/>
                <w:szCs w:val="20"/>
                <w:color w:val="auto"/>
              </w:rPr>
            </w:pPr>
          </w:p>
        </w:tc>
        <w:tc>
          <w:tcPr>
            <w:tcW w:w="3280" w:type="dxa"/>
            <w:vAlign w:val="bottom"/>
          </w:tcPr>
          <w:p>
            <w:pPr>
              <w:ind w:left="360"/>
              <w:spacing w:after="0"/>
              <w:rPr>
                <w:sz w:val="20"/>
                <w:szCs w:val="20"/>
                <w:color w:val="auto"/>
              </w:rPr>
            </w:pPr>
            <w:r>
              <w:rPr>
                <w:rFonts w:ascii="Arial" w:cs="Arial" w:eastAsia="Arial" w:hAnsi="Arial"/>
                <w:sz w:val="18"/>
                <w:szCs w:val="18"/>
                <w:color w:val="auto"/>
              </w:rPr>
              <w:t>Total</w:t>
            </w:r>
          </w:p>
        </w:tc>
        <w:tc>
          <w:tcPr>
            <w:tcW w:w="196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6,774</w:t>
            </w:r>
          </w:p>
        </w:tc>
        <w:tc>
          <w:tcPr>
            <w:tcW w:w="22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21,893</w:t>
            </w:r>
          </w:p>
        </w:tc>
        <w:tc>
          <w:tcPr>
            <w:tcW w:w="220" w:type="dxa"/>
            <w:vAlign w:val="bottom"/>
          </w:tcPr>
          <w:p>
            <w:pPr>
              <w:spacing w:after="0"/>
              <w:rPr>
                <w:sz w:val="20"/>
                <w:szCs w:val="20"/>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26,674</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0"/>
        </w:trPr>
        <w:tc>
          <w:tcPr>
            <w:tcW w:w="11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9"/>
        </w:trPr>
        <w:tc>
          <w:tcPr>
            <w:tcW w:w="11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200" w:type="dxa"/>
            <w:vAlign w:val="bottom"/>
            <w:gridSpan w:val="2"/>
          </w:tcPr>
          <w:p>
            <w:pPr>
              <w:jc w:val="right"/>
              <w:ind w:right="730"/>
              <w:spacing w:after="0"/>
              <w:rPr>
                <w:sz w:val="20"/>
                <w:szCs w:val="20"/>
                <w:color w:val="auto"/>
              </w:rPr>
            </w:pPr>
            <w:r>
              <w:rPr>
                <w:rFonts w:ascii="Arial" w:cs="Arial" w:eastAsia="Arial" w:hAnsi="Arial"/>
                <w:sz w:val="18"/>
                <w:szCs w:val="18"/>
                <w:color w:val="auto"/>
              </w:rPr>
              <w:t>F-28</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58"/>
        </w:trPr>
        <w:tc>
          <w:tcPr>
            <w:tcW w:w="114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-2656840</wp:posOffset>
            </wp:positionV>
            <wp:extent cx="60325" cy="18859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6">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-2656840</wp:posOffset>
            </wp:positionV>
            <wp:extent cx="51435" cy="18859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7">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-2656840</wp:posOffset>
            </wp:positionV>
            <wp:extent cx="51435" cy="18859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8">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-1353820</wp:posOffset>
            </wp:positionV>
            <wp:extent cx="60325" cy="18859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9">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-1353820</wp:posOffset>
            </wp:positionV>
            <wp:extent cx="51435" cy="18859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0">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-1353820</wp:posOffset>
            </wp:positionV>
            <wp:extent cx="51435" cy="18859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1">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-702310</wp:posOffset>
            </wp:positionV>
            <wp:extent cx="60325" cy="18859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2">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-702310</wp:posOffset>
            </wp:positionV>
            <wp:extent cx="51435" cy="18859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3">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-702310</wp:posOffset>
            </wp:positionV>
            <wp:extent cx="51435" cy="18859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4">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02" w:name="page103"/>
    <w:bookmarkEnd w:id="102"/>
    <w:p>
      <w:pPr>
        <w:ind w:left="300" w:right="160" w:hanging="268"/>
        <w:spacing w:after="0" w:line="221" w:lineRule="auto"/>
        <w:tabs>
          <w:tab w:leader="none" w:pos="240" w:val="left"/>
        </w:tabs>
        <w:numPr>
          <w:ilvl w:val="0"/>
          <w:numId w:val="52"/>
        </w:numPr>
        <w:rPr>
          <w:rFonts w:ascii="Arial" w:cs="Arial" w:eastAsia="Arial" w:hAnsi="Arial"/>
          <w:sz w:val="24"/>
          <w:szCs w:val="24"/>
          <w:color w:val="auto"/>
          <w:vertAlign w:val="superscript"/>
        </w:rPr>
      </w:pPr>
      <w:r>
        <w:rPr>
          <w:rFonts w:ascii="Arial" w:cs="Arial" w:eastAsia="Arial" w:hAnsi="Arial"/>
          <w:sz w:val="18"/>
          <w:szCs w:val="18"/>
          <w:color w:val="auto"/>
        </w:rPr>
        <w:t>Excludes $57,135 and $26,224 for purchases of property and equipment under government contracts for the years ended December 31, 2022 and 2021 respectively. No purchases of property and equipment under government contracts were made in 2020.</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5640" w:type="dxa"/>
            <w:vAlign w:val="bottom"/>
          </w:tcPr>
          <w:p>
            <w:pPr>
              <w:ind w:left="180"/>
              <w:spacing w:after="0"/>
              <w:rPr>
                <w:sz w:val="20"/>
                <w:szCs w:val="20"/>
                <w:color w:val="auto"/>
              </w:rPr>
            </w:pPr>
            <w:r>
              <w:rPr>
                <w:rFonts w:ascii="Arial" w:cs="Arial" w:eastAsia="Arial" w:hAnsi="Arial"/>
                <w:sz w:val="18"/>
                <w:szCs w:val="18"/>
                <w:color w:val="auto"/>
              </w:rPr>
              <w:t>Diagnostics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279,994</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209,674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56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Molecular Solutions</w:t>
            </w:r>
          </w:p>
        </w:tc>
        <w:tc>
          <w:tcPr>
            <w:tcW w:w="24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164,714</w:t>
            </w:r>
          </w:p>
        </w:tc>
        <w:tc>
          <w:tcPr>
            <w:tcW w:w="1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251,316</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5640" w:type="dxa"/>
            <w:vAlign w:val="bottom"/>
          </w:tcPr>
          <w:p>
            <w:pPr>
              <w:ind w:left="36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444,708</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460,990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8"/>
                <w:szCs w:val="18"/>
                <w:color w:val="auto"/>
              </w:rPr>
              <w:t>The following table represents total long-lived assets by geographic area:</w:t>
            </w: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7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14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60,751</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72,376</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Canada</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8,526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11,488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5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regions</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1,828</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1,120</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71,105</w:t>
            </w:r>
          </w:p>
        </w:tc>
        <w:tc>
          <w:tcPr>
            <w:tcW w:w="80" w:type="dxa"/>
            <w:vAlign w:val="bottom"/>
          </w:tcPr>
          <w:p>
            <w:pPr>
              <w:spacing w:after="0"/>
              <w:rPr>
                <w:sz w:val="20"/>
                <w:szCs w:val="20"/>
                <w:color w:val="auto"/>
              </w:rPr>
            </w:pPr>
          </w:p>
        </w:tc>
        <w:tc>
          <w:tcPr>
            <w:tcW w:w="5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84,984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-1542415</wp:posOffset>
            </wp:positionV>
            <wp:extent cx="60325" cy="18859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7">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-1542415</wp:posOffset>
            </wp:positionV>
            <wp:extent cx="51435" cy="18859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8">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-187960</wp:posOffset>
            </wp:positionV>
            <wp:extent cx="60325" cy="18859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9">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18859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0">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283"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Purchase Commitments</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of December 31, 2022, the Company had manufacturing agreements with certain third party vendors, in which minimum purchase commitments are required. If the minimum commitments are not achieved, the Company will be required to make annual penalty payments over the next three years. Based on current forecasts, these penalties aggregate to approximately $1,143 and are accrued for in the consolidated balance sheet. These estimated penalties can fluctuate based on changes in forecasted demand. The table below represents an estimate of future purchases under those agreements.</w:t>
      </w:r>
    </w:p>
    <w:p>
      <w:pPr>
        <w:spacing w:after="0" w:line="198" w:lineRule="exact"/>
        <w:rPr>
          <w:sz w:val="20"/>
          <w:szCs w:val="20"/>
          <w:color w:val="auto"/>
        </w:rPr>
      </w:pPr>
    </w:p>
    <w:tbl>
      <w:tblPr>
        <w:tblLayout w:type="fixed"/>
        <w:tblInd w:w="2260" w:type="dxa"/>
        <w:tblCellMar>
          <w:top w:w="0" w:type="dxa"/>
          <w:left w:w="0" w:type="dxa"/>
          <w:bottom w:w="0" w:type="dxa"/>
          <w:right w:w="0" w:type="dxa"/>
        </w:tblCellMar>
      </w:tblPr>
      <w:tr>
        <w:trPr>
          <w:trHeight w:val="243"/>
        </w:trPr>
        <w:tc>
          <w:tcPr>
            <w:tcW w:w="5560" w:type="dxa"/>
            <w:vAlign w:val="bottom"/>
            <w:shd w:val="clear" w:color="auto" w:fill="CFF0FC"/>
          </w:tcPr>
          <w:p>
            <w:pPr>
              <w:jc w:val="right"/>
              <w:ind w:right="5110"/>
              <w:spacing w:after="0"/>
              <w:rPr>
                <w:sz w:val="20"/>
                <w:szCs w:val="20"/>
                <w:color w:val="auto"/>
              </w:rPr>
            </w:pPr>
            <w:r>
              <w:rPr>
                <w:rFonts w:ascii="Arial" w:cs="Arial" w:eastAsia="Arial" w:hAnsi="Arial"/>
                <w:sz w:val="18"/>
                <w:szCs w:val="18"/>
                <w:color w:val="auto"/>
                <w:w w:val="84"/>
              </w:rPr>
              <w:t>2023</w:t>
            </w: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21,710</w:t>
            </w:r>
          </w:p>
        </w:tc>
        <w:tc>
          <w:tcPr>
            <w:tcW w:w="60" w:type="dxa"/>
            <w:vAlign w:val="bottom"/>
            <w:shd w:val="clear" w:color="auto" w:fill="CFF0FC"/>
          </w:tcPr>
          <w:p>
            <w:pPr>
              <w:spacing w:after="0"/>
              <w:rPr>
                <w:sz w:val="21"/>
                <w:szCs w:val="21"/>
                <w:color w:val="auto"/>
              </w:rPr>
            </w:pPr>
          </w:p>
        </w:tc>
      </w:tr>
      <w:tr>
        <w:trPr>
          <w:trHeight w:val="237"/>
        </w:trPr>
        <w:tc>
          <w:tcPr>
            <w:tcW w:w="5560" w:type="dxa"/>
            <w:vAlign w:val="bottom"/>
          </w:tcPr>
          <w:p>
            <w:pPr>
              <w:jc w:val="right"/>
              <w:ind w:right="5110"/>
              <w:spacing w:after="0"/>
              <w:rPr>
                <w:sz w:val="20"/>
                <w:szCs w:val="20"/>
                <w:color w:val="auto"/>
              </w:rPr>
            </w:pPr>
            <w:r>
              <w:rPr>
                <w:rFonts w:ascii="Arial" w:cs="Arial" w:eastAsia="Arial" w:hAnsi="Arial"/>
                <w:sz w:val="18"/>
                <w:szCs w:val="18"/>
                <w:color w:val="auto"/>
                <w:w w:val="84"/>
              </w:rPr>
              <w:t>2024</w:t>
            </w: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9,695</w:t>
            </w:r>
          </w:p>
        </w:tc>
        <w:tc>
          <w:tcPr>
            <w:tcW w:w="60" w:type="dxa"/>
            <w:vAlign w:val="bottom"/>
          </w:tcPr>
          <w:p>
            <w:pPr>
              <w:spacing w:after="0"/>
              <w:rPr>
                <w:sz w:val="20"/>
                <w:szCs w:val="20"/>
                <w:color w:val="auto"/>
              </w:rPr>
            </w:pPr>
          </w:p>
        </w:tc>
      </w:tr>
      <w:tr>
        <w:trPr>
          <w:trHeight w:val="249"/>
        </w:trPr>
        <w:tc>
          <w:tcPr>
            <w:tcW w:w="5560" w:type="dxa"/>
            <w:vAlign w:val="bottom"/>
            <w:shd w:val="clear" w:color="auto" w:fill="CFF0FC"/>
          </w:tcPr>
          <w:p>
            <w:pPr>
              <w:jc w:val="right"/>
              <w:ind w:right="5110"/>
              <w:spacing w:after="0"/>
              <w:rPr>
                <w:sz w:val="20"/>
                <w:szCs w:val="20"/>
                <w:color w:val="auto"/>
              </w:rPr>
            </w:pPr>
            <w:r>
              <w:rPr>
                <w:rFonts w:ascii="Arial" w:cs="Arial" w:eastAsia="Arial" w:hAnsi="Arial"/>
                <w:sz w:val="18"/>
                <w:szCs w:val="18"/>
                <w:color w:val="auto"/>
                <w:w w:val="84"/>
              </w:rPr>
              <w:t>2025</w:t>
            </w:r>
          </w:p>
        </w:tc>
        <w:tc>
          <w:tcPr>
            <w:tcW w:w="3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6,928</w:t>
            </w:r>
          </w:p>
        </w:tc>
        <w:tc>
          <w:tcPr>
            <w:tcW w:w="60" w:type="dxa"/>
            <w:vAlign w:val="bottom"/>
            <w:shd w:val="clear" w:color="auto" w:fill="CFF0FC"/>
          </w:tcPr>
          <w:p>
            <w:pPr>
              <w:spacing w:after="0"/>
              <w:rPr>
                <w:sz w:val="21"/>
                <w:szCs w:val="21"/>
                <w:color w:val="auto"/>
              </w:rPr>
            </w:pPr>
          </w:p>
        </w:tc>
      </w:tr>
      <w:tr>
        <w:trPr>
          <w:trHeight w:val="237"/>
        </w:trPr>
        <w:tc>
          <w:tcPr>
            <w:tcW w:w="5560" w:type="dxa"/>
            <w:vAlign w:val="bottom"/>
          </w:tcPr>
          <w:p>
            <w:pPr>
              <w:jc w:val="right"/>
              <w:ind w:right="5110"/>
              <w:spacing w:after="0"/>
              <w:rPr>
                <w:sz w:val="20"/>
                <w:szCs w:val="20"/>
                <w:color w:val="auto"/>
              </w:rPr>
            </w:pPr>
            <w:r>
              <w:rPr>
                <w:rFonts w:ascii="Arial" w:cs="Arial" w:eastAsia="Arial" w:hAnsi="Arial"/>
                <w:sz w:val="18"/>
                <w:szCs w:val="18"/>
                <w:color w:val="auto"/>
                <w:w w:val="84"/>
              </w:rPr>
              <w:t>2026</w:t>
            </w:r>
          </w:p>
        </w:tc>
        <w:tc>
          <w:tcPr>
            <w:tcW w:w="34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43"/>
        </w:trPr>
        <w:tc>
          <w:tcPr>
            <w:tcW w:w="5560" w:type="dxa"/>
            <w:vAlign w:val="bottom"/>
            <w:shd w:val="clear" w:color="auto" w:fill="CFF0FC"/>
          </w:tcPr>
          <w:p>
            <w:pPr>
              <w:jc w:val="right"/>
              <w:ind w:right="5110"/>
              <w:spacing w:after="0"/>
              <w:rPr>
                <w:sz w:val="20"/>
                <w:szCs w:val="20"/>
                <w:color w:val="auto"/>
              </w:rPr>
            </w:pPr>
            <w:r>
              <w:rPr>
                <w:rFonts w:ascii="Arial" w:cs="Arial" w:eastAsia="Arial" w:hAnsi="Arial"/>
                <w:sz w:val="18"/>
                <w:szCs w:val="18"/>
                <w:color w:val="auto"/>
                <w:w w:val="84"/>
              </w:rPr>
              <w:t>2027</w:t>
            </w:r>
          </w:p>
        </w:tc>
        <w:tc>
          <w:tcPr>
            <w:tcW w:w="34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7"/>
        </w:trPr>
        <w:tc>
          <w:tcPr>
            <w:tcW w:w="5560" w:type="dxa"/>
            <w:vAlign w:val="bottom"/>
            <w:tcBorders>
              <w:top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38,333</w:t>
            </w:r>
          </w:p>
        </w:tc>
        <w:tc>
          <w:tcPr>
            <w:tcW w:w="60" w:type="dxa"/>
            <w:vAlign w:val="bottom"/>
            <w:tcBorders>
              <w:top w:val="single" w:sz="8" w:color="CFF0FC"/>
            </w:tcBorders>
          </w:tcPr>
          <w:p>
            <w:pPr>
              <w:spacing w:after="0"/>
              <w:rPr>
                <w:sz w:val="20"/>
                <w:szCs w:val="20"/>
                <w:color w:val="auto"/>
              </w:rPr>
            </w:pPr>
          </w:p>
        </w:tc>
      </w:tr>
      <w:tr>
        <w:trPr>
          <w:trHeight w:val="20"/>
        </w:trPr>
        <w:tc>
          <w:tcPr>
            <w:tcW w:w="5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-187960</wp:posOffset>
            </wp:positionV>
            <wp:extent cx="34290" cy="18859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1">
                      <a:extLst>
                        <a:ext uri="{28A0092B-C50C-407E-A947-70E740481C1C}"/>
                      </a:extLst>
                    </a:blip>
                    <a:srcRect/>
                    <a:stretch>
                      <a:fillRect/>
                    </a:stretch>
                  </pic:blipFill>
                  <pic:spPr bwMode="auto">
                    <a:xfrm>
                      <a:off x="0" y="0"/>
                      <a:ext cx="34290" cy="188595"/>
                    </a:xfrm>
                    <a:prstGeom prst="rect">
                      <a:avLst/>
                    </a:prstGeom>
                    <a:noFill/>
                  </pic:spPr>
                </pic:pic>
              </a:graphicData>
            </a:graphic>
          </wp:anchor>
        </w:drawing>
      </w:r>
    </w:p>
    <w:p>
      <w:pPr>
        <w:spacing w:after="0" w:line="29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the Company is involved in certain legal actions arising in the ordinary course of business. In management’s opinion, based upon the advice of counsel, the outcomes of such actions are not expected, individually or in the aggregate, to have a material adverse effect on the Company's future financial position or results of operations.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Spectrum Patent Litigation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March 2021, DNAG filed a complaint against Spectrum Solutions, LLC ("Spectrum") in the United States District Court for the Southern District of California alleging that certain saliva collection devices manufactured and sold by Spectrum infringe a patent held by DNAG. Spectrum has filed an answer to the initial complaint, asserting that its device does not infringe DNAG's patent and that DNAG's patent is invalid. In August 2021, DNAG amended its complaint to add a second patent to this litigation. Spectrum responded to DNAG's amended complaint and asserted counterclaims for inequitable conduct and antitrust violations with respect to one of the patents in the litigation and subsequently filed a request for review of the second patent at the Patent and Trademark Office. DNAG filed a motion to dismiss Spectrum’s counterclaims in October 2021, which was denied by the Court on March 30, 2022. Expert discovery is ongoing. On November 29, 2022, the district court issued a claim construction order. On January 30, 2023, Spectrum filed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03" w:name="page104"/>
    <w:bookmarkEnd w:id="103"/>
    <w:p>
      <w:pPr>
        <w:jc w:val="both"/>
        <w:spacing w:after="0" w:line="263" w:lineRule="auto"/>
        <w:rPr>
          <w:sz w:val="20"/>
          <w:szCs w:val="20"/>
          <w:color w:val="auto"/>
        </w:rPr>
      </w:pPr>
      <w:r>
        <w:rPr>
          <w:rFonts w:ascii="Arial" w:cs="Arial" w:eastAsia="Arial" w:hAnsi="Arial"/>
          <w:sz w:val="18"/>
          <w:szCs w:val="18"/>
          <w:color w:val="auto"/>
        </w:rPr>
        <w:t>a motion for summary judgment of noninfringement. DNAG oppossed the motion. Briefing is complete and the motion remains pendng. The final pretrial conference is set for September 7, 2023. The Patent and Trademark Office instituted review of the second patent on February 10, 2023, scheduling a hearing for November 14, 2023.</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RETIREMENT PLANS: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Substantially all of the Company's U.S. employees are eligible to participate in the OraSure Technologies, Inc. 401(k) Plan (the “401(k) Plan”). The 401(k) Plan permits voluntary employee contributions to be excluded from an employee’s current taxable income under provisions of Internal Revenue Code Section 401(k) and the regulations thereunder. The 401(k) Plan also provides for the Company to match employee contributions up to $4 per year. The Company contributed $1,763, $1,295 and $994 to the 401(k) Plan, net of forfeitures, in 2022, 2021, and 2020, respectively.</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to the Company's 401(k) plan, the Company offers a nonqualified deferred compensation plan to permit eligible directors and highly compensated employees of the Company to defer receipt and taxation of their compensation each year. The Company also may make discretionary contributions to the accounts of the participating employees in any amount either in cash or stock. Participants in the plan may not purchase OraSure stock as an investment vehicle. As of December 31, 2022 and 2021, the value of the assets associated with this plan was $747 and $1,763, respectively, and is included in current assets and other assets in the Company's consolidated balance sheets. The Company's obligation related to the deferred compensation plan is included in accrued expenses and other liabilities in the Company's consolidated balance sheets. As of December 31, 2022 and 2021, the Company's total obligation under this plan was $747 and $1,763, respectively.</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Substantially all regular full-time Canadian employees are eligible to participate in the DNA Genotek Registered Retirement Savings Plan (the “RRSP”). The RRSP permits voluntary employee contributions to be excluded from an employee’s current taxable income and receive tax preferred treatment with Canada Revenue Agency. The RRSP also provides for DNAG to match employee contributions up to $4 CAD per year. The Company contributed $453, $448 and $366 to the RRSP in 2022, 2021, and 2020,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22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On February 14, 2023, the Company announced a 11% reduction in its non-production workforce. This will be accounted for pursuant to ASC 420, </w:t>
      </w:r>
      <w:r>
        <w:rPr>
          <w:rFonts w:ascii="Arial" w:cs="Arial" w:eastAsia="Arial" w:hAnsi="Arial"/>
          <w:sz w:val="18"/>
          <w:szCs w:val="18"/>
          <w:i w:val="1"/>
          <w:iCs w:val="1"/>
          <w:color w:val="auto"/>
        </w:rPr>
        <w:t>Exit or</w:t>
      </w:r>
      <w:r>
        <w:rPr>
          <w:rFonts w:ascii="Arial" w:cs="Arial" w:eastAsia="Arial" w:hAnsi="Arial"/>
          <w:sz w:val="18"/>
          <w:szCs w:val="18"/>
          <w:color w:val="auto"/>
        </w:rPr>
        <w:t xml:space="preserve"> </w:t>
      </w:r>
      <w:r>
        <w:rPr>
          <w:rFonts w:ascii="Arial" w:cs="Arial" w:eastAsia="Arial" w:hAnsi="Arial"/>
          <w:sz w:val="18"/>
          <w:szCs w:val="18"/>
          <w:i w:val="1"/>
          <w:iCs w:val="1"/>
          <w:color w:val="auto"/>
        </w:rPr>
        <w:t>Disposal Cost Obligations</w:t>
      </w:r>
      <w:r>
        <w:rPr>
          <w:rFonts w:ascii="Arial" w:cs="Arial" w:eastAsia="Arial" w:hAnsi="Arial"/>
          <w:sz w:val="18"/>
          <w:szCs w:val="18"/>
          <w:color w:val="auto"/>
        </w:rPr>
        <w:t>, and the expense will primarily be recorded in the first quarter of 2023.</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20"/>
          <w:szCs w:val="20"/>
          <w:b w:val="1"/>
          <w:bCs w:val="1"/>
          <w:color w:val="auto"/>
        </w:rPr>
        <w:t>EXHIBIT 10.5</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NO. 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w:t>
      </w:r>
    </w:p>
    <w:p>
      <w:pPr>
        <w:jc w:val="center"/>
        <w:ind w:right="40"/>
        <w:spacing w:after="0"/>
        <w:rPr>
          <w:sz w:val="20"/>
          <w:szCs w:val="20"/>
          <w:color w:val="auto"/>
        </w:rPr>
      </w:pPr>
      <w:r>
        <w:rPr>
          <w:rFonts w:ascii="Arial" w:cs="Arial" w:eastAsia="Arial" w:hAnsi="Arial"/>
          <w:sz w:val="20"/>
          <w:szCs w:val="20"/>
          <w:b w:val="1"/>
          <w:bCs w:val="1"/>
          <w:color w:val="auto"/>
        </w:rPr>
        <w:t>EMPLOYMENT AGREEMENT</w:t>
      </w:r>
    </w:p>
    <w:p>
      <w:pPr>
        <w:spacing w:after="0" w:line="207" w:lineRule="exact"/>
        <w:rPr>
          <w:sz w:val="20"/>
          <w:szCs w:val="20"/>
          <w:color w:val="auto"/>
        </w:rPr>
      </w:pPr>
    </w:p>
    <w:p>
      <w:pPr>
        <w:ind w:right="20" w:firstLine="749"/>
        <w:spacing w:after="0" w:line="267" w:lineRule="auto"/>
        <w:rPr>
          <w:sz w:val="20"/>
          <w:szCs w:val="20"/>
          <w:color w:val="auto"/>
        </w:rPr>
      </w:pPr>
      <w:r>
        <w:rPr>
          <w:rFonts w:ascii="Arial" w:cs="Arial" w:eastAsia="Arial" w:hAnsi="Arial"/>
          <w:sz w:val="20"/>
          <w:szCs w:val="20"/>
          <w:color w:val="auto"/>
        </w:rPr>
        <w:t>This Amendment No. 2 to Employment Agreement is entered into on November 7, 2022 (this “</w:t>
      </w:r>
      <w:r>
        <w:rPr>
          <w:rFonts w:ascii="Arial" w:cs="Arial" w:eastAsia="Arial" w:hAnsi="Arial"/>
          <w:sz w:val="20"/>
          <w:szCs w:val="20"/>
          <w:b w:val="1"/>
          <w:bCs w:val="1"/>
          <w:color w:val="auto"/>
        </w:rPr>
        <w:t>Amendment</w:t>
      </w:r>
      <w:r>
        <w:rPr>
          <w:rFonts w:ascii="Arial" w:cs="Arial" w:eastAsia="Arial" w:hAnsi="Arial"/>
          <w:sz w:val="20"/>
          <w:szCs w:val="20"/>
          <w:color w:val="auto"/>
        </w:rPr>
        <w:t>”), by and among Kathleen G. Weber, DNA Genotek, Inc. and OraSure Technologies, Inc.</w:t>
      </w:r>
    </w:p>
    <w:p>
      <w:pPr>
        <w:spacing w:after="0" w:line="183" w:lineRule="exact"/>
        <w:rPr>
          <w:sz w:val="20"/>
          <w:szCs w:val="20"/>
          <w:color w:val="auto"/>
        </w:rPr>
      </w:pPr>
    </w:p>
    <w:p>
      <w:pPr>
        <w:ind w:firstLine="749"/>
        <w:spacing w:after="0" w:line="260" w:lineRule="auto"/>
        <w:rPr>
          <w:sz w:val="20"/>
          <w:szCs w:val="20"/>
          <w:color w:val="auto"/>
        </w:rPr>
      </w:pPr>
      <w:r>
        <w:rPr>
          <w:rFonts w:ascii="Arial" w:cs="Arial" w:eastAsia="Arial" w:hAnsi="Arial"/>
          <w:sz w:val="20"/>
          <w:szCs w:val="20"/>
          <w:color w:val="auto"/>
        </w:rPr>
        <w:t>WHEREAS, the parties have entered into an Employment Agreement, dated as of January 1, 2019, and amended that agreement on December 20, 2021 (as amended, the “</w:t>
      </w:r>
      <w:r>
        <w:rPr>
          <w:rFonts w:ascii="Arial" w:cs="Arial" w:eastAsia="Arial" w:hAnsi="Arial"/>
          <w:sz w:val="20"/>
          <w:szCs w:val="20"/>
          <w:b w:val="1"/>
          <w:bCs w:val="1"/>
          <w:color w:val="auto"/>
        </w:rPr>
        <w:t>Employment Agreement</w:t>
      </w:r>
      <w:r>
        <w:rPr>
          <w:rFonts w:ascii="Arial" w:cs="Arial" w:eastAsia="Arial" w:hAnsi="Arial"/>
          <w:sz w:val="20"/>
          <w:szCs w:val="20"/>
          <w:color w:val="auto"/>
        </w:rPr>
        <w:t>”); and</w:t>
      </w:r>
    </w:p>
    <w:p>
      <w:pPr>
        <w:spacing w:after="0" w:line="190"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WHEREAS, the parties desire to further amend the Employment Agreement, as more fully set forth herein.</w:t>
      </w:r>
    </w:p>
    <w:p>
      <w:pPr>
        <w:spacing w:after="0" w:line="229" w:lineRule="exact"/>
        <w:rPr>
          <w:sz w:val="20"/>
          <w:szCs w:val="20"/>
          <w:color w:val="auto"/>
        </w:rPr>
      </w:pPr>
    </w:p>
    <w:p>
      <w:pPr>
        <w:ind w:firstLine="749"/>
        <w:spacing w:after="0" w:line="260" w:lineRule="auto"/>
        <w:rPr>
          <w:sz w:val="20"/>
          <w:szCs w:val="20"/>
          <w:color w:val="auto"/>
        </w:rPr>
      </w:pPr>
      <w:r>
        <w:rPr>
          <w:rFonts w:ascii="Arial" w:cs="Arial" w:eastAsia="Arial" w:hAnsi="Arial"/>
          <w:sz w:val="20"/>
          <w:szCs w:val="20"/>
          <w:color w:val="auto"/>
        </w:rPr>
        <w:t>NOW, THEREFORE, intending to be legally bound, the parties hereby agree as follows, effective as of November 14, 2022 (the “</w:t>
      </w:r>
      <w:r>
        <w:rPr>
          <w:rFonts w:ascii="Arial" w:cs="Arial" w:eastAsia="Arial" w:hAnsi="Arial"/>
          <w:sz w:val="20"/>
          <w:szCs w:val="20"/>
          <w:b w:val="1"/>
          <w:bCs w:val="1"/>
          <w:color w:val="auto"/>
        </w:rPr>
        <w:t>Amendment Effective Date</w:t>
      </w:r>
      <w:r>
        <w:rPr>
          <w:rFonts w:ascii="Arial" w:cs="Arial" w:eastAsia="Arial" w:hAnsi="Arial"/>
          <w:sz w:val="20"/>
          <w:szCs w:val="20"/>
          <w:color w:val="auto"/>
        </w:rPr>
        <w:t>”):</w:t>
      </w:r>
    </w:p>
    <w:p>
      <w:pPr>
        <w:spacing w:after="0" w:line="190" w:lineRule="exact"/>
        <w:rPr>
          <w:sz w:val="20"/>
          <w:szCs w:val="20"/>
          <w:color w:val="auto"/>
        </w:rPr>
      </w:pPr>
    </w:p>
    <w:p>
      <w:pPr>
        <w:ind w:left="780" w:hanging="398"/>
        <w:spacing w:after="0"/>
        <w:tabs>
          <w:tab w:leader="none" w:pos="780" w:val="left"/>
        </w:tabs>
        <w:numPr>
          <w:ilvl w:val="0"/>
          <w:numId w:val="53"/>
        </w:numPr>
        <w:rPr>
          <w:rFonts w:ascii="Arial" w:cs="Arial" w:eastAsia="Arial" w:hAnsi="Arial"/>
          <w:sz w:val="20"/>
          <w:szCs w:val="20"/>
          <w:color w:val="auto"/>
        </w:rPr>
      </w:pPr>
      <w:r>
        <w:rPr>
          <w:rFonts w:ascii="Arial" w:cs="Arial" w:eastAsia="Arial" w:hAnsi="Arial"/>
          <w:sz w:val="20"/>
          <w:szCs w:val="20"/>
          <w:color w:val="auto"/>
        </w:rPr>
        <w:t>Sections 1.1 and 1.2 of the Employment Agreement are hereby restated in their entireties as follows:</w:t>
      </w:r>
    </w:p>
    <w:p>
      <w:pPr>
        <w:spacing w:after="0" w:line="223" w:lineRule="exact"/>
        <w:rPr>
          <w:sz w:val="20"/>
          <w:szCs w:val="20"/>
          <w:color w:val="auto"/>
        </w:rPr>
      </w:pPr>
    </w:p>
    <w:p>
      <w:pPr>
        <w:jc w:val="both"/>
        <w:ind w:left="760" w:right="760"/>
        <w:spacing w:after="0" w:line="267" w:lineRule="auto"/>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b w:val="1"/>
          <w:bCs w:val="1"/>
          <w:color w:val="auto"/>
        </w:rPr>
        <w:t>Employment</w:t>
      </w:r>
      <w:r>
        <w:rPr>
          <w:rFonts w:ascii="Arial" w:cs="Arial" w:eastAsia="Arial" w:hAnsi="Arial"/>
          <w:sz w:val="20"/>
          <w:szCs w:val="20"/>
          <w:color w:val="auto"/>
        </w:rPr>
        <w:t>. Subject to the terms hereof, the Company agrees to employ Employee and Employee hereby accepts such employment in accordance with the terms and conditions of this Agreement.</w:t>
      </w:r>
    </w:p>
    <w:p>
      <w:pPr>
        <w:spacing w:after="0" w:line="163" w:lineRule="exact"/>
        <w:rPr>
          <w:sz w:val="20"/>
          <w:szCs w:val="20"/>
          <w:color w:val="auto"/>
        </w:rPr>
      </w:pPr>
    </w:p>
    <w:p>
      <w:pPr>
        <w:jc w:val="both"/>
        <w:ind w:left="760" w:right="740"/>
        <w:spacing w:after="0" w:line="257"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b w:val="1"/>
          <w:bCs w:val="1"/>
          <w:color w:val="auto"/>
        </w:rPr>
        <w:t>Position and Duties</w:t>
      </w:r>
      <w:r>
        <w:rPr>
          <w:rFonts w:ascii="Arial" w:cs="Arial" w:eastAsia="Arial" w:hAnsi="Arial"/>
          <w:sz w:val="19"/>
          <w:szCs w:val="19"/>
          <w:i w:val="1"/>
          <w:iCs w:val="1"/>
          <w:color w:val="auto"/>
        </w:rPr>
        <w:t>.</w:t>
      </w:r>
      <w:r>
        <w:rPr>
          <w:rFonts w:ascii="Arial" w:cs="Arial" w:eastAsia="Arial" w:hAnsi="Arial"/>
          <w:sz w:val="19"/>
          <w:szCs w:val="19"/>
          <w:color w:val="auto"/>
        </w:rPr>
        <w:t xml:space="preserve"> Employee will be employed as OraSure’s Chief Product Officer and, in that position, will be responsible for the Company’s marketing, sales, product management, and medical &amp; clinical affairs, as well as research and development for the Molecular Solutions Business Unit, and such other duties as are reasonably assigned to her from time to time by the Board or Directors of OraSure (the “</w:t>
      </w:r>
      <w:r>
        <w:rPr>
          <w:rFonts w:ascii="Arial" w:cs="Arial" w:eastAsia="Arial" w:hAnsi="Arial"/>
          <w:sz w:val="19"/>
          <w:szCs w:val="19"/>
          <w:b w:val="1"/>
          <w:bCs w:val="1"/>
          <w:color w:val="auto"/>
        </w:rPr>
        <w:t>Board of Directors</w:t>
      </w:r>
      <w:r>
        <w:rPr>
          <w:rFonts w:ascii="Arial" w:cs="Arial" w:eastAsia="Arial" w:hAnsi="Arial"/>
          <w:sz w:val="19"/>
          <w:szCs w:val="19"/>
          <w:color w:val="auto"/>
        </w:rPr>
        <w:t>”) or the Chief Executive Officer of OraSure (the “</w:t>
      </w:r>
      <w:r>
        <w:rPr>
          <w:rFonts w:ascii="Arial" w:cs="Arial" w:eastAsia="Arial" w:hAnsi="Arial"/>
          <w:sz w:val="19"/>
          <w:szCs w:val="19"/>
          <w:b w:val="1"/>
          <w:bCs w:val="1"/>
          <w:color w:val="auto"/>
        </w:rPr>
        <w:t>CEO</w:t>
      </w:r>
      <w:r>
        <w:rPr>
          <w:rFonts w:ascii="Arial" w:cs="Arial" w:eastAsia="Arial" w:hAnsi="Arial"/>
          <w:sz w:val="19"/>
          <w:szCs w:val="19"/>
          <w:color w:val="auto"/>
        </w:rPr>
        <w:t>”). However, Employee’s title, position and/or duties may be changed from time to time in the discretion of OraSure, and such changes will not constitute a material breach of this Agreement, so long as the authority, duties and responsibilities, which, for greater certainty, include a combination of responsibility for revenue, budget, functions and number of employees, (the “</w:t>
      </w:r>
      <w:r>
        <w:rPr>
          <w:rFonts w:ascii="Arial" w:cs="Arial" w:eastAsia="Arial" w:hAnsi="Arial"/>
          <w:sz w:val="19"/>
          <w:szCs w:val="19"/>
          <w:b w:val="1"/>
          <w:bCs w:val="1"/>
          <w:color w:val="auto"/>
        </w:rPr>
        <w:t>Scope</w:t>
      </w:r>
      <w:r>
        <w:rPr>
          <w:rFonts w:ascii="Arial" w:cs="Arial" w:eastAsia="Arial" w:hAnsi="Arial"/>
          <w:sz w:val="19"/>
          <w:szCs w:val="19"/>
          <w:color w:val="auto"/>
        </w:rPr>
        <w:t>”) of her position are not materially less than the Scope of her position immediately prior to the Amendment Effective Date other than in connection with a general reduction either caused by a change in the nature or scope of the Company’s business, or that affects the Company generally or similarly situated executives in substantially the same proportions.</w:t>
      </w:r>
    </w:p>
    <w:p>
      <w:pPr>
        <w:spacing w:after="0" w:line="186" w:lineRule="exact"/>
        <w:rPr>
          <w:sz w:val="20"/>
          <w:szCs w:val="20"/>
          <w:color w:val="auto"/>
        </w:rPr>
      </w:pPr>
    </w:p>
    <w:p>
      <w:pPr>
        <w:ind w:left="780" w:hanging="398"/>
        <w:spacing w:after="0"/>
        <w:tabs>
          <w:tab w:leader="none" w:pos="780"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to the Employment Agreement is hereby deleted.</w:t>
      </w:r>
    </w:p>
    <w:p>
      <w:pPr>
        <w:spacing w:after="0" w:line="229" w:lineRule="exact"/>
        <w:rPr>
          <w:rFonts w:ascii="Arial" w:cs="Arial" w:eastAsia="Arial" w:hAnsi="Arial"/>
          <w:sz w:val="20"/>
          <w:szCs w:val="20"/>
          <w:color w:val="auto"/>
        </w:rPr>
      </w:pPr>
    </w:p>
    <w:p>
      <w:pPr>
        <w:ind w:left="800" w:hanging="405"/>
        <w:spacing w:after="0"/>
        <w:tabs>
          <w:tab w:leader="none" w:pos="800" w:val="left"/>
        </w:tabs>
        <w:numPr>
          <w:ilvl w:val="1"/>
          <w:numId w:val="54"/>
        </w:numPr>
        <w:rPr>
          <w:rFonts w:ascii="Arial" w:cs="Arial" w:eastAsia="Arial" w:hAnsi="Arial"/>
          <w:sz w:val="20"/>
          <w:szCs w:val="20"/>
          <w:color w:val="auto"/>
        </w:rPr>
      </w:pPr>
      <w:r>
        <w:rPr>
          <w:rFonts w:ascii="Arial" w:cs="Arial" w:eastAsia="Arial" w:hAnsi="Arial"/>
          <w:sz w:val="20"/>
          <w:szCs w:val="20"/>
          <w:color w:val="auto"/>
        </w:rPr>
        <w:t>Section 6.4 of the Employment Agreement is hereby restated in its entirety as follows:</w:t>
      </w:r>
    </w:p>
    <w:p>
      <w:pPr>
        <w:spacing w:after="0" w:line="237" w:lineRule="exact"/>
        <w:rPr>
          <w:sz w:val="20"/>
          <w:szCs w:val="20"/>
          <w:color w:val="auto"/>
        </w:rPr>
      </w:pPr>
    </w:p>
    <w:p>
      <w:pPr>
        <w:jc w:val="both"/>
        <w:ind w:left="760" w:right="760"/>
        <w:spacing w:after="0" w:line="280"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b w:val="1"/>
          <w:bCs w:val="1"/>
          <w:color w:val="auto"/>
        </w:rPr>
        <w:t>Termination by Employee with Good Reason.</w:t>
      </w:r>
      <w:r>
        <w:rPr>
          <w:rFonts w:ascii="Arial" w:cs="Arial" w:eastAsia="Arial" w:hAnsi="Arial"/>
          <w:sz w:val="18"/>
          <w:szCs w:val="18"/>
          <w:color w:val="auto"/>
        </w:rPr>
        <w:t xml:space="preserve"> Employee may terminate her employment under this Agreement for Good Reason; provided that (i) Employee gives written notice to the Board of Directors within sixty (60) days of the event constituting Good Reason; (ii) the Company has not cured the event giving rise to such notice within thirty (30) days of receipt of Employee’s notice; and (iii) Employee resigns her employment within thirty (30) days following the expiration of such cure period. The term “Good Reason” shall mean any of the following actions that are taken without Employee’s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5" w:name="page106"/>
    <w:bookmarkEnd w:id="105"/>
    <w:p>
      <w:pPr>
        <w:jc w:val="both"/>
        <w:ind w:left="660" w:right="740"/>
        <w:spacing w:after="0" w:line="260" w:lineRule="auto"/>
        <w:rPr>
          <w:sz w:val="20"/>
          <w:szCs w:val="20"/>
          <w:color w:val="auto"/>
        </w:rPr>
      </w:pPr>
      <w:r>
        <w:rPr>
          <w:rFonts w:ascii="Arial" w:cs="Arial" w:eastAsia="Arial" w:hAnsi="Arial"/>
          <w:sz w:val="19"/>
          <w:szCs w:val="19"/>
          <w:color w:val="auto"/>
        </w:rPr>
        <w:t>prior written consent: (a) a material breach of this Agreement by the Company (or its successor); (b) a material diminution in Employee’s base compensation or in the Scope of Employee’s position as compared to the Scope of her position in effect immediately prior to the Amendment Effective Date other than in connection with a general reduction either caused by a change in the nature or scope of the Company’s business, or that affects the Company generally or similarly situated executives in substantially the same proportions; (c) a change in Employee’s reporting obligation from the CEO to another employee of DNA Genotek or OraSure; or (d) a relocation of Employee’s principal worksite that increases Employee’s one-way commute by more than 30 miles.</w:t>
      </w:r>
    </w:p>
    <w:p>
      <w:pPr>
        <w:spacing w:after="0" w:line="180" w:lineRule="exact"/>
        <w:rPr>
          <w:sz w:val="20"/>
          <w:szCs w:val="20"/>
          <w:color w:val="auto"/>
        </w:rPr>
      </w:pPr>
    </w:p>
    <w:p>
      <w:pPr>
        <w:ind w:left="700" w:hanging="405"/>
        <w:spacing w:after="0"/>
        <w:tabs>
          <w:tab w:leader="none" w:pos="700" w:val="left"/>
        </w:tabs>
        <w:numPr>
          <w:ilvl w:val="0"/>
          <w:numId w:val="55"/>
        </w:numPr>
        <w:rPr>
          <w:rFonts w:ascii="Arial" w:cs="Arial" w:eastAsia="Arial" w:hAnsi="Arial"/>
          <w:sz w:val="20"/>
          <w:szCs w:val="20"/>
          <w:color w:val="auto"/>
        </w:rPr>
      </w:pPr>
      <w:r>
        <w:rPr>
          <w:rFonts w:ascii="Arial" w:cs="Arial" w:eastAsia="Arial" w:hAnsi="Arial"/>
          <w:sz w:val="20"/>
          <w:szCs w:val="20"/>
          <w:color w:val="auto"/>
        </w:rPr>
        <w:t>Section 18 of the Employment Agreement is hereby restated in its entirety as follows:</w:t>
      </w:r>
    </w:p>
    <w:p>
      <w:pPr>
        <w:spacing w:after="0" w:line="223" w:lineRule="exact"/>
        <w:rPr>
          <w:rFonts w:ascii="Arial" w:cs="Arial" w:eastAsia="Arial" w:hAnsi="Arial"/>
          <w:sz w:val="20"/>
          <w:szCs w:val="20"/>
          <w:color w:val="auto"/>
        </w:rPr>
      </w:pPr>
    </w:p>
    <w:p>
      <w:pPr>
        <w:jc w:val="both"/>
        <w:ind w:left="660" w:right="740" w:hanging="3"/>
        <w:spacing w:after="0" w:line="260" w:lineRule="auto"/>
        <w:tabs>
          <w:tab w:leader="none" w:pos="1056" w:val="left"/>
        </w:tabs>
        <w:numPr>
          <w:ilvl w:val="1"/>
          <w:numId w:val="55"/>
        </w:numPr>
        <w:rPr>
          <w:rFonts w:ascii="Arial" w:cs="Arial" w:eastAsia="Arial" w:hAnsi="Arial"/>
          <w:sz w:val="19"/>
          <w:szCs w:val="19"/>
          <w:color w:val="auto"/>
        </w:rPr>
      </w:pPr>
      <w:r>
        <w:rPr>
          <w:rFonts w:ascii="Arial" w:cs="Arial" w:eastAsia="Arial" w:hAnsi="Arial"/>
          <w:sz w:val="19"/>
          <w:szCs w:val="19"/>
          <w:b w:val="1"/>
          <w:bCs w:val="1"/>
          <w:color w:val="auto"/>
        </w:rPr>
        <w:t>Consent to Suit</w:t>
      </w:r>
      <w:r>
        <w:rPr>
          <w:rFonts w:ascii="Arial" w:cs="Arial" w:eastAsia="Arial" w:hAnsi="Arial"/>
          <w:sz w:val="19"/>
          <w:szCs w:val="19"/>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Any legal proceeding arising out of or relating to this Agreement shall be instituted in the United</w:t>
      </w:r>
      <w:r>
        <w:rPr>
          <w:rFonts w:ascii="Arial" w:cs="Arial" w:eastAsia="Arial" w:hAnsi="Arial"/>
          <w:sz w:val="19"/>
          <w:szCs w:val="19"/>
          <w:b w:val="1"/>
          <w:bCs w:val="1"/>
          <w:color w:val="auto"/>
        </w:rPr>
        <w:t xml:space="preserve"> </w:t>
      </w:r>
      <w:r>
        <w:rPr>
          <w:rFonts w:ascii="Arial" w:cs="Arial" w:eastAsia="Arial" w:hAnsi="Arial"/>
          <w:sz w:val="19"/>
          <w:szCs w:val="19"/>
          <w:color w:val="auto"/>
        </w:rPr>
        <w:t>States District Court for the Eastern District of Pennsylvania, or if such court does not have jurisdiction or will not accept jurisdiction, in any court of general jurisdiction in the county in Pennsylvania in which the Company maintains its principal place of business, and Employee and the Company hereby consent to the personal and exclusive jurisdiction of such court and hereby waive any objection that Employee or the Company may have to personal jurisdiction, venue, and any claim or defense of inconvenient forum.</w:t>
      </w:r>
    </w:p>
    <w:p>
      <w:pPr>
        <w:spacing w:after="0" w:line="178" w:lineRule="exact"/>
        <w:rPr>
          <w:rFonts w:ascii="Arial" w:cs="Arial" w:eastAsia="Arial" w:hAnsi="Arial"/>
          <w:sz w:val="19"/>
          <w:szCs w:val="19"/>
          <w:color w:val="auto"/>
        </w:rPr>
      </w:pPr>
    </w:p>
    <w:p>
      <w:pPr>
        <w:ind w:left="700" w:hanging="405"/>
        <w:spacing w:after="0"/>
        <w:tabs>
          <w:tab w:leader="none" w:pos="700" w:val="left"/>
        </w:tabs>
        <w:numPr>
          <w:ilvl w:val="0"/>
          <w:numId w:val="55"/>
        </w:numPr>
        <w:rPr>
          <w:rFonts w:ascii="Arial" w:cs="Arial" w:eastAsia="Arial" w:hAnsi="Arial"/>
          <w:sz w:val="20"/>
          <w:szCs w:val="20"/>
          <w:color w:val="auto"/>
        </w:rPr>
      </w:pPr>
      <w:r>
        <w:rPr>
          <w:rFonts w:ascii="Arial" w:cs="Arial" w:eastAsia="Arial" w:hAnsi="Arial"/>
          <w:sz w:val="20"/>
          <w:szCs w:val="20"/>
          <w:color w:val="auto"/>
        </w:rPr>
        <w:t>Section 21 of the Employment Agreement is hereby restated in its entirety as follows:</w:t>
      </w:r>
    </w:p>
    <w:p>
      <w:pPr>
        <w:spacing w:after="0" w:line="223" w:lineRule="exact"/>
        <w:rPr>
          <w:rFonts w:ascii="Arial" w:cs="Arial" w:eastAsia="Arial" w:hAnsi="Arial"/>
          <w:sz w:val="20"/>
          <w:szCs w:val="20"/>
          <w:color w:val="auto"/>
        </w:rPr>
      </w:pPr>
    </w:p>
    <w:p>
      <w:pPr>
        <w:ind w:left="660" w:right="740" w:hanging="3"/>
        <w:spacing w:after="0" w:line="267" w:lineRule="auto"/>
        <w:tabs>
          <w:tab w:leader="none" w:pos="1110" w:val="left"/>
        </w:tabs>
        <w:numPr>
          <w:ilvl w:val="1"/>
          <w:numId w:val="56"/>
        </w:numPr>
        <w:rPr>
          <w:rFonts w:ascii="Arial" w:cs="Arial" w:eastAsia="Arial" w:hAnsi="Arial"/>
          <w:sz w:val="20"/>
          <w:szCs w:val="20"/>
          <w:color w:val="auto"/>
        </w:rPr>
      </w:pPr>
      <w:r>
        <w:rPr>
          <w:rFonts w:ascii="Arial" w:cs="Arial" w:eastAsia="Arial" w:hAnsi="Arial"/>
          <w:sz w:val="20"/>
          <w:szCs w:val="20"/>
          <w:b w:val="1"/>
          <w:bCs w:val="1"/>
          <w:color w:val="auto"/>
        </w:rPr>
        <w:t>Governing Law</w:t>
      </w:r>
      <w:r>
        <w:rPr>
          <w:rFonts w:ascii="Arial" w:cs="Arial" w:eastAsia="Arial" w:hAnsi="Arial"/>
          <w:sz w:val="20"/>
          <w:szCs w:val="20"/>
          <w:i w:val="1"/>
          <w:i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shall be governed by, and enforced in accordance with, the laws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Commonwealth of Pennsylvania without regard to the application of the principles of conflicts of laws.</w:t>
      </w:r>
    </w:p>
    <w:p>
      <w:pPr>
        <w:spacing w:after="0" w:line="169" w:lineRule="exact"/>
        <w:rPr>
          <w:rFonts w:ascii="Arial" w:cs="Arial" w:eastAsia="Arial" w:hAnsi="Arial"/>
          <w:sz w:val="20"/>
          <w:szCs w:val="20"/>
          <w:color w:val="auto"/>
        </w:rPr>
      </w:pPr>
    </w:p>
    <w:p>
      <w:pPr>
        <w:ind w:left="700" w:hanging="405"/>
        <w:spacing w:after="0"/>
        <w:tabs>
          <w:tab w:leader="none" w:pos="700" w:val="left"/>
        </w:tabs>
        <w:numPr>
          <w:ilvl w:val="0"/>
          <w:numId w:val="57"/>
        </w:numPr>
        <w:rPr>
          <w:rFonts w:ascii="Arial" w:cs="Arial" w:eastAsia="Arial" w:hAnsi="Arial"/>
          <w:sz w:val="20"/>
          <w:szCs w:val="20"/>
          <w:color w:val="auto"/>
        </w:rPr>
      </w:pPr>
      <w:r>
        <w:rPr>
          <w:rFonts w:ascii="Arial" w:cs="Arial" w:eastAsia="Arial" w:hAnsi="Arial"/>
          <w:sz w:val="20"/>
          <w:szCs w:val="20"/>
          <w:color w:val="auto"/>
        </w:rPr>
        <w:t>As amended hereby, the Employment Agreement will remain in full force and effect.</w:t>
      </w:r>
    </w:p>
    <w:p>
      <w:pPr>
        <w:spacing w:after="0" w:line="229" w:lineRule="exact"/>
        <w:rPr>
          <w:rFonts w:ascii="Arial" w:cs="Arial" w:eastAsia="Arial" w:hAnsi="Arial"/>
          <w:sz w:val="20"/>
          <w:szCs w:val="20"/>
          <w:color w:val="auto"/>
        </w:rPr>
      </w:pPr>
    </w:p>
    <w:p>
      <w:pPr>
        <w:ind w:left="660" w:hanging="365"/>
        <w:spacing w:after="0" w:line="287" w:lineRule="auto"/>
        <w:tabs>
          <w:tab w:leader="none" w:pos="694"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This Amendment may be executed, including execution by facsimile or electronic signature, in one or more counterparts, each of which shall be deemed an original, and all of which together shall be deemed to be one and the same instrument.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parties have each executed this Amendment No. 2 on the date first above written.</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740" w:type="dxa"/>
            <w:vAlign w:val="bottom"/>
          </w:tcPr>
          <w:p>
            <w:pPr>
              <w:spacing w:after="0"/>
              <w:rPr>
                <w:sz w:val="22"/>
                <w:szCs w:val="22"/>
                <w:color w:val="auto"/>
              </w:rPr>
            </w:pPr>
          </w:p>
        </w:tc>
        <w:tc>
          <w:tcPr>
            <w:tcW w:w="7020" w:type="dxa"/>
            <w:vAlign w:val="bottom"/>
            <w:gridSpan w:val="5"/>
          </w:tcPr>
          <w:p>
            <w:pPr>
              <w:ind w:left="3880"/>
              <w:spacing w:after="0"/>
              <w:rPr>
                <w:sz w:val="20"/>
                <w:szCs w:val="20"/>
                <w:color w:val="auto"/>
              </w:rPr>
            </w:pPr>
            <w:r>
              <w:rPr>
                <w:rFonts w:ascii="Arial" w:cs="Arial" w:eastAsia="Arial" w:hAnsi="Arial"/>
                <w:sz w:val="20"/>
                <w:szCs w:val="20"/>
                <w:b w:val="1"/>
                <w:bCs w:val="1"/>
                <w:color w:val="auto"/>
                <w:w w:val="98"/>
              </w:rPr>
              <w:t>ORASURE TECHNOLOGIES, INC.</w:t>
            </w:r>
          </w:p>
        </w:tc>
        <w:tc>
          <w:tcPr>
            <w:tcW w:w="0" w:type="dxa"/>
            <w:vAlign w:val="bottom"/>
          </w:tcPr>
          <w:p>
            <w:pPr>
              <w:spacing w:after="0"/>
              <w:rPr>
                <w:sz w:val="1"/>
                <w:szCs w:val="1"/>
                <w:color w:val="auto"/>
              </w:rPr>
            </w:pPr>
          </w:p>
        </w:tc>
      </w:tr>
      <w:tr>
        <w:trPr>
          <w:trHeight w:val="414"/>
        </w:trPr>
        <w:tc>
          <w:tcPr>
            <w:tcW w:w="1740" w:type="dxa"/>
            <w:vAlign w:val="bottom"/>
          </w:tcPr>
          <w:p>
            <w:pPr>
              <w:spacing w:after="0"/>
              <w:rPr>
                <w:sz w:val="20"/>
                <w:szCs w:val="20"/>
                <w:color w:val="auto"/>
              </w:rPr>
            </w:pPr>
            <w:r>
              <w:rPr>
                <w:rFonts w:ascii="Arial" w:cs="Arial" w:eastAsia="Arial" w:hAnsi="Arial"/>
                <w:sz w:val="20"/>
                <w:szCs w:val="20"/>
                <w:i w:val="1"/>
                <w:iCs w:val="1"/>
                <w:color w:val="auto"/>
                <w:w w:val="87"/>
              </w:rPr>
              <w:t>/s/ Kathleen G. Weber</w:t>
            </w:r>
          </w:p>
        </w:tc>
        <w:tc>
          <w:tcPr>
            <w:tcW w:w="7020" w:type="dxa"/>
            <w:vAlign w:val="bottom"/>
            <w:gridSpan w:val="5"/>
          </w:tcPr>
          <w:p>
            <w:pPr>
              <w:ind w:left="38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i w:val="1"/>
                <w:iCs w:val="1"/>
                <w:color w:val="auto"/>
              </w:rPr>
              <w:t>/s/ Carrie Eglinton Manner</w:t>
            </w:r>
          </w:p>
        </w:tc>
        <w:tc>
          <w:tcPr>
            <w:tcW w:w="0" w:type="dxa"/>
            <w:vAlign w:val="bottom"/>
          </w:tcPr>
          <w:p>
            <w:pPr>
              <w:spacing w:after="0"/>
              <w:rPr>
                <w:sz w:val="1"/>
                <w:szCs w:val="1"/>
                <w:color w:val="auto"/>
              </w:rPr>
            </w:pPr>
          </w:p>
        </w:tc>
      </w:tr>
      <w:tr>
        <w:trPr>
          <w:trHeight w:val="20"/>
        </w:trPr>
        <w:tc>
          <w:tcPr>
            <w:tcW w:w="174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1740" w:type="dxa"/>
            <w:vAlign w:val="bottom"/>
          </w:tcPr>
          <w:p>
            <w:pPr>
              <w:spacing w:after="0"/>
              <w:rPr>
                <w:sz w:val="20"/>
                <w:szCs w:val="20"/>
                <w:color w:val="auto"/>
              </w:rPr>
            </w:pPr>
            <w:r>
              <w:rPr>
                <w:rFonts w:ascii="Arial" w:cs="Arial" w:eastAsia="Arial" w:hAnsi="Arial"/>
                <w:sz w:val="20"/>
                <w:szCs w:val="20"/>
                <w:b w:val="1"/>
                <w:bCs w:val="1"/>
                <w:color w:val="auto"/>
                <w:w w:val="96"/>
              </w:rPr>
              <w:t>Kathleen G. Weber</w:t>
            </w:r>
          </w:p>
        </w:tc>
        <w:tc>
          <w:tcPr>
            <w:tcW w:w="7020" w:type="dxa"/>
            <w:vAlign w:val="bottom"/>
            <w:gridSpan w:val="5"/>
            <w:vMerge w:val="restart"/>
          </w:tcPr>
          <w:p>
            <w:pPr>
              <w:ind w:left="3880"/>
              <w:spacing w:after="0"/>
              <w:rPr>
                <w:sz w:val="20"/>
                <w:szCs w:val="20"/>
                <w:color w:val="auto"/>
              </w:rPr>
            </w:pPr>
            <w:r>
              <w:rPr>
                <w:rFonts w:ascii="Arial" w:cs="Arial" w:eastAsia="Arial" w:hAnsi="Arial"/>
                <w:sz w:val="20"/>
                <w:szCs w:val="20"/>
                <w:color w:val="auto"/>
              </w:rPr>
              <w:t>Title: President &amp; CEO</w:t>
            </w:r>
          </w:p>
        </w:tc>
        <w:tc>
          <w:tcPr>
            <w:tcW w:w="0" w:type="dxa"/>
            <w:vAlign w:val="bottom"/>
          </w:tcPr>
          <w:p>
            <w:pPr>
              <w:spacing w:after="0"/>
              <w:rPr>
                <w:sz w:val="1"/>
                <w:szCs w:val="1"/>
                <w:color w:val="auto"/>
              </w:rPr>
            </w:pPr>
          </w:p>
        </w:tc>
      </w:tr>
      <w:tr>
        <w:trPr>
          <w:trHeight w:val="185"/>
        </w:trPr>
        <w:tc>
          <w:tcPr>
            <w:tcW w:w="1740" w:type="dxa"/>
            <w:vAlign w:val="bottom"/>
          </w:tcPr>
          <w:p>
            <w:pPr>
              <w:spacing w:after="0"/>
              <w:rPr>
                <w:sz w:val="16"/>
                <w:szCs w:val="16"/>
                <w:color w:val="auto"/>
              </w:rPr>
            </w:pPr>
          </w:p>
        </w:tc>
        <w:tc>
          <w:tcPr>
            <w:tcW w:w="702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left="5620"/>
        <w:spacing w:after="0"/>
        <w:rPr>
          <w:sz w:val="20"/>
          <w:szCs w:val="20"/>
          <w:color w:val="auto"/>
        </w:rPr>
      </w:pPr>
      <w:r>
        <w:rPr>
          <w:rFonts w:ascii="Arial" w:cs="Arial" w:eastAsia="Arial" w:hAnsi="Arial"/>
          <w:sz w:val="20"/>
          <w:szCs w:val="20"/>
          <w:b w:val="1"/>
          <w:bCs w:val="1"/>
          <w:color w:val="auto"/>
        </w:rPr>
        <w:t>DNA GENOTEK, INC.</w:t>
      </w:r>
    </w:p>
    <w:p>
      <w:pPr>
        <w:spacing w:after="0" w:line="235"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i w:val="1"/>
          <w:iCs w:val="1"/>
          <w:u w:val="single" w:color="auto"/>
          <w:color w:val="auto"/>
        </w:rPr>
        <w:t>/s/ Carrie Eglinton Manner</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0"/>
          <w:szCs w:val="20"/>
          <w:u w:val="single" w:color="auto"/>
          <w:color w:val="auto"/>
        </w:rPr>
        <w:t>President &amp; CEO</w:t>
      </w:r>
    </w:p>
    <w:p>
      <w:pPr>
        <w:spacing w:after="0" w:line="200" w:lineRule="exact"/>
        <w:rPr>
          <w:sz w:val="20"/>
          <w:szCs w:val="20"/>
          <w:color w:val="auto"/>
        </w:rPr>
      </w:pPr>
    </w:p>
    <w:p>
      <w:pPr>
        <w:spacing w:after="0" w:line="254"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62865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20" w:top="121" w:right="359" w:bottom="1440" w:gutter="0" w:footer="0" w:header="0"/>
        </w:sectPr>
      </w:pPr>
    </w:p>
    <w:bookmarkStart w:id="106" w:name="page107"/>
    <w:bookmarkEnd w:id="106"/>
    <w:p>
      <w:pPr>
        <w:ind w:left="9700"/>
        <w:spacing w:after="0"/>
        <w:rPr>
          <w:sz w:val="20"/>
          <w:szCs w:val="20"/>
          <w:color w:val="auto"/>
        </w:rPr>
      </w:pPr>
      <w:r>
        <w:rPr>
          <w:rFonts w:ascii="Arial" w:cs="Arial" w:eastAsia="Arial" w:hAnsi="Arial"/>
          <w:sz w:val="18"/>
          <w:szCs w:val="18"/>
          <w:b w:val="1"/>
          <w:bCs w:val="1"/>
          <w:u w:val="single" w:color="auto"/>
          <w:color w:val="auto"/>
        </w:rPr>
        <w:t>Exhibit 23</w:t>
      </w: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line="220" w:lineRule="exact"/>
        <w:rPr>
          <w:sz w:val="20"/>
          <w:szCs w:val="20"/>
          <w:color w:val="auto"/>
        </w:rPr>
      </w:pPr>
      <w:r>
        <w:rPr>
          <w:rFonts w:ascii="Arial" w:cs="Arial" w:eastAsia="Arial" w:hAnsi="Arial"/>
          <w:sz w:val="18"/>
          <w:szCs w:val="18"/>
          <w:color w:val="auto"/>
        </w:rPr>
        <w:t>We consent to the incorporation by reference in the registration statements (Nos. 333</w:t>
      </w:r>
      <w:r>
        <w:rPr>
          <w:rFonts w:ascii="MS PGothic" w:cs="MS PGothic" w:eastAsia="MS PGothic" w:hAnsi="MS PGothic"/>
          <w:sz w:val="18"/>
          <w:szCs w:val="18"/>
          <w:color w:val="auto"/>
        </w:rPr>
        <w:t>‑</w:t>
      </w:r>
      <w:r>
        <w:rPr>
          <w:rFonts w:ascii="Arial" w:cs="Arial" w:eastAsia="Arial" w:hAnsi="Arial"/>
          <w:sz w:val="18"/>
          <w:szCs w:val="18"/>
          <w:color w:val="auto"/>
        </w:rPr>
        <w:t>262633 and 333-228877) on Form S-3 and registration statements (Nos. 333-248424, 333</w:t>
      </w:r>
      <w:r>
        <w:rPr>
          <w:rFonts w:ascii="MS PGothic" w:cs="MS PGothic" w:eastAsia="MS PGothic" w:hAnsi="MS PGothic"/>
          <w:sz w:val="18"/>
          <w:szCs w:val="18"/>
          <w:color w:val="auto"/>
        </w:rPr>
        <w:t>‑</w:t>
      </w:r>
      <w:r>
        <w:rPr>
          <w:rFonts w:ascii="Arial" w:cs="Arial" w:eastAsia="Arial" w:hAnsi="Arial"/>
          <w:sz w:val="18"/>
          <w:szCs w:val="18"/>
          <w:color w:val="auto"/>
        </w:rPr>
        <w:t>220148, 333</w:t>
      </w:r>
      <w:r>
        <w:rPr>
          <w:rFonts w:ascii="MS PGothic" w:cs="MS PGothic" w:eastAsia="MS PGothic" w:hAnsi="MS PGothic"/>
          <w:sz w:val="18"/>
          <w:szCs w:val="18"/>
          <w:color w:val="auto"/>
        </w:rPr>
        <w:t>‑</w:t>
      </w:r>
      <w:r>
        <w:rPr>
          <w:rFonts w:ascii="Arial" w:cs="Arial" w:eastAsia="Arial" w:hAnsi="Arial"/>
          <w:sz w:val="18"/>
          <w:szCs w:val="18"/>
          <w:color w:val="auto"/>
        </w:rPr>
        <w:t>118385, 333</w:t>
      </w:r>
      <w:r>
        <w:rPr>
          <w:rFonts w:ascii="MS PGothic" w:cs="MS PGothic" w:eastAsia="MS PGothic" w:hAnsi="MS PGothic"/>
          <w:sz w:val="18"/>
          <w:szCs w:val="18"/>
          <w:color w:val="auto"/>
        </w:rPr>
        <w:t>‑</w:t>
      </w:r>
      <w:r>
        <w:rPr>
          <w:rFonts w:ascii="Arial" w:cs="Arial" w:eastAsia="Arial" w:hAnsi="Arial"/>
          <w:sz w:val="18"/>
          <w:szCs w:val="18"/>
          <w:color w:val="auto"/>
        </w:rPr>
        <w:t>102235, 333</w:t>
      </w:r>
      <w:r>
        <w:rPr>
          <w:rFonts w:ascii="MS PGothic" w:cs="MS PGothic" w:eastAsia="MS PGothic" w:hAnsi="MS PGothic"/>
          <w:sz w:val="18"/>
          <w:szCs w:val="18"/>
          <w:color w:val="auto"/>
        </w:rPr>
        <w:t>‑</w:t>
      </w:r>
      <w:r>
        <w:rPr>
          <w:rFonts w:ascii="Arial" w:cs="Arial" w:eastAsia="Arial" w:hAnsi="Arial"/>
          <w:sz w:val="18"/>
          <w:szCs w:val="18"/>
          <w:color w:val="auto"/>
        </w:rPr>
        <w:t>50340, 333</w:t>
      </w:r>
      <w:r>
        <w:rPr>
          <w:rFonts w:ascii="MS PGothic" w:cs="MS PGothic" w:eastAsia="MS PGothic" w:hAnsi="MS PGothic"/>
          <w:sz w:val="18"/>
          <w:szCs w:val="18"/>
          <w:color w:val="auto"/>
        </w:rPr>
        <w:t>‑</w:t>
      </w:r>
      <w:r>
        <w:rPr>
          <w:rFonts w:ascii="Arial" w:cs="Arial" w:eastAsia="Arial" w:hAnsi="Arial"/>
          <w:sz w:val="18"/>
          <w:szCs w:val="18"/>
          <w:color w:val="auto"/>
        </w:rPr>
        <w:t>138814, 333</w:t>
      </w:r>
      <w:r>
        <w:rPr>
          <w:rFonts w:ascii="MS PGothic" w:cs="MS PGothic" w:eastAsia="MS PGothic" w:hAnsi="MS PGothic"/>
          <w:sz w:val="18"/>
          <w:szCs w:val="18"/>
          <w:color w:val="auto"/>
        </w:rPr>
        <w:t>‑</w:t>
      </w:r>
      <w:r>
        <w:rPr>
          <w:rFonts w:ascii="Arial" w:cs="Arial" w:eastAsia="Arial" w:hAnsi="Arial"/>
          <w:sz w:val="18"/>
          <w:szCs w:val="18"/>
          <w:color w:val="auto"/>
        </w:rPr>
        <w:t>151077, 333</w:t>
      </w:r>
      <w:r>
        <w:rPr>
          <w:rFonts w:ascii="MS PGothic" w:cs="MS PGothic" w:eastAsia="MS PGothic" w:hAnsi="MS PGothic"/>
          <w:sz w:val="18"/>
          <w:szCs w:val="18"/>
          <w:color w:val="auto"/>
        </w:rPr>
        <w:t>‑</w:t>
      </w:r>
      <w:r>
        <w:rPr>
          <w:rFonts w:ascii="Arial" w:cs="Arial" w:eastAsia="Arial" w:hAnsi="Arial"/>
          <w:sz w:val="18"/>
          <w:szCs w:val="18"/>
          <w:color w:val="auto"/>
        </w:rPr>
        <w:t>176315 and 333</w:t>
      </w:r>
      <w:r>
        <w:rPr>
          <w:rFonts w:ascii="MS PGothic" w:cs="MS PGothic" w:eastAsia="MS PGothic" w:hAnsi="MS PGothic"/>
          <w:sz w:val="18"/>
          <w:szCs w:val="18"/>
          <w:color w:val="auto"/>
        </w:rPr>
        <w:t>‑</w:t>
      </w:r>
      <w:r>
        <w:rPr>
          <w:rFonts w:ascii="Arial" w:cs="Arial" w:eastAsia="Arial" w:hAnsi="Arial"/>
          <w:sz w:val="18"/>
          <w:szCs w:val="18"/>
          <w:color w:val="auto"/>
        </w:rPr>
        <w:t>198237) on Form S-8 of our reports dated March 3, 2023, with respect to the consolidated financial statements of OraSure Technologies, Inc. and the effectiveness of internal control over financial reporting.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2033270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u w:val="single" w:color="auto"/>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79"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8"/>
          <w:szCs w:val="18"/>
          <w:color w:val="auto"/>
        </w:rPr>
        <w:t xml:space="preserve">KNOW ALL BY THESE PRESENTS, that the undersigned constitutes and appoints </w:t>
      </w:r>
      <w:r>
        <w:rPr>
          <w:rFonts w:ascii="Arial" w:cs="Arial" w:eastAsia="Arial" w:hAnsi="Arial"/>
          <w:sz w:val="18"/>
          <w:szCs w:val="18"/>
          <w:b w:val="1"/>
          <w:bCs w:val="1"/>
          <w:color w:val="auto"/>
        </w:rPr>
        <w:t>Michele Anthony and Stefano Taucer</w:t>
      </w:r>
      <w:r>
        <w:rPr>
          <w:rFonts w:ascii="Arial" w:cs="Arial" w:eastAsia="Arial" w:hAnsi="Arial"/>
          <w:sz w:val="18"/>
          <w:szCs w:val="18"/>
          <w:color w:val="auto"/>
        </w:rPr>
        <w:t xml:space="preserve"> and each of them, her true and lawful attorneys-in-fact and agents, with full power of substitution and resubstitution for the undersigned and in the undersigned’s name, place, and stead, in any and all capacities, to sign the Annual Report on Form 10-K of OraSure Technologies, Inc., for the year ended December 31, 2022, and any and all amendments to such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the undersigned might or could do in person, hereby ratifying and confirming all that said attorneys-in-fact and agents, or each of them or their or his substitute or substitutes, may lawfully do or cause to be done by virtue hereof.</w:t>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this Power of Attorney has been signed by the undersigned effective as of February 10, 2023</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i w:val="1"/>
          <w:iCs w:val="1"/>
          <w:u w:val="single" w:color="auto"/>
          <w:color w:val="auto"/>
        </w:rPr>
        <w:t>/s/ Mara G. Aspinall</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ind w:left="4520"/>
        <w:spacing w:after="0"/>
        <w:rPr>
          <w:sz w:val="20"/>
          <w:szCs w:val="20"/>
          <w:color w:val="auto"/>
        </w:rPr>
      </w:pPr>
      <w:r>
        <w:rPr>
          <w:rFonts w:ascii="Arial" w:cs="Arial" w:eastAsia="Arial" w:hAnsi="Arial"/>
          <w:sz w:val="18"/>
          <w:szCs w:val="18"/>
          <w:u w:val="single" w:color="auto"/>
          <w:color w:val="auto"/>
        </w:rPr>
        <w:t>Mara G. Aspinall</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jc w:val="center"/>
        <w:ind w:right="-59"/>
        <w:spacing w:after="0"/>
        <w:rPr>
          <w:sz w:val="20"/>
          <w:szCs w:val="20"/>
          <w:color w:val="auto"/>
        </w:rPr>
      </w:pPr>
      <w:r>
        <w:rPr>
          <w:rFonts w:ascii="Arial" w:cs="Arial" w:eastAsia="Arial" w:hAnsi="Arial"/>
          <w:sz w:val="18"/>
          <w:szCs w:val="18"/>
          <w:b w:val="1"/>
          <w:bCs w:val="1"/>
          <w:color w:val="auto"/>
        </w:rPr>
        <w:t>POWER OF ATTORNEY</w:t>
      </w:r>
    </w:p>
    <w:p>
      <w:pPr>
        <w:spacing w:after="0" w:line="279"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8"/>
          <w:szCs w:val="18"/>
          <w:color w:val="auto"/>
        </w:rPr>
        <w:t xml:space="preserve">KNOW ALL BY THESE PRESENTS, that the undersigned constitutes and appoints </w:t>
      </w:r>
      <w:r>
        <w:rPr>
          <w:rFonts w:ascii="Arial" w:cs="Arial" w:eastAsia="Arial" w:hAnsi="Arial"/>
          <w:sz w:val="18"/>
          <w:szCs w:val="18"/>
          <w:b w:val="1"/>
          <w:bCs w:val="1"/>
          <w:color w:val="auto"/>
        </w:rPr>
        <w:t>Michele Anthony and Stefano Taucer,</w:t>
      </w:r>
      <w:r>
        <w:rPr>
          <w:rFonts w:ascii="Arial" w:cs="Arial" w:eastAsia="Arial" w:hAnsi="Arial"/>
          <w:sz w:val="18"/>
          <w:szCs w:val="18"/>
          <w:color w:val="auto"/>
        </w:rPr>
        <w:t xml:space="preserve"> and each of them, his true and lawful attorneys-in-fact and agents, with full power of substitution and resubstitution for the undersigned and in the undersigned’s name, place, and stead, in any and all capacities, to sign the Annual Report on Form 10-K of OraSure Technologies, Inc., for the year ended December 31, 2022, and any and all amendments to such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the undersigned might or could do in person, hereby ratifying and confirming all that said attorneys-in-fact and agents, or each of them or their or his substitute or substitutes, may lawfully do or cause to be done by virtue hereof.</w:t>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this Power of Attorney has been signed by the undersigned effective as of February 10, 2023.</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i w:val="1"/>
          <w:iCs w:val="1"/>
          <w:u w:val="single" w:color="auto"/>
          <w:color w:val="auto"/>
        </w:rPr>
        <w:t>/s/ James. A. Datin</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ind w:left="4520"/>
        <w:spacing w:after="0"/>
        <w:rPr>
          <w:sz w:val="20"/>
          <w:szCs w:val="20"/>
          <w:color w:val="auto"/>
        </w:rPr>
      </w:pPr>
      <w:r>
        <w:rPr>
          <w:rFonts w:ascii="Arial" w:cs="Arial" w:eastAsia="Arial" w:hAnsi="Arial"/>
          <w:sz w:val="18"/>
          <w:szCs w:val="18"/>
          <w:u w:val="single" w:color="auto"/>
          <w:color w:val="auto"/>
        </w:rPr>
        <w:t>James A. Datin</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79"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8"/>
          <w:szCs w:val="18"/>
          <w:color w:val="auto"/>
        </w:rPr>
        <w:t xml:space="preserve">KNOW ALL BY THESE PRESENTS, that the undersigned constitutes and appoints </w:t>
      </w:r>
      <w:r>
        <w:rPr>
          <w:rFonts w:ascii="Arial" w:cs="Arial" w:eastAsia="Arial" w:hAnsi="Arial"/>
          <w:sz w:val="18"/>
          <w:szCs w:val="18"/>
          <w:b w:val="1"/>
          <w:bCs w:val="1"/>
          <w:color w:val="auto"/>
        </w:rPr>
        <w:t>Michele Anthony and Stefano Taucer,</w:t>
      </w:r>
      <w:r>
        <w:rPr>
          <w:rFonts w:ascii="Arial" w:cs="Arial" w:eastAsia="Arial" w:hAnsi="Arial"/>
          <w:sz w:val="18"/>
          <w:szCs w:val="18"/>
          <w:color w:val="auto"/>
        </w:rPr>
        <w:t xml:space="preserve"> and each of them, her true and lawful attorneys-in-fact and agents, with full power of substitution and resubstitution for the undersigned and in the undersigned’s name, place, and stead, in any and all capacities, to sign the Annual Report on Form 10-K of OraSure Technologies, Inc., for the year ended December 31, 2022, and any and all amendments to such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the undersigned might or could do in person, hereby ratifying and confirming all that said attorneys-in-fact and agents, or each of them or their or his substitute or substitutes, may lawfully do or cause to be done by virtue hereof.</w:t>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this Power of Attorney has been signed by the undersigned effective as of February 10, 2023.</w:t>
      </w:r>
    </w:p>
    <w:p>
      <w:pPr>
        <w:spacing w:after="0" w:line="225" w:lineRule="exact"/>
        <w:rPr>
          <w:sz w:val="20"/>
          <w:szCs w:val="20"/>
          <w:color w:val="auto"/>
        </w:rPr>
      </w:pPr>
    </w:p>
    <w:p>
      <w:pPr>
        <w:ind w:left="4180"/>
        <w:spacing w:after="0"/>
        <w:rPr>
          <w:sz w:val="20"/>
          <w:szCs w:val="20"/>
          <w:color w:val="auto"/>
        </w:rPr>
      </w:pPr>
      <w:r>
        <w:rPr>
          <w:rFonts w:ascii="Arial" w:cs="Arial" w:eastAsia="Arial" w:hAnsi="Arial"/>
          <w:sz w:val="18"/>
          <w:szCs w:val="18"/>
          <w:i w:val="1"/>
          <w:iCs w:val="1"/>
          <w:u w:val="single" w:color="auto"/>
          <w:color w:val="auto"/>
        </w:rPr>
        <w:t>/s/ Nancy J. Gagliano, M.D.</w:t>
      </w:r>
    </w:p>
    <w:p>
      <w:pPr>
        <w:spacing w:after="0" w:line="2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ind w:left="4180"/>
        <w:spacing w:after="0"/>
        <w:rPr>
          <w:sz w:val="20"/>
          <w:szCs w:val="20"/>
          <w:color w:val="auto"/>
        </w:rPr>
      </w:pPr>
      <w:r>
        <w:rPr>
          <w:rFonts w:ascii="Arial" w:cs="Arial" w:eastAsia="Arial" w:hAnsi="Arial"/>
          <w:sz w:val="18"/>
          <w:szCs w:val="18"/>
          <w:u w:val="single" w:color="auto"/>
          <w:color w:val="auto"/>
        </w:rPr>
        <w:t>Nancy J. Gagliano, M.D.</w:t>
      </w:r>
    </w:p>
    <w:p>
      <w:pPr>
        <w:spacing w:after="0" w:line="2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79"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8"/>
          <w:szCs w:val="18"/>
          <w:color w:val="auto"/>
        </w:rPr>
        <w:t xml:space="preserve">KNOW ALL BY THESE PRESENTS, that the undersigned constitutes and appoints </w:t>
      </w:r>
      <w:r>
        <w:rPr>
          <w:rFonts w:ascii="Arial" w:cs="Arial" w:eastAsia="Arial" w:hAnsi="Arial"/>
          <w:sz w:val="18"/>
          <w:szCs w:val="18"/>
          <w:b w:val="1"/>
          <w:bCs w:val="1"/>
          <w:color w:val="auto"/>
        </w:rPr>
        <w:t>Michele Anthony and Stefano Taucer</w:t>
      </w:r>
      <w:r>
        <w:rPr>
          <w:rFonts w:ascii="Arial" w:cs="Arial" w:eastAsia="Arial" w:hAnsi="Arial"/>
          <w:sz w:val="18"/>
          <w:szCs w:val="18"/>
          <w:color w:val="auto"/>
        </w:rPr>
        <w:t xml:space="preserve"> and each of them, his true and lawful attorneys-in-fact and agents, with full power of substitution and resubstitution for the undersigned and in the undersigned’s name, place, and stead, in any and all capacities, to sign the Annual Report on Form 10-K of OraSure Technologies, Inc., for the year ended December 31, 2022, and any and all amendments to such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the undersigned might or could do in person, hereby ratifying and confirming all that said attorneys-in-fact and agents, or each of them or their or his substitute or substitutes, may lawfully do or cause to be done by virtue hereof.</w:t>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this Power of Attorney has been signed by the undersigned effective as of February 10, 2023.</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i w:val="1"/>
          <w:iCs w:val="1"/>
          <w:u w:val="single" w:color="auto"/>
          <w:color w:val="auto"/>
        </w:rPr>
        <w:t>/s/ Lelio Marmora</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ind w:left="4520"/>
        <w:spacing w:after="0"/>
        <w:rPr>
          <w:sz w:val="20"/>
          <w:szCs w:val="20"/>
          <w:color w:val="auto"/>
        </w:rPr>
      </w:pPr>
      <w:r>
        <w:rPr>
          <w:rFonts w:ascii="Arial" w:cs="Arial" w:eastAsia="Arial" w:hAnsi="Arial"/>
          <w:sz w:val="18"/>
          <w:szCs w:val="18"/>
          <w:u w:val="single" w:color="auto"/>
          <w:color w:val="auto"/>
        </w:rPr>
        <w:t>Lelio Marmora</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79"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8"/>
          <w:szCs w:val="18"/>
          <w:color w:val="auto"/>
        </w:rPr>
        <w:t xml:space="preserve">KNOW ALL BY THESE PRESENTS, that the undersigned constitutes and appoints </w:t>
      </w:r>
      <w:r>
        <w:rPr>
          <w:rFonts w:ascii="Arial" w:cs="Arial" w:eastAsia="Arial" w:hAnsi="Arial"/>
          <w:sz w:val="18"/>
          <w:szCs w:val="18"/>
          <w:b w:val="1"/>
          <w:bCs w:val="1"/>
          <w:color w:val="auto"/>
        </w:rPr>
        <w:t>Michele Anthony and Stefano Taucer</w:t>
      </w:r>
      <w:r>
        <w:rPr>
          <w:rFonts w:ascii="Arial" w:cs="Arial" w:eastAsia="Arial" w:hAnsi="Arial"/>
          <w:sz w:val="18"/>
          <w:szCs w:val="18"/>
          <w:color w:val="auto"/>
        </w:rPr>
        <w:t xml:space="preserve"> and each of them, his true and lawful attorneys-in-fact and agents, with full power of substitution and resubstitution for the undersigned and in the undersigned’s name, place, and stead, in any and all capacities, to sign the Annual Report on Form 10-K of OraSure Technologies, Inc., for the year ended December 31, 2022, and any and all amendments to such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the undersigned might or could do in person, hereby ratifying and confirming all that said attorneys-in-fact and agents, or each of them or their or his substitute or substitutes, may lawfully do or cause to be done by virtue hereof.</w:t>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this Power of Attorney has been signed by the undersigned effective as of February 10, 2023.</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i w:val="1"/>
          <w:iCs w:val="1"/>
          <w:u w:val="single" w:color="auto"/>
          <w:color w:val="auto"/>
        </w:rPr>
        <w:t>/s/ David J. Shulkin</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ind w:left="4520"/>
        <w:spacing w:after="0"/>
        <w:rPr>
          <w:sz w:val="20"/>
          <w:szCs w:val="20"/>
          <w:color w:val="auto"/>
        </w:rPr>
      </w:pPr>
      <w:r>
        <w:rPr>
          <w:rFonts w:ascii="Arial" w:cs="Arial" w:eastAsia="Arial" w:hAnsi="Arial"/>
          <w:sz w:val="18"/>
          <w:szCs w:val="18"/>
          <w:u w:val="single" w:color="auto"/>
          <w:color w:val="auto"/>
        </w:rPr>
        <w:t>David J. Shulkin</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79"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8"/>
          <w:szCs w:val="18"/>
          <w:color w:val="auto"/>
        </w:rPr>
        <w:t xml:space="preserve">KNOW ALL BY THESE PRESENTS, that the undersigned constitutes and appoints </w:t>
      </w:r>
      <w:r>
        <w:rPr>
          <w:rFonts w:ascii="Arial" w:cs="Arial" w:eastAsia="Arial" w:hAnsi="Arial"/>
          <w:sz w:val="18"/>
          <w:szCs w:val="18"/>
          <w:b w:val="1"/>
          <w:bCs w:val="1"/>
          <w:color w:val="auto"/>
        </w:rPr>
        <w:t>Michele Anthony and Stefano Taucer,</w:t>
      </w:r>
      <w:r>
        <w:rPr>
          <w:rFonts w:ascii="Arial" w:cs="Arial" w:eastAsia="Arial" w:hAnsi="Arial"/>
          <w:sz w:val="18"/>
          <w:szCs w:val="18"/>
          <w:color w:val="auto"/>
        </w:rPr>
        <w:t xml:space="preserve"> and each of them, her true and lawful attorneys-in-fact and agents, with full power of substitution and resubstitution for the undersigned and in the undersigned’s name, place, and stead, in any and all capacities, to sign the Annual Report on Form 10-K of OraSure Technologies, Inc., for the year ended December 31, 2022, and any and all amendments to such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the undersigned might or could do in person, hereby ratifying and confirming all that said attorneys-in-fact and agents, or each of them or their or his substitute or substitutes, may lawfully do or cause to be done by virtue hereof.</w:t>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this Power of Attorney has been signed by the undersigned effective as of February 10, 2023.</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i w:val="1"/>
          <w:iCs w:val="1"/>
          <w:u w:val="single" w:color="auto"/>
          <w:color w:val="auto"/>
        </w:rPr>
        <w:t>/s/ Anne C. Whitaker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ind w:left="4520"/>
        <w:spacing w:after="0"/>
        <w:rPr>
          <w:sz w:val="20"/>
          <w:szCs w:val="20"/>
          <w:color w:val="auto"/>
        </w:rPr>
      </w:pPr>
      <w:r>
        <w:rPr>
          <w:rFonts w:ascii="Arial" w:cs="Arial" w:eastAsia="Arial" w:hAnsi="Arial"/>
          <w:sz w:val="18"/>
          <w:szCs w:val="18"/>
          <w:u w:val="single" w:color="auto"/>
          <w:color w:val="auto"/>
        </w:rPr>
        <w:t>Anne C. Whitaker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Carrie Eglinton Manner., certify that:</w:t>
      </w:r>
    </w:p>
    <w:p>
      <w:pPr>
        <w:spacing w:after="0" w:line="225" w:lineRule="exact"/>
        <w:rPr>
          <w:sz w:val="20"/>
          <w:szCs w:val="20"/>
          <w:color w:val="auto"/>
        </w:rPr>
      </w:pPr>
    </w:p>
    <w:p>
      <w:pPr>
        <w:ind w:left="800" w:hanging="792"/>
        <w:spacing w:after="0"/>
        <w:tabs>
          <w:tab w:leader="none" w:pos="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OraSure Technologies, Inc.;</w:t>
      </w:r>
    </w:p>
    <w:p>
      <w:pPr>
        <w:spacing w:after="0" w:line="225" w:lineRule="exact"/>
        <w:rPr>
          <w:rFonts w:ascii="Arial" w:cs="Arial" w:eastAsia="Arial" w:hAnsi="Arial"/>
          <w:sz w:val="18"/>
          <w:szCs w:val="18"/>
          <w:color w:val="auto"/>
        </w:rPr>
      </w:pPr>
    </w:p>
    <w:p>
      <w:pPr>
        <w:jc w:val="both"/>
        <w:ind w:left="380" w:hanging="372"/>
        <w:spacing w:after="0" w:line="263" w:lineRule="auto"/>
        <w:tabs>
          <w:tab w:leader="none" w:pos="3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80" w:hanging="372"/>
        <w:spacing w:after="0" w:line="277" w:lineRule="auto"/>
        <w:tabs>
          <w:tab w:leader="none" w:pos="3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80" w:hanging="372"/>
        <w:spacing w:after="0" w:line="291" w:lineRule="auto"/>
        <w:tabs>
          <w:tab w:leader="none" w:pos="3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 – 15(e) and 15d –15(e)) and internal control over financial reporting (as defined in Exchange Act Rules 13a – 15(f) and 15d</w:t>
      </w:r>
    </w:p>
    <w:p>
      <w:pPr>
        <w:ind w:left="380"/>
        <w:spacing w:after="0"/>
        <w:rPr>
          <w:rFonts w:ascii="Arial" w:cs="Arial" w:eastAsia="Arial" w:hAnsi="Arial"/>
          <w:sz w:val="16"/>
          <w:szCs w:val="16"/>
          <w:color w:val="auto"/>
        </w:rPr>
      </w:pPr>
      <w:r>
        <w:rPr>
          <w:rFonts w:ascii="Arial" w:cs="Arial" w:eastAsia="Arial" w:hAnsi="Arial"/>
          <w:sz w:val="18"/>
          <w:szCs w:val="18"/>
          <w:color w:val="auto"/>
        </w:rPr>
        <w:t>– 15(f)) for the registrant and have:</w:t>
      </w:r>
    </w:p>
    <w:p>
      <w:pPr>
        <w:spacing w:after="0" w:line="210" w:lineRule="exact"/>
        <w:rPr>
          <w:rFonts w:ascii="Arial" w:cs="Arial" w:eastAsia="Arial" w:hAnsi="Arial"/>
          <w:sz w:val="16"/>
          <w:szCs w:val="16"/>
          <w:color w:val="auto"/>
        </w:rPr>
      </w:pPr>
    </w:p>
    <w:p>
      <w:pPr>
        <w:jc w:val="both"/>
        <w:ind w:left="1140" w:hanging="383"/>
        <w:spacing w:after="0" w:line="263" w:lineRule="auto"/>
        <w:tabs>
          <w:tab w:leader="none" w:pos="1125" w:val="left"/>
        </w:tabs>
        <w:numPr>
          <w:ilvl w:val="2"/>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the entity, particularly during the period in which this report is being prepared;</w:t>
      </w:r>
    </w:p>
    <w:p>
      <w:pPr>
        <w:spacing w:after="0" w:line="183" w:lineRule="exact"/>
        <w:rPr>
          <w:rFonts w:ascii="Arial" w:cs="Arial" w:eastAsia="Arial" w:hAnsi="Arial"/>
          <w:sz w:val="18"/>
          <w:szCs w:val="18"/>
          <w:color w:val="auto"/>
        </w:rPr>
      </w:pPr>
    </w:p>
    <w:p>
      <w:pPr>
        <w:jc w:val="both"/>
        <w:ind w:left="1140" w:hanging="383"/>
        <w:spacing w:after="0" w:line="263" w:lineRule="auto"/>
        <w:tabs>
          <w:tab w:leader="none" w:pos="1125" w:val="left"/>
        </w:tabs>
        <w:numPr>
          <w:ilvl w:val="2"/>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140" w:right="20" w:hanging="383"/>
        <w:spacing w:after="0" w:line="342" w:lineRule="auto"/>
        <w:tabs>
          <w:tab w:leader="none" w:pos="1125" w:val="left"/>
        </w:tabs>
        <w:numPr>
          <w:ilvl w:val="2"/>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140" w:hanging="383"/>
        <w:spacing w:after="0" w:line="263" w:lineRule="auto"/>
        <w:tabs>
          <w:tab w:leader="none" w:pos="1125" w:val="left"/>
        </w:tabs>
        <w:numPr>
          <w:ilvl w:val="2"/>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80" w:right="20" w:hanging="372"/>
        <w:spacing w:after="0" w:line="277" w:lineRule="auto"/>
        <w:tabs>
          <w:tab w:leader="none" w:pos="366"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1140" w:hanging="383"/>
        <w:spacing w:after="0" w:line="308" w:lineRule="auto"/>
        <w:tabs>
          <w:tab w:leader="none" w:pos="1140" w:val="left"/>
        </w:tabs>
        <w:numPr>
          <w:ilvl w:val="2"/>
          <w:numId w:val="5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140" w:hanging="383"/>
        <w:spacing w:after="0" w:line="277" w:lineRule="auto"/>
        <w:tabs>
          <w:tab w:leader="none" w:pos="1140" w:val="left"/>
        </w:tabs>
        <w:numPr>
          <w:ilvl w:val="2"/>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March 3, 2023</w:t>
      </w:r>
    </w:p>
    <w:p>
      <w:pPr>
        <w:spacing w:after="0" w:line="239" w:lineRule="exact"/>
        <w:rPr>
          <w:sz w:val="20"/>
          <w:szCs w:val="20"/>
          <w:color w:val="auto"/>
        </w:rPr>
      </w:pPr>
    </w:p>
    <w:p>
      <w:pPr>
        <w:ind w:left="4600"/>
        <w:spacing w:after="0"/>
        <w:rPr>
          <w:sz w:val="20"/>
          <w:szCs w:val="20"/>
          <w:color w:val="auto"/>
        </w:rPr>
      </w:pPr>
      <w:r>
        <w:rPr>
          <w:rFonts w:ascii="Arial" w:cs="Arial" w:eastAsia="Arial" w:hAnsi="Arial"/>
          <w:sz w:val="18"/>
          <w:szCs w:val="18"/>
          <w:i w:val="1"/>
          <w:iCs w:val="1"/>
          <w:u w:val="single" w:color="auto"/>
          <w:color w:val="auto"/>
        </w:rPr>
        <w:t>/s/ Carrie Eglinton Manner</w:t>
      </w:r>
    </w:p>
    <w:p>
      <w:pPr>
        <w:spacing w:after="0" w:line="2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Carrie Eglinton Manner</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Kenneth J. McGrath, certify that:</w:t>
      </w:r>
    </w:p>
    <w:p>
      <w:pPr>
        <w:spacing w:after="0" w:line="225" w:lineRule="exact"/>
        <w:rPr>
          <w:sz w:val="20"/>
          <w:szCs w:val="20"/>
          <w:color w:val="auto"/>
        </w:rPr>
      </w:pPr>
    </w:p>
    <w:p>
      <w:pPr>
        <w:ind w:left="400" w:hanging="392"/>
        <w:spacing w:after="0"/>
        <w:tabs>
          <w:tab w:leader="none" w:pos="4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OraSure Technologies, Inc.;</w:t>
      </w:r>
    </w:p>
    <w:p>
      <w:pPr>
        <w:spacing w:after="0" w:line="225" w:lineRule="exact"/>
        <w:rPr>
          <w:rFonts w:ascii="Arial" w:cs="Arial" w:eastAsia="Arial" w:hAnsi="Arial"/>
          <w:sz w:val="18"/>
          <w:szCs w:val="18"/>
          <w:color w:val="auto"/>
        </w:rPr>
      </w:pPr>
    </w:p>
    <w:p>
      <w:pPr>
        <w:jc w:val="both"/>
        <w:ind w:left="380" w:hanging="372"/>
        <w:spacing w:after="0" w:line="263" w:lineRule="auto"/>
        <w:tabs>
          <w:tab w:leader="none" w:pos="3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80" w:hanging="372"/>
        <w:spacing w:after="0" w:line="277" w:lineRule="auto"/>
        <w:tabs>
          <w:tab w:leader="none" w:pos="3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80" w:hanging="372"/>
        <w:spacing w:after="0" w:line="291" w:lineRule="auto"/>
        <w:tabs>
          <w:tab w:leader="none" w:pos="3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 – 15(e) and 15d –15(e)) and internal control over financial reporting (as defined in Exchange Act Rules 13a – 15(f) and 15d</w:t>
      </w:r>
    </w:p>
    <w:p>
      <w:pPr>
        <w:ind w:left="380"/>
        <w:spacing w:after="0"/>
        <w:rPr>
          <w:rFonts w:ascii="Arial" w:cs="Arial" w:eastAsia="Arial" w:hAnsi="Arial"/>
          <w:sz w:val="16"/>
          <w:szCs w:val="16"/>
          <w:color w:val="auto"/>
        </w:rPr>
      </w:pPr>
      <w:r>
        <w:rPr>
          <w:rFonts w:ascii="Arial" w:cs="Arial" w:eastAsia="Arial" w:hAnsi="Arial"/>
          <w:sz w:val="18"/>
          <w:szCs w:val="18"/>
          <w:color w:val="auto"/>
        </w:rPr>
        <w:t>– 15(f)) for the registrant and have:</w:t>
      </w:r>
    </w:p>
    <w:p>
      <w:pPr>
        <w:spacing w:after="0" w:line="210" w:lineRule="exact"/>
        <w:rPr>
          <w:rFonts w:ascii="Arial" w:cs="Arial" w:eastAsia="Arial" w:hAnsi="Arial"/>
          <w:sz w:val="16"/>
          <w:szCs w:val="16"/>
          <w:color w:val="auto"/>
        </w:rPr>
      </w:pPr>
    </w:p>
    <w:p>
      <w:pPr>
        <w:jc w:val="both"/>
        <w:ind w:left="1600" w:right="20" w:hanging="843"/>
        <w:spacing w:after="0" w:line="286" w:lineRule="auto"/>
        <w:tabs>
          <w:tab w:leader="none" w:pos="1600" w:val="left"/>
        </w:tabs>
        <w:numPr>
          <w:ilvl w:val="2"/>
          <w:numId w:val="5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the entity, particularly during the period in which this report is being prepared;</w:t>
      </w:r>
    </w:p>
    <w:p>
      <w:pPr>
        <w:spacing w:after="0" w:line="165" w:lineRule="exact"/>
        <w:rPr>
          <w:rFonts w:ascii="Arial" w:cs="Arial" w:eastAsia="Arial" w:hAnsi="Arial"/>
          <w:sz w:val="17"/>
          <w:szCs w:val="17"/>
          <w:color w:val="auto"/>
        </w:rPr>
      </w:pPr>
    </w:p>
    <w:p>
      <w:pPr>
        <w:jc w:val="both"/>
        <w:ind w:left="1600" w:hanging="843"/>
        <w:spacing w:after="0" w:line="263" w:lineRule="auto"/>
        <w:tabs>
          <w:tab w:leader="none" w:pos="1600" w:val="left"/>
        </w:tabs>
        <w:numPr>
          <w:ilvl w:val="2"/>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600" w:hanging="842"/>
        <w:spacing w:after="0" w:line="263" w:lineRule="auto"/>
        <w:tabs>
          <w:tab w:leader="none" w:pos="1118" w:val="left"/>
        </w:tabs>
        <w:numPr>
          <w:ilvl w:val="2"/>
          <w:numId w:val="5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600" w:hanging="843"/>
        <w:spacing w:after="0" w:line="263" w:lineRule="auto"/>
        <w:tabs>
          <w:tab w:leader="none" w:pos="1600" w:val="left"/>
        </w:tabs>
        <w:numPr>
          <w:ilvl w:val="2"/>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760" w:hanging="752"/>
        <w:spacing w:after="0" w:line="277" w:lineRule="auto"/>
        <w:tabs>
          <w:tab w:leader="none" w:pos="7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1600" w:hanging="843"/>
        <w:spacing w:after="0" w:line="342" w:lineRule="auto"/>
        <w:tabs>
          <w:tab w:leader="none" w:pos="1600" w:val="left"/>
        </w:tabs>
        <w:numPr>
          <w:ilvl w:val="2"/>
          <w:numId w:val="5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600" w:right="20" w:hanging="843"/>
        <w:spacing w:after="0" w:line="277" w:lineRule="auto"/>
        <w:tabs>
          <w:tab w:leader="none" w:pos="1600" w:val="left"/>
        </w:tabs>
        <w:numPr>
          <w:ilvl w:val="2"/>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3, 2023</w:t>
      </w:r>
    </w:p>
    <w:p>
      <w:pPr>
        <w:spacing w:after="0" w:line="200" w:lineRule="exact"/>
        <w:rPr>
          <w:sz w:val="20"/>
          <w:szCs w:val="20"/>
          <w:color w:val="auto"/>
        </w:rPr>
      </w:pPr>
    </w:p>
    <w:p>
      <w:pPr>
        <w:spacing w:after="0" w:line="255" w:lineRule="exact"/>
        <w:rPr>
          <w:sz w:val="20"/>
          <w:szCs w:val="20"/>
          <w:color w:val="auto"/>
        </w:rPr>
      </w:pPr>
    </w:p>
    <w:p>
      <w:pPr>
        <w:ind w:left="4500"/>
        <w:spacing w:after="0"/>
        <w:rPr>
          <w:sz w:val="20"/>
          <w:szCs w:val="20"/>
          <w:color w:val="auto"/>
        </w:rPr>
      </w:pPr>
      <w:r>
        <w:rPr>
          <w:rFonts w:ascii="Arial" w:cs="Arial" w:eastAsia="Arial" w:hAnsi="Arial"/>
          <w:sz w:val="18"/>
          <w:szCs w:val="18"/>
          <w:i w:val="1"/>
          <w:iCs w:val="1"/>
          <w:u w:val="single" w:color="auto"/>
          <w:color w:val="auto"/>
        </w:rPr>
        <w:t>/s/ Kenneth J. McGrath</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Kenneth J. McGrath</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Annual Report of OraSure Technologies, Inc. (the “Company”) on Form 10-K for the year ended December 31, 2022 as filed with the Securities and Exchange Commission on the date hereof (the “Report”), I, Carrie Eglinton Manner., President and Chief Executive Officer of the Company, certify, pursuant to 18 U.S.C. §1350, as adopted pursuant to Section 906 of the Sarbanes-Oxley Act of 2002, that:</w:t>
      </w:r>
    </w:p>
    <w:p>
      <w:pPr>
        <w:spacing w:after="0" w:line="165" w:lineRule="exact"/>
        <w:rPr>
          <w:sz w:val="20"/>
          <w:szCs w:val="20"/>
          <w:color w:val="auto"/>
        </w:rPr>
      </w:pPr>
    </w:p>
    <w:p>
      <w:pPr>
        <w:ind w:left="1020" w:hanging="263"/>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40" w:hanging="283"/>
        <w:spacing w:after="0"/>
        <w:tabs>
          <w:tab w:leader="none" w:pos="10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Carrie Eglinton Manner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Carrie Eglinton Manner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Annual Report of OraSure Technologies, Inc. (the “Company”) on Form 10-K for the year ended December 31, 2022 as filed with the Securities and Exchange Commission on the date hereof (the “Report”), I, Kenneth J. McGrath, Chief Financial Officer of the Company, certify, pursuant to 18 U.S.C. §1350, as adopted pursuant to Section 906 of the Sarbanes-Oxley Act of 2002, that:</w:t>
      </w:r>
    </w:p>
    <w:p>
      <w:pPr>
        <w:spacing w:after="0" w:line="184" w:lineRule="exact"/>
        <w:rPr>
          <w:sz w:val="20"/>
          <w:szCs w:val="20"/>
          <w:color w:val="auto"/>
        </w:rPr>
      </w:pPr>
    </w:p>
    <w:p>
      <w:pPr>
        <w:ind w:left="1020" w:hanging="263"/>
        <w:spacing w:after="0"/>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40" w:hanging="283"/>
        <w:spacing w:after="0"/>
        <w:tabs>
          <w:tab w:leader="none" w:pos="10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Kenneth J. McGrath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Kenneth J. McGrath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1)"/>
      <w:numFmt w:val="decimal"/>
      <w:start w:val="1"/>
    </w:lvl>
  </w:abstractNum>
  <w:abstractNum w:abstractNumId="33">
    <w:nsid w:val="38437FDB"/>
    <w:multiLevelType w:val="hybridMultilevel"/>
    <w:lvl w:ilvl="0">
      <w:lvlJc w:val="left"/>
      <w:lvlText w:val="(%1)"/>
      <w:numFmt w:val="lowerLetter"/>
      <w:start w:val="1"/>
    </w:lvl>
  </w:abstractNum>
  <w:abstractNum w:abstractNumId="34">
    <w:nsid w:val="7644A45C"/>
    <w:multiLevelType w:val="hybridMultilevel"/>
    <w:lvl w:ilvl="0">
      <w:lvlJc w:val="left"/>
      <w:lvlText w:val="(%1)"/>
      <w:numFmt w:val="lowerLetter"/>
      <w:start w:val="2"/>
    </w:lvl>
  </w:abstractNum>
  <w:abstractNum w:abstractNumId="35">
    <w:nsid w:val="32FFF902"/>
    <w:multiLevelType w:val="hybridMultilevel"/>
    <w:lvl w:ilvl="0">
      <w:lvlJc w:val="left"/>
      <w:lvlText w:val="(%1)"/>
      <w:numFmt w:val="lowerLetter"/>
      <w:start w:val="3"/>
    </w:lvl>
  </w:abstractNum>
  <w:abstractNum w:abstractNumId="36">
    <w:nsid w:val="684A481A"/>
    <w:multiLevelType w:val="hybridMultilevel"/>
    <w:lvl w:ilvl="0">
      <w:lvlJc w:val="left"/>
      <w:lvlText w:val="(%1)"/>
      <w:numFmt w:val="lowerLetter"/>
      <w:start w:val="4"/>
    </w:lvl>
  </w:abstractNum>
  <w:abstractNum w:abstractNumId="37">
    <w:nsid w:val="579478FE"/>
    <w:multiLevelType w:val="hybridMultilevel"/>
    <w:lvl w:ilvl="0">
      <w:lvlJc w:val="left"/>
      <w:lvlText w:val="%1"/>
      <w:numFmt w:val="decimal"/>
      <w:start w:val="2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1)"/>
      <w:numFmt w:val="decimal"/>
      <w:start w:val="3"/>
    </w:lvl>
  </w:abstractNum>
  <w:abstractNum w:abstractNumId="41">
    <w:nsid w:val="79A1DEAA"/>
    <w:multiLevelType w:val="hybridMultilevel"/>
    <w:lvl w:ilvl="0">
      <w:lvlJc w:val="left"/>
      <w:lvlText w:val="%1."/>
      <w:numFmt w:val="decimal"/>
      <w:start w:val="1"/>
    </w:lvl>
  </w:abstractNum>
  <w:abstractNum w:abstractNumId="42">
    <w:nsid w:val="75C6C33A"/>
    <w:multiLevelType w:val="hybridMultilevel"/>
    <w:lvl w:ilvl="0">
      <w:lvlJc w:val="left"/>
      <w:lvlText w:val="%1."/>
      <w:numFmt w:val="decimal"/>
      <w:start w:val="2"/>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1."/>
      <w:numFmt w:val="decimal"/>
      <w:start w:val="3"/>
    </w:lvl>
  </w:abstractNum>
  <w:abstractNum w:abstractNumId="45">
    <w:nsid w:val="520EEDD1"/>
    <w:multiLevelType w:val="hybridMultilevel"/>
    <w:lvl w:ilvl="0">
      <w:lvlJc w:val="left"/>
      <w:lvlText w:val="%1."/>
      <w:numFmt w:val="decimal"/>
      <w:start w:val="4"/>
    </w:lvl>
  </w:abstractNum>
  <w:abstractNum w:abstractNumId="46">
    <w:nsid w:val="374A3FE6"/>
    <w:multiLevelType w:val="hybridMultilevel"/>
    <w:lvl w:ilvl="0">
      <w:lvlJc w:val="left"/>
      <w:lvlText w:val="%1."/>
      <w:numFmt w:val="decimal"/>
      <w:start w:val="7"/>
    </w:lvl>
  </w:abstractNum>
  <w:abstractNum w:abstractNumId="47">
    <w:nsid w:val="4F4EF005"/>
    <w:multiLevelType w:val="hybridMultilevel"/>
    <w:lvl w:ilvl="0">
      <w:lvlJc w:val="left"/>
      <w:lvlText w:val="%1."/>
      <w:numFmt w:val="decimal"/>
      <w:start w:val="8"/>
    </w:lvl>
  </w:abstractNum>
  <w:abstractNum w:abstractNumId="48">
    <w:nsid w:val="23F9C13C"/>
    <w:multiLevelType w:val="hybridMultilevel"/>
    <w:lvl w:ilvl="0">
      <w:lvlJc w:val="left"/>
      <w:lvlText w:val="%1."/>
      <w:numFmt w:val="decimal"/>
      <w:start w:val="9"/>
    </w:lvl>
  </w:abstractNum>
  <w:abstractNum w:abstractNumId="49">
    <w:nsid w:val="649BB77C"/>
    <w:multiLevelType w:val="hybridMultilevel"/>
    <w:lvl w:ilvl="0">
      <w:lvlJc w:val="left"/>
      <w:lvlText w:val="(%1)"/>
      <w:numFmt w:val="decimal"/>
      <w:start w:val="1"/>
    </w:lvl>
  </w:abstractNum>
  <w:abstractNum w:abstractNumId="50">
    <w:nsid w:val="275AC794"/>
    <w:multiLevelType w:val="hybridMultilevel"/>
    <w:lvl w:ilvl="0">
      <w:lvlJc w:val="left"/>
      <w:lvlText w:val="(%1)"/>
      <w:numFmt w:val="decimal"/>
      <w:start w:val="1"/>
    </w:lvl>
  </w:abstractNum>
  <w:abstractNum w:abstractNumId="51">
    <w:nsid w:val="39386575"/>
    <w:multiLevelType w:val="hybridMultilevel"/>
    <w:lvl w:ilvl="0">
      <w:lvlJc w:val="left"/>
      <w:lvlText w:val="(%1)"/>
      <w:numFmt w:val="decimal"/>
      <w:start w:val="1"/>
    </w:lvl>
  </w:abstractNum>
  <w:abstractNum w:abstractNumId="52">
    <w:nsid w:val="1CF10FD8"/>
    <w:multiLevelType w:val="hybridMultilevel"/>
    <w:lvl w:ilvl="0">
      <w:lvlJc w:val="left"/>
      <w:lvlText w:val="%1."/>
      <w:numFmt w:val="decimal"/>
      <w:start w:val="1"/>
    </w:lvl>
  </w:abstractNum>
  <w:abstractNum w:abstractNumId="53">
    <w:nsid w:val="180115BE"/>
    <w:multiLevelType w:val="hybridMultilevel"/>
    <w:lvl w:ilvl="0">
      <w:lvlJc w:val="left"/>
      <w:lvlText w:val="%1."/>
      <w:numFmt w:val="decimal"/>
      <w:start w:val="2"/>
    </w:lvl>
    <w:lvl w:ilvl="1">
      <w:lvlJc w:val="left"/>
      <w:lvlText w:val="%2."/>
      <w:numFmt w:val="decimal"/>
      <w:start w:val="3"/>
    </w:lvl>
  </w:abstractNum>
  <w:abstractNum w:abstractNumId="54">
    <w:nsid w:val="235BA861"/>
    <w:multiLevelType w:val="hybridMultilevel"/>
    <w:lvl w:ilvl="0">
      <w:lvlJc w:val="left"/>
      <w:lvlText w:val="%1."/>
      <w:numFmt w:val="decimal"/>
      <w:start w:val="4"/>
    </w:lvl>
    <w:lvl w:ilvl="1">
      <w:lvlJc w:val="left"/>
      <w:lvlText w:val="%2."/>
      <w:numFmt w:val="decimal"/>
      <w:start w:val="18"/>
    </w:lvl>
  </w:abstractNum>
  <w:abstractNum w:abstractNumId="55">
    <w:nsid w:val="47398C89"/>
    <w:multiLevelType w:val="hybridMultilevel"/>
    <w:lvl w:ilvl="0">
      <w:lvlJc w:val="left"/>
      <w:lvlText w:val="%1"/>
      <w:numFmt w:val="decimal"/>
      <w:start w:val="1"/>
    </w:lvl>
    <w:lvl w:ilvl="1">
      <w:lvlJc w:val="left"/>
      <w:lvlText w:val="%2."/>
      <w:numFmt w:val="decimal"/>
      <w:start w:val="21"/>
    </w:lvl>
  </w:abstractNum>
  <w:abstractNum w:abstractNumId="56">
    <w:nsid w:val="354FE9F9"/>
    <w:multiLevelType w:val="hybridMultilevel"/>
    <w:lvl w:ilvl="0">
      <w:lvlJc w:val="left"/>
      <w:lvlText w:val="%1."/>
      <w:numFmt w:val="decimal"/>
      <w:start w:val="6"/>
    </w:lvl>
    <w:lvl w:ilvl="1">
      <w:lvlJc w:val="left"/>
      <w:lvlText w:val="%2"/>
      <w:numFmt w:val="decimal"/>
      <w:start w:val="1"/>
    </w:lvl>
  </w:abstractNum>
  <w:abstractNum w:abstractNumId="57">
    <w:nsid w:val="15B5AF5C"/>
    <w:multiLevelType w:val="hybridMultilevel"/>
    <w:lvl w:ilvl="0">
      <w:lvlJc w:val="left"/>
      <w:lvlText w:val="%1."/>
      <w:numFmt w:val="decimal"/>
      <w:start w:val="1"/>
    </w:lvl>
    <w:lvl w:ilvl="1">
      <w:lvlJc w:val="left"/>
      <w:lvlText w:val="\endash "/>
      <w:numFmt w:val="bullet"/>
      <w:start w:val="1"/>
    </w:lvl>
    <w:lvl w:ilvl="2">
      <w:lvlJc w:val="left"/>
      <w:lvlText w:val="(%3)"/>
      <w:numFmt w:val="lowerLetter"/>
      <w:start w:val="1"/>
    </w:lvl>
  </w:abstractNum>
  <w:abstractNum w:abstractNumId="58">
    <w:nsid w:val="741226BB"/>
    <w:multiLevelType w:val="hybridMultilevel"/>
    <w:lvl w:ilvl="0">
      <w:lvlJc w:val="left"/>
      <w:lvlText w:val="%1."/>
      <w:numFmt w:val="decimal"/>
      <w:start w:val="1"/>
    </w:lvl>
    <w:lvl w:ilvl="1">
      <w:lvlJc w:val="left"/>
      <w:lvlText w:val="\endash "/>
      <w:numFmt w:val="bullet"/>
      <w:start w:val="1"/>
    </w:lvl>
    <w:lvl w:ilvl="2">
      <w:lvlJc w:val="left"/>
      <w:lvlText w:val="(%3)"/>
      <w:numFmt w:val="lowerLetter"/>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2" Type="http://schemas.openxmlformats.org/officeDocument/2006/relationships/image" Target="media/image121.png"/><Relationship Id="rId133"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8" Type="http://schemas.openxmlformats.org/officeDocument/2006/relationships/image" Target="media/image125.png"/><Relationship Id="rId139" Type="http://schemas.openxmlformats.org/officeDocument/2006/relationships/image" Target="media/image126.png"/><Relationship Id="rId141" Type="http://schemas.openxmlformats.org/officeDocument/2006/relationships/image" Target="media/image127.png"/><Relationship Id="rId142" Type="http://schemas.openxmlformats.org/officeDocument/2006/relationships/image" Target="media/image128.png"/><Relationship Id="rId150" Type="http://schemas.openxmlformats.org/officeDocument/2006/relationships/image" Target="media/image129.png"/><Relationship Id="rId151" Type="http://schemas.openxmlformats.org/officeDocument/2006/relationships/image" Target="media/image130.png"/><Relationship Id="rId153" Type="http://schemas.openxmlformats.org/officeDocument/2006/relationships/image" Target="media/image131.png"/><Relationship Id="rId154" Type="http://schemas.openxmlformats.org/officeDocument/2006/relationships/image" Target="media/image132.png"/><Relationship Id="rId156" Type="http://schemas.openxmlformats.org/officeDocument/2006/relationships/image" Target="media/image133.png"/><Relationship Id="rId157" Type="http://schemas.openxmlformats.org/officeDocument/2006/relationships/image" Target="media/image134.png"/><Relationship Id="rId158" Type="http://schemas.openxmlformats.org/officeDocument/2006/relationships/image" Target="media/image135.png"/><Relationship Id="rId160" Type="http://schemas.openxmlformats.org/officeDocument/2006/relationships/image" Target="media/image136.png"/><Relationship Id="rId161" Type="http://schemas.openxmlformats.org/officeDocument/2006/relationships/image" Target="media/image137.png"/><Relationship Id="rId163" Type="http://schemas.openxmlformats.org/officeDocument/2006/relationships/image" Target="media/image138.png"/><Relationship Id="rId164" Type="http://schemas.openxmlformats.org/officeDocument/2006/relationships/image" Target="media/image139.png"/><Relationship Id="rId166" Type="http://schemas.openxmlformats.org/officeDocument/2006/relationships/image" Target="media/image140.png"/><Relationship Id="rId167" Type="http://schemas.openxmlformats.org/officeDocument/2006/relationships/image" Target="media/image141.png"/><Relationship Id="rId169" Type="http://schemas.openxmlformats.org/officeDocument/2006/relationships/image" Target="media/image142.png"/><Relationship Id="rId170" Type="http://schemas.openxmlformats.org/officeDocument/2006/relationships/image" Target="media/image143.png"/><Relationship Id="rId172" Type="http://schemas.openxmlformats.org/officeDocument/2006/relationships/image" Target="media/image144.png"/><Relationship Id="rId173" Type="http://schemas.openxmlformats.org/officeDocument/2006/relationships/image" Target="media/image145.png"/><Relationship Id="rId175" Type="http://schemas.openxmlformats.org/officeDocument/2006/relationships/image" Target="media/image146.png"/><Relationship Id="rId176" Type="http://schemas.openxmlformats.org/officeDocument/2006/relationships/image" Target="media/image147.png"/><Relationship Id="rId178" Type="http://schemas.openxmlformats.org/officeDocument/2006/relationships/image" Target="media/image148.png"/><Relationship Id="rId179" Type="http://schemas.openxmlformats.org/officeDocument/2006/relationships/image" Target="media/image149.png"/><Relationship Id="rId181" Type="http://schemas.openxmlformats.org/officeDocument/2006/relationships/image" Target="media/image150.png"/><Relationship Id="rId182" Type="http://schemas.openxmlformats.org/officeDocument/2006/relationships/image" Target="media/image151.png"/><Relationship Id="rId184" Type="http://schemas.openxmlformats.org/officeDocument/2006/relationships/image" Target="media/image152.png"/><Relationship Id="rId185" Type="http://schemas.openxmlformats.org/officeDocument/2006/relationships/image" Target="media/image153.png"/><Relationship Id="rId187" Type="http://schemas.openxmlformats.org/officeDocument/2006/relationships/image" Target="media/image154.png"/><Relationship Id="rId188" Type="http://schemas.openxmlformats.org/officeDocument/2006/relationships/image" Target="media/image155.png"/><Relationship Id="rId190" Type="http://schemas.openxmlformats.org/officeDocument/2006/relationships/image" Target="media/image156.png"/><Relationship Id="rId191" Type="http://schemas.openxmlformats.org/officeDocument/2006/relationships/image" Target="media/image157.png"/><Relationship Id="rId193" Type="http://schemas.openxmlformats.org/officeDocument/2006/relationships/image" Target="media/image158.png"/><Relationship Id="rId194" Type="http://schemas.openxmlformats.org/officeDocument/2006/relationships/image" Target="media/image159.png"/><Relationship Id="rId196" Type="http://schemas.openxmlformats.org/officeDocument/2006/relationships/image" Target="media/image160.png"/><Relationship Id="rId197" Type="http://schemas.openxmlformats.org/officeDocument/2006/relationships/image" Target="media/image161.png"/><Relationship Id="rId198" Type="http://schemas.openxmlformats.org/officeDocument/2006/relationships/image" Target="media/image162.png"/><Relationship Id="rId200" Type="http://schemas.openxmlformats.org/officeDocument/2006/relationships/image" Target="media/image163.png"/><Relationship Id="rId201" Type="http://schemas.openxmlformats.org/officeDocument/2006/relationships/image" Target="media/image164.png"/><Relationship Id="rId203" Type="http://schemas.openxmlformats.org/officeDocument/2006/relationships/image" Target="media/image165.png"/><Relationship Id="rId204" Type="http://schemas.openxmlformats.org/officeDocument/2006/relationships/image" Target="media/image166.png"/><Relationship Id="rId205" Type="http://schemas.openxmlformats.org/officeDocument/2006/relationships/image" Target="media/image167.png"/><Relationship Id="rId206" Type="http://schemas.openxmlformats.org/officeDocument/2006/relationships/image" Target="media/image168.png"/><Relationship Id="rId207" Type="http://schemas.openxmlformats.org/officeDocument/2006/relationships/image" Target="media/image169.png"/><Relationship Id="rId208" Type="http://schemas.openxmlformats.org/officeDocument/2006/relationships/image" Target="media/image170.png"/><Relationship Id="rId209" Type="http://schemas.openxmlformats.org/officeDocument/2006/relationships/image" Target="media/image171.png"/><Relationship Id="rId210" Type="http://schemas.openxmlformats.org/officeDocument/2006/relationships/image" Target="media/image172.png"/><Relationship Id="rId211" Type="http://schemas.openxmlformats.org/officeDocument/2006/relationships/image" Target="media/image173.png"/><Relationship Id="rId212" Type="http://schemas.openxmlformats.org/officeDocument/2006/relationships/image" Target="media/image174.png"/><Relationship Id="rId213" Type="http://schemas.openxmlformats.org/officeDocument/2006/relationships/image" Target="media/image175.png"/><Relationship Id="rId214" Type="http://schemas.openxmlformats.org/officeDocument/2006/relationships/image" Target="media/image176.png"/><Relationship Id="rId215" Type="http://schemas.openxmlformats.org/officeDocument/2006/relationships/image" Target="media/image177.png"/><Relationship Id="rId216" Type="http://schemas.openxmlformats.org/officeDocument/2006/relationships/image" Target="media/image178.png"/><Relationship Id="rId217" Type="http://schemas.openxmlformats.org/officeDocument/2006/relationships/image" Target="media/image179.png"/><Relationship Id="rId218" Type="http://schemas.openxmlformats.org/officeDocument/2006/relationships/image" Target="media/image180.png"/><Relationship Id="rId219" Type="http://schemas.openxmlformats.org/officeDocument/2006/relationships/image" Target="media/image181.png"/><Relationship Id="rId220" Type="http://schemas.openxmlformats.org/officeDocument/2006/relationships/image" Target="media/image182.png"/><Relationship Id="rId221" Type="http://schemas.openxmlformats.org/officeDocument/2006/relationships/image" Target="media/image183.png"/><Relationship Id="rId222" Type="http://schemas.openxmlformats.org/officeDocument/2006/relationships/image" Target="media/image184.png"/><Relationship Id="rId223" Type="http://schemas.openxmlformats.org/officeDocument/2006/relationships/image" Target="media/image185.png"/><Relationship Id="rId224" Type="http://schemas.openxmlformats.org/officeDocument/2006/relationships/image" Target="media/image186.png"/><Relationship Id="rId225" Type="http://schemas.openxmlformats.org/officeDocument/2006/relationships/image" Target="media/image187.png"/><Relationship Id="rId226" Type="http://schemas.openxmlformats.org/officeDocument/2006/relationships/image" Target="media/image188.png"/><Relationship Id="rId227" Type="http://schemas.openxmlformats.org/officeDocument/2006/relationships/image" Target="media/image189.png"/><Relationship Id="rId228" Type="http://schemas.openxmlformats.org/officeDocument/2006/relationships/image" Target="media/image190.png"/><Relationship Id="rId229" Type="http://schemas.openxmlformats.org/officeDocument/2006/relationships/image" Target="media/image191.png"/><Relationship Id="rId230" Type="http://schemas.openxmlformats.org/officeDocument/2006/relationships/image" Target="media/image192.png"/><Relationship Id="rId231" Type="http://schemas.openxmlformats.org/officeDocument/2006/relationships/image" Target="media/image193.png"/><Relationship Id="rId232" Type="http://schemas.openxmlformats.org/officeDocument/2006/relationships/image" Target="media/image194.png"/><Relationship Id="rId233" Type="http://schemas.openxmlformats.org/officeDocument/2006/relationships/image" Target="media/image195.png"/><Relationship Id="rId234" Type="http://schemas.openxmlformats.org/officeDocument/2006/relationships/image" Target="media/image196.png"/><Relationship Id="rId235" Type="http://schemas.openxmlformats.org/officeDocument/2006/relationships/image" Target="media/image197.png"/><Relationship Id="rId236" Type="http://schemas.openxmlformats.org/officeDocument/2006/relationships/image" Target="media/image198.png"/><Relationship Id="rId237" Type="http://schemas.openxmlformats.org/officeDocument/2006/relationships/image" Target="media/image199.png"/><Relationship Id="rId238" Type="http://schemas.openxmlformats.org/officeDocument/2006/relationships/image" Target="media/image200.png"/><Relationship Id="rId239" Type="http://schemas.openxmlformats.org/officeDocument/2006/relationships/image" Target="media/image201.png"/><Relationship Id="rId240" Type="http://schemas.openxmlformats.org/officeDocument/2006/relationships/image" Target="media/image202.png"/><Relationship Id="rId241" Type="http://schemas.openxmlformats.org/officeDocument/2006/relationships/image" Target="media/image203.png"/><Relationship Id="rId242" Type="http://schemas.openxmlformats.org/officeDocument/2006/relationships/image" Target="media/image204.png"/><Relationship Id="rId243" Type="http://schemas.openxmlformats.org/officeDocument/2006/relationships/image" Target="media/image205.png"/><Relationship Id="rId244" Type="http://schemas.openxmlformats.org/officeDocument/2006/relationships/image" Target="media/image206.png"/><Relationship Id="rId245" Type="http://schemas.openxmlformats.org/officeDocument/2006/relationships/image" Target="media/image207.png"/><Relationship Id="rId246" Type="http://schemas.openxmlformats.org/officeDocument/2006/relationships/image" Target="media/image208.png"/><Relationship Id="rId247" Type="http://schemas.openxmlformats.org/officeDocument/2006/relationships/image" Target="media/image209.png"/><Relationship Id="rId248" Type="http://schemas.openxmlformats.org/officeDocument/2006/relationships/image" Target="media/image210.png"/><Relationship Id="rId249" Type="http://schemas.openxmlformats.org/officeDocument/2006/relationships/image" Target="media/image211.png"/><Relationship Id="rId250" Type="http://schemas.openxmlformats.org/officeDocument/2006/relationships/image" Target="media/image212.png"/><Relationship Id="rId251" Type="http://schemas.openxmlformats.org/officeDocument/2006/relationships/image" Target="media/image213.png"/><Relationship Id="rId252" Type="http://schemas.openxmlformats.org/officeDocument/2006/relationships/image" Target="media/image214.png"/><Relationship Id="rId253" Type="http://schemas.openxmlformats.org/officeDocument/2006/relationships/image" Target="media/image215.png"/><Relationship Id="rId254" Type="http://schemas.openxmlformats.org/officeDocument/2006/relationships/image" Target="media/image216.png"/><Relationship Id="rId255" Type="http://schemas.openxmlformats.org/officeDocument/2006/relationships/image" Target="media/image217.png"/><Relationship Id="rId256" Type="http://schemas.openxmlformats.org/officeDocument/2006/relationships/image" Target="media/image218.png"/><Relationship Id="rId257" Type="http://schemas.openxmlformats.org/officeDocument/2006/relationships/image" Target="media/image219.png"/><Relationship Id="rId258" Type="http://schemas.openxmlformats.org/officeDocument/2006/relationships/image" Target="media/image220.png"/><Relationship Id="rId259" Type="http://schemas.openxmlformats.org/officeDocument/2006/relationships/image" Target="media/image221.png"/><Relationship Id="rId260" Type="http://schemas.openxmlformats.org/officeDocument/2006/relationships/image" Target="media/image222.png"/><Relationship Id="rId261" Type="http://schemas.openxmlformats.org/officeDocument/2006/relationships/image" Target="media/image223.png"/><Relationship Id="rId262" Type="http://schemas.openxmlformats.org/officeDocument/2006/relationships/image" Target="media/image224.png"/><Relationship Id="rId263" Type="http://schemas.openxmlformats.org/officeDocument/2006/relationships/image" Target="media/image225.png"/><Relationship Id="rId264" Type="http://schemas.openxmlformats.org/officeDocument/2006/relationships/image" Target="media/image226.png"/><Relationship Id="rId265" Type="http://schemas.openxmlformats.org/officeDocument/2006/relationships/image" Target="media/image227.png"/><Relationship Id="rId266" Type="http://schemas.openxmlformats.org/officeDocument/2006/relationships/image" Target="media/image228.png"/><Relationship Id="rId267" Type="http://schemas.openxmlformats.org/officeDocument/2006/relationships/image" Target="media/image229.png"/><Relationship Id="rId268" Type="http://schemas.openxmlformats.org/officeDocument/2006/relationships/image" Target="media/image230.png"/><Relationship Id="rId269" Type="http://schemas.openxmlformats.org/officeDocument/2006/relationships/image" Target="media/image231.png"/><Relationship Id="rId270" Type="http://schemas.openxmlformats.org/officeDocument/2006/relationships/image" Target="media/image232.png"/><Relationship Id="rId271" Type="http://schemas.openxmlformats.org/officeDocument/2006/relationships/image" Target="media/image233.png"/><Relationship Id="rId272" Type="http://schemas.openxmlformats.org/officeDocument/2006/relationships/image" Target="media/image234.png"/><Relationship Id="rId273" Type="http://schemas.openxmlformats.org/officeDocument/2006/relationships/image" Target="media/image235.png"/><Relationship Id="rId274" Type="http://schemas.openxmlformats.org/officeDocument/2006/relationships/image" Target="media/image236.png"/><Relationship Id="rId275" Type="http://schemas.openxmlformats.org/officeDocument/2006/relationships/image" Target="media/image237.png"/><Relationship Id="rId276" Type="http://schemas.openxmlformats.org/officeDocument/2006/relationships/image" Target="media/image238.png"/><Relationship Id="rId277" Type="http://schemas.openxmlformats.org/officeDocument/2006/relationships/image" Target="media/image239.png"/><Relationship Id="rId278" Type="http://schemas.openxmlformats.org/officeDocument/2006/relationships/image" Target="media/image240.png"/><Relationship Id="rId279" Type="http://schemas.openxmlformats.org/officeDocument/2006/relationships/image" Target="media/image241.png"/><Relationship Id="rId280" Type="http://schemas.openxmlformats.org/officeDocument/2006/relationships/image" Target="media/image242.png"/><Relationship Id="rId281" Type="http://schemas.openxmlformats.org/officeDocument/2006/relationships/image" Target="media/image243.png"/><Relationship Id="rId282" Type="http://schemas.openxmlformats.org/officeDocument/2006/relationships/image" Target="media/image244.png"/><Relationship Id="rId283" Type="http://schemas.openxmlformats.org/officeDocument/2006/relationships/image" Target="media/image245.png"/><Relationship Id="rId284" Type="http://schemas.openxmlformats.org/officeDocument/2006/relationships/image" Target="media/image246.png"/><Relationship Id="rId285" Type="http://schemas.openxmlformats.org/officeDocument/2006/relationships/image" Target="media/image247.png"/><Relationship Id="rId286" Type="http://schemas.openxmlformats.org/officeDocument/2006/relationships/image" Target="media/image248.png"/><Relationship Id="rId287" Type="http://schemas.openxmlformats.org/officeDocument/2006/relationships/image" Target="media/image249.png"/><Relationship Id="rId288" Type="http://schemas.openxmlformats.org/officeDocument/2006/relationships/image" Target="media/image250.png"/><Relationship Id="rId289" Type="http://schemas.openxmlformats.org/officeDocument/2006/relationships/image" Target="media/image251.png"/><Relationship Id="rId290" Type="http://schemas.openxmlformats.org/officeDocument/2006/relationships/image" Target="media/image252.png"/><Relationship Id="rId291" Type="http://schemas.openxmlformats.org/officeDocument/2006/relationships/image" Target="media/image253.png"/><Relationship Id="rId292" Type="http://schemas.openxmlformats.org/officeDocument/2006/relationships/image" Target="media/image254.png"/><Relationship Id="rId293" Type="http://schemas.openxmlformats.org/officeDocument/2006/relationships/image" Target="media/image255.png"/><Relationship Id="rId294" Type="http://schemas.openxmlformats.org/officeDocument/2006/relationships/image" Target="media/image256.png"/><Relationship Id="rId295" Type="http://schemas.openxmlformats.org/officeDocument/2006/relationships/image" Target="media/image257.png"/><Relationship Id="rId296" Type="http://schemas.openxmlformats.org/officeDocument/2006/relationships/image" Target="media/image258.png"/><Relationship Id="rId297" Type="http://schemas.openxmlformats.org/officeDocument/2006/relationships/image" Target="media/image259.png"/><Relationship Id="rId298" Type="http://schemas.openxmlformats.org/officeDocument/2006/relationships/image" Target="media/image260.png"/><Relationship Id="rId299" Type="http://schemas.openxmlformats.org/officeDocument/2006/relationships/image" Target="media/image261.png"/><Relationship Id="rId300" Type="http://schemas.openxmlformats.org/officeDocument/2006/relationships/image" Target="media/image262.png"/><Relationship Id="rId301" Type="http://schemas.openxmlformats.org/officeDocument/2006/relationships/image" Target="media/image263.png"/><Relationship Id="rId302" Type="http://schemas.openxmlformats.org/officeDocument/2006/relationships/image" Target="media/image264.png"/><Relationship Id="rId303" Type="http://schemas.openxmlformats.org/officeDocument/2006/relationships/image" Target="media/image265.png"/><Relationship Id="rId304" Type="http://schemas.openxmlformats.org/officeDocument/2006/relationships/image" Target="media/image266.png"/><Relationship Id="rId305" Type="http://schemas.openxmlformats.org/officeDocument/2006/relationships/image" Target="media/image267.png"/><Relationship Id="rId306" Type="http://schemas.openxmlformats.org/officeDocument/2006/relationships/image" Target="media/image268.png"/><Relationship Id="rId307" Type="http://schemas.openxmlformats.org/officeDocument/2006/relationships/image" Target="media/image269.png"/><Relationship Id="rId308" Type="http://schemas.openxmlformats.org/officeDocument/2006/relationships/image" Target="media/image270.png"/><Relationship Id="rId309" Type="http://schemas.openxmlformats.org/officeDocument/2006/relationships/image" Target="media/image271.png"/><Relationship Id="rId310" Type="http://schemas.openxmlformats.org/officeDocument/2006/relationships/image" Target="media/image272.png"/><Relationship Id="rId311" Type="http://schemas.openxmlformats.org/officeDocument/2006/relationships/image" Target="media/image273.png"/><Relationship Id="rId312" Type="http://schemas.openxmlformats.org/officeDocument/2006/relationships/image" Target="media/image274.png"/><Relationship Id="rId313" Type="http://schemas.openxmlformats.org/officeDocument/2006/relationships/image" Target="media/image275.png"/><Relationship Id="rId314" Type="http://schemas.openxmlformats.org/officeDocument/2006/relationships/image" Target="media/image276.png"/><Relationship Id="rId315" Type="http://schemas.openxmlformats.org/officeDocument/2006/relationships/image" Target="media/image277.png"/><Relationship Id="rId316" Type="http://schemas.openxmlformats.org/officeDocument/2006/relationships/image" Target="media/image278.png"/><Relationship Id="rId317" Type="http://schemas.openxmlformats.org/officeDocument/2006/relationships/image" Target="media/image279.png"/><Relationship Id="rId318" Type="http://schemas.openxmlformats.org/officeDocument/2006/relationships/image" Target="media/image280.png"/><Relationship Id="rId319" Type="http://schemas.openxmlformats.org/officeDocument/2006/relationships/image" Target="media/image281.png"/><Relationship Id="rId320" Type="http://schemas.openxmlformats.org/officeDocument/2006/relationships/image" Target="media/image282.png"/><Relationship Id="rId321" Type="http://schemas.openxmlformats.org/officeDocument/2006/relationships/image" Target="media/image283.png"/><Relationship Id="rId322" Type="http://schemas.openxmlformats.org/officeDocument/2006/relationships/image" Target="media/image284.png"/><Relationship Id="rId323" Type="http://schemas.openxmlformats.org/officeDocument/2006/relationships/image" Target="media/image285.png"/><Relationship Id="rId324" Type="http://schemas.openxmlformats.org/officeDocument/2006/relationships/image" Target="media/image286.png"/><Relationship Id="rId325" Type="http://schemas.openxmlformats.org/officeDocument/2006/relationships/image" Target="media/image287.png"/><Relationship Id="rId326" Type="http://schemas.openxmlformats.org/officeDocument/2006/relationships/image" Target="media/image288.png"/><Relationship Id="rId327" Type="http://schemas.openxmlformats.org/officeDocument/2006/relationships/image" Target="media/image289.png"/><Relationship Id="rId328" Type="http://schemas.openxmlformats.org/officeDocument/2006/relationships/image" Target="media/image290.png"/><Relationship Id="rId329" Type="http://schemas.openxmlformats.org/officeDocument/2006/relationships/image" Target="media/image291.png"/><Relationship Id="rId330" Type="http://schemas.openxmlformats.org/officeDocument/2006/relationships/image" Target="media/image292.png"/><Relationship Id="rId331" Type="http://schemas.openxmlformats.org/officeDocument/2006/relationships/image" Target="media/image293.png"/><Relationship Id="rId332" Type="http://schemas.openxmlformats.org/officeDocument/2006/relationships/image" Target="media/image294.png"/><Relationship Id="rId333" Type="http://schemas.openxmlformats.org/officeDocument/2006/relationships/image" Target="media/image295.png"/><Relationship Id="rId334" Type="http://schemas.openxmlformats.org/officeDocument/2006/relationships/image" Target="media/image296.png"/><Relationship Id="rId335" Type="http://schemas.openxmlformats.org/officeDocument/2006/relationships/image" Target="media/image297.png"/><Relationship Id="rId336" Type="http://schemas.openxmlformats.org/officeDocument/2006/relationships/image" Target="media/image298.png"/><Relationship Id="rId337" Type="http://schemas.openxmlformats.org/officeDocument/2006/relationships/image" Target="media/image299.png"/><Relationship Id="rId338" Type="http://schemas.openxmlformats.org/officeDocument/2006/relationships/image" Target="media/image300.png"/><Relationship Id="rId339" Type="http://schemas.openxmlformats.org/officeDocument/2006/relationships/image" Target="media/image301.png"/><Relationship Id="rId340" Type="http://schemas.openxmlformats.org/officeDocument/2006/relationships/image" Target="media/image302.png"/><Relationship Id="rId341" Type="http://schemas.openxmlformats.org/officeDocument/2006/relationships/image" Target="media/image303.png"/><Relationship Id="rId342" Type="http://schemas.openxmlformats.org/officeDocument/2006/relationships/image" Target="media/image304.png"/><Relationship Id="rId343" Type="http://schemas.openxmlformats.org/officeDocument/2006/relationships/image" Target="media/image305.png"/><Relationship Id="rId344" Type="http://schemas.openxmlformats.org/officeDocument/2006/relationships/image" Target="media/image306.png"/><Relationship Id="rId345" Type="http://schemas.openxmlformats.org/officeDocument/2006/relationships/image" Target="media/image307.png"/><Relationship Id="rId346" Type="http://schemas.openxmlformats.org/officeDocument/2006/relationships/image" Target="media/image308.png"/><Relationship Id="rId347" Type="http://schemas.openxmlformats.org/officeDocument/2006/relationships/image" Target="media/image309.png"/><Relationship Id="rId348" Type="http://schemas.openxmlformats.org/officeDocument/2006/relationships/image" Target="media/image310.png"/><Relationship Id="rId349" Type="http://schemas.openxmlformats.org/officeDocument/2006/relationships/image" Target="media/image311.png"/><Relationship Id="rId350" Type="http://schemas.openxmlformats.org/officeDocument/2006/relationships/image" Target="media/image312.png"/><Relationship Id="rId351" Type="http://schemas.openxmlformats.org/officeDocument/2006/relationships/image" Target="media/image313.png"/><Relationship Id="rId352" Type="http://schemas.openxmlformats.org/officeDocument/2006/relationships/image" Target="media/image314.png"/><Relationship Id="rId353" Type="http://schemas.openxmlformats.org/officeDocument/2006/relationships/image" Target="media/image315.png"/><Relationship Id="rId354" Type="http://schemas.openxmlformats.org/officeDocument/2006/relationships/image" Target="media/image316.png"/><Relationship Id="rId355" Type="http://schemas.openxmlformats.org/officeDocument/2006/relationships/image" Target="media/image317.png"/><Relationship Id="rId356" Type="http://schemas.openxmlformats.org/officeDocument/2006/relationships/image" Target="media/image318.png"/><Relationship Id="rId357" Type="http://schemas.openxmlformats.org/officeDocument/2006/relationships/image" Target="media/image319.png"/><Relationship Id="rId358" Type="http://schemas.openxmlformats.org/officeDocument/2006/relationships/image" Target="media/image320.png"/><Relationship Id="rId359" Type="http://schemas.openxmlformats.org/officeDocument/2006/relationships/image" Target="media/image321.png"/><Relationship Id="rId360" Type="http://schemas.openxmlformats.org/officeDocument/2006/relationships/image" Target="media/image322.png"/><Relationship Id="rId361" Type="http://schemas.openxmlformats.org/officeDocument/2006/relationships/image" Target="media/image323.png"/><Relationship Id="rId362" Type="http://schemas.openxmlformats.org/officeDocument/2006/relationships/image" Target="media/image324.png"/><Relationship Id="rId363" Type="http://schemas.openxmlformats.org/officeDocument/2006/relationships/image" Target="media/image325.png"/><Relationship Id="rId364" Type="http://schemas.openxmlformats.org/officeDocument/2006/relationships/image" Target="media/image326.png"/><Relationship Id="rId365" Type="http://schemas.openxmlformats.org/officeDocument/2006/relationships/image" Target="media/image327.png"/><Relationship Id="rId366" Type="http://schemas.openxmlformats.org/officeDocument/2006/relationships/image" Target="media/image328.png"/><Relationship Id="rId367" Type="http://schemas.openxmlformats.org/officeDocument/2006/relationships/image" Target="media/image329.png"/><Relationship Id="rId368" Type="http://schemas.openxmlformats.org/officeDocument/2006/relationships/image" Target="media/image330.png"/><Relationship Id="rId369" Type="http://schemas.openxmlformats.org/officeDocument/2006/relationships/image" Target="media/image331.png"/><Relationship Id="rId370" Type="http://schemas.openxmlformats.org/officeDocument/2006/relationships/image" Target="media/image332.png"/><Relationship Id="rId371" Type="http://schemas.openxmlformats.org/officeDocument/2006/relationships/image" Target="media/image333.png"/><Relationship Id="rId372" Type="http://schemas.openxmlformats.org/officeDocument/2006/relationships/image" Target="media/image334.png"/><Relationship Id="rId373" Type="http://schemas.openxmlformats.org/officeDocument/2006/relationships/image" Target="media/image335.png"/><Relationship Id="rId374" Type="http://schemas.openxmlformats.org/officeDocument/2006/relationships/image" Target="media/image336.png"/><Relationship Id="rId375" Type="http://schemas.openxmlformats.org/officeDocument/2006/relationships/image" Target="media/image337.png"/><Relationship Id="rId376" Type="http://schemas.openxmlformats.org/officeDocument/2006/relationships/image" Target="media/image338.png"/><Relationship Id="rId377" Type="http://schemas.openxmlformats.org/officeDocument/2006/relationships/image" Target="media/image339.png"/><Relationship Id="rId378" Type="http://schemas.openxmlformats.org/officeDocument/2006/relationships/image" Target="media/image340.png"/><Relationship Id="rId379" Type="http://schemas.openxmlformats.org/officeDocument/2006/relationships/image" Target="media/image341.png"/><Relationship Id="rId380" Type="http://schemas.openxmlformats.org/officeDocument/2006/relationships/image" Target="media/image342.png"/><Relationship Id="rId381" Type="http://schemas.openxmlformats.org/officeDocument/2006/relationships/image" Target="media/image343.png"/><Relationship Id="rId382" Type="http://schemas.openxmlformats.org/officeDocument/2006/relationships/image" Target="media/image344.png"/><Relationship Id="rId383" Type="http://schemas.openxmlformats.org/officeDocument/2006/relationships/image" Target="media/image345.png"/><Relationship Id="rId384" Type="http://schemas.openxmlformats.org/officeDocument/2006/relationships/image" Target="media/image346.png"/><Relationship Id="rId385" Type="http://schemas.openxmlformats.org/officeDocument/2006/relationships/image" Target="media/image347.png"/><Relationship Id="rId386" Type="http://schemas.openxmlformats.org/officeDocument/2006/relationships/image" Target="media/image348.png"/><Relationship Id="rId387" Type="http://schemas.openxmlformats.org/officeDocument/2006/relationships/image" Target="media/image349.png"/><Relationship Id="rId388" Type="http://schemas.openxmlformats.org/officeDocument/2006/relationships/image" Target="media/image350.png"/><Relationship Id="rId389" Type="http://schemas.openxmlformats.org/officeDocument/2006/relationships/image" Target="media/image351.png"/><Relationship Id="rId390" Type="http://schemas.openxmlformats.org/officeDocument/2006/relationships/image" Target="media/image352.png"/><Relationship Id="rId391" Type="http://schemas.openxmlformats.org/officeDocument/2006/relationships/image" Target="media/image353.png"/><Relationship Id="rId392" Type="http://schemas.openxmlformats.org/officeDocument/2006/relationships/image" Target="media/image354.png"/><Relationship Id="rId393" Type="http://schemas.openxmlformats.org/officeDocument/2006/relationships/image" Target="media/image355.png"/><Relationship Id="rId394" Type="http://schemas.openxmlformats.org/officeDocument/2006/relationships/image" Target="media/image356.png"/><Relationship Id="rId395" Type="http://schemas.openxmlformats.org/officeDocument/2006/relationships/image" Target="media/image357.png"/><Relationship Id="rId396" Type="http://schemas.openxmlformats.org/officeDocument/2006/relationships/image" Target="media/image358.png"/><Relationship Id="rId397" Type="http://schemas.openxmlformats.org/officeDocument/2006/relationships/image" Target="media/image359.png"/><Relationship Id="rId398" Type="http://schemas.openxmlformats.org/officeDocument/2006/relationships/image" Target="media/image360.png"/><Relationship Id="rId399" Type="http://schemas.openxmlformats.org/officeDocument/2006/relationships/image" Target="media/image361.png"/><Relationship Id="rId400" Type="http://schemas.openxmlformats.org/officeDocument/2006/relationships/image" Target="media/image362.png"/><Relationship Id="rId401" Type="http://schemas.openxmlformats.org/officeDocument/2006/relationships/image" Target="media/image363.png"/><Relationship Id="rId402" Type="http://schemas.openxmlformats.org/officeDocument/2006/relationships/image" Target="media/image364.png"/><Relationship Id="rId403" Type="http://schemas.openxmlformats.org/officeDocument/2006/relationships/image" Target="media/image365.png"/><Relationship Id="rId404" Type="http://schemas.openxmlformats.org/officeDocument/2006/relationships/image" Target="media/image366.png"/><Relationship Id="rId405" Type="http://schemas.openxmlformats.org/officeDocument/2006/relationships/image" Target="media/image367.png"/><Relationship Id="rId406" Type="http://schemas.openxmlformats.org/officeDocument/2006/relationships/image" Target="media/image368.png"/><Relationship Id="rId407" Type="http://schemas.openxmlformats.org/officeDocument/2006/relationships/image" Target="media/image369.png"/><Relationship Id="rId408" Type="http://schemas.openxmlformats.org/officeDocument/2006/relationships/image" Target="media/image370.png"/><Relationship Id="rId409" Type="http://schemas.openxmlformats.org/officeDocument/2006/relationships/image" Target="media/image371.png"/><Relationship Id="rId410" Type="http://schemas.openxmlformats.org/officeDocument/2006/relationships/image" Target="media/image372.png"/><Relationship Id="rId411" Type="http://schemas.openxmlformats.org/officeDocument/2006/relationships/image" Target="media/image373.png"/><Relationship Id="rId412" Type="http://schemas.openxmlformats.org/officeDocument/2006/relationships/image" Target="media/image374.png"/><Relationship Id="rId413" Type="http://schemas.openxmlformats.org/officeDocument/2006/relationships/image" Target="media/image375.png"/><Relationship Id="rId414" Type="http://schemas.openxmlformats.org/officeDocument/2006/relationships/image" Target="media/image376.png"/><Relationship Id="rId415" Type="http://schemas.openxmlformats.org/officeDocument/2006/relationships/image" Target="media/image377.png"/><Relationship Id="rId416" Type="http://schemas.openxmlformats.org/officeDocument/2006/relationships/image" Target="media/image378.png"/><Relationship Id="rId417" Type="http://schemas.openxmlformats.org/officeDocument/2006/relationships/image" Target="media/image379.png"/><Relationship Id="rId418" Type="http://schemas.openxmlformats.org/officeDocument/2006/relationships/image" Target="media/image380.png"/><Relationship Id="rId419" Type="http://schemas.openxmlformats.org/officeDocument/2006/relationships/image" Target="media/image381.png"/><Relationship Id="rId420" Type="http://schemas.openxmlformats.org/officeDocument/2006/relationships/image" Target="media/image382.png"/><Relationship Id="rId421" Type="http://schemas.openxmlformats.org/officeDocument/2006/relationships/image" Target="media/image383.png"/><Relationship Id="rId422" Type="http://schemas.openxmlformats.org/officeDocument/2006/relationships/image" Target="media/image384.png"/><Relationship Id="rId423" Type="http://schemas.openxmlformats.org/officeDocument/2006/relationships/image" Target="media/image385.png"/><Relationship Id="rId424" Type="http://schemas.openxmlformats.org/officeDocument/2006/relationships/image" Target="media/image386.png"/><Relationship Id="rId425" Type="http://schemas.openxmlformats.org/officeDocument/2006/relationships/image" Target="media/image387.png"/><Relationship Id="rId426" Type="http://schemas.openxmlformats.org/officeDocument/2006/relationships/image" Target="media/image388.png"/><Relationship Id="rId427" Type="http://schemas.openxmlformats.org/officeDocument/2006/relationships/image" Target="media/image389.png"/><Relationship Id="rId428" Type="http://schemas.openxmlformats.org/officeDocument/2006/relationships/image" Target="media/image390.png"/><Relationship Id="rId429" Type="http://schemas.openxmlformats.org/officeDocument/2006/relationships/image" Target="media/image391.png"/><Relationship Id="rId430" Type="http://schemas.openxmlformats.org/officeDocument/2006/relationships/image" Target="media/image392.png"/><Relationship Id="rId431" Type="http://schemas.openxmlformats.org/officeDocument/2006/relationships/image" Target="media/image393.png"/><Relationship Id="rId432" Type="http://schemas.openxmlformats.org/officeDocument/2006/relationships/image" Target="media/image394.png"/><Relationship Id="rId433" Type="http://schemas.openxmlformats.org/officeDocument/2006/relationships/image" Target="media/image395.png"/><Relationship Id="rId434" Type="http://schemas.openxmlformats.org/officeDocument/2006/relationships/image" Target="media/image396.png"/><Relationship Id="rId435" Type="http://schemas.openxmlformats.org/officeDocument/2006/relationships/image" Target="media/image397.png"/><Relationship Id="rId436" Type="http://schemas.openxmlformats.org/officeDocument/2006/relationships/image" Target="media/image398.png"/><Relationship Id="rId437" Type="http://schemas.openxmlformats.org/officeDocument/2006/relationships/image" Target="media/image399.png"/><Relationship Id="rId438" Type="http://schemas.openxmlformats.org/officeDocument/2006/relationships/image" Target="media/image400.png"/><Relationship Id="rId439" Type="http://schemas.openxmlformats.org/officeDocument/2006/relationships/image" Target="media/image401.png"/><Relationship Id="rId440" Type="http://schemas.openxmlformats.org/officeDocument/2006/relationships/image" Target="media/image402.png"/><Relationship Id="rId441" Type="http://schemas.openxmlformats.org/officeDocument/2006/relationships/image" Target="media/image403.png"/><Relationship Id="rId442" Type="http://schemas.openxmlformats.org/officeDocument/2006/relationships/image" Target="media/image404.png"/><Relationship Id="rId443" Type="http://schemas.openxmlformats.org/officeDocument/2006/relationships/image" Target="media/image405.png"/><Relationship Id="rId444" Type="http://schemas.openxmlformats.org/officeDocument/2006/relationships/image" Target="media/image406.png"/><Relationship Id="rId445" Type="http://schemas.openxmlformats.org/officeDocument/2006/relationships/image" Target="media/image407.png"/><Relationship Id="rId446" Type="http://schemas.openxmlformats.org/officeDocument/2006/relationships/image" Target="media/image408.png"/><Relationship Id="rId122" Type="http://schemas.openxmlformats.org/officeDocument/2006/relationships/hyperlink" Target="https://www.sec.gov/Archives/edgar/data/1116463/000095013100003901/0000950131-00-003901-0002.txt" TargetMode="External"/><Relationship Id="rId125" Type="http://schemas.openxmlformats.org/officeDocument/2006/relationships/hyperlink" Target="https://www.sec.gov/Archives/edgar/data/1116463/000095013100003901/0000950131-00-003901-0003.txt" TargetMode="External"/><Relationship Id="rId128" Type="http://schemas.openxmlformats.org/officeDocument/2006/relationships/hyperlink" Target="https://www.sec.gov/Archives/edgar/data/1116463/000119312518064054/d519538dex32.htm" TargetMode="External"/><Relationship Id="rId131" Type="http://schemas.openxmlformats.org/officeDocument/2006/relationships/hyperlink" Target="https://www.sec.gov/Archives/edgar/data/1116463/000156459020008195/osur-ex41_228.htm" TargetMode="External"/><Relationship Id="rId134" Type="http://schemas.openxmlformats.org/officeDocument/2006/relationships/hyperlink" Target="https://www.sec.gov/Archives/edgar/data/1116463/000119312518002256/d519036dex101.htm" TargetMode="External"/><Relationship Id="rId137" Type="http://schemas.openxmlformats.org/officeDocument/2006/relationships/hyperlink" Target="https://www.sec.gov/Archives/edgar/data/1116463/000095017022000095/osur-ex10_1.htm" TargetMode="External"/><Relationship Id="rId140" Type="http://schemas.openxmlformats.org/officeDocument/2006/relationships/hyperlink" Target="https://www.sec.gov/Archives/edgar/data/1116463/000156459019005491/osur-ex1021_171.htm" TargetMode="External"/><Relationship Id="rId143" Type="http://schemas.openxmlformats.org/officeDocument/2006/relationships/hyperlink" Target="https://www.sec.gov/Archives/edgar/data/1116463/000095017022002556/osur-ex10_10.htm" TargetMode="External"/><Relationship Id="rId144" Type="http://schemas.openxmlformats.org/officeDocument/2006/relationships/hyperlink" Target="https://www.sec.gov/Archives/edgar/data/1116463/000156459020037770/osur-ex102_142.htm" TargetMode="External"/><Relationship Id="rId145" Type="http://schemas.openxmlformats.org/officeDocument/2006/relationships/hyperlink" Target="https://www.sec.gov/Archives/edgar/data/1116463/000095017022002556/osur-ex10_12.htm" TargetMode="External"/><Relationship Id="rId146" Type="http://schemas.openxmlformats.org/officeDocument/2006/relationships/hyperlink" Target="https://www.sec.gov/Archives/edgar/data/1116463/000119312522082900/d332944dex101.htm" TargetMode="External"/><Relationship Id="rId147" Type="http://schemas.openxmlformats.org/officeDocument/2006/relationships/hyperlink" Target="https://www.sec.gov/Archives/edgar/data/1116463/000119312522161124/d344918dex101.htm" TargetMode="External"/><Relationship Id="rId148" Type="http://schemas.openxmlformats.org/officeDocument/2006/relationships/hyperlink" Target="https://www.sec.gov/Archives/edgar/data/1116463/000095017022017127/osur-ex10_1.htm" TargetMode="External"/><Relationship Id="rId149" Type="http://schemas.openxmlformats.org/officeDocument/2006/relationships/hyperlink" Target="https://www.sec.gov/Archives/edgar/data/1116463/000095017022002556/osur-ex10_13.htm" TargetMode="External"/><Relationship Id="rId152" Type="http://schemas.openxmlformats.org/officeDocument/2006/relationships/hyperlink" Target="https://www.sec.gov/Archives/edgar/data/1116463/000156459019031997/osur-8k_20190811.htm" TargetMode="External"/><Relationship Id="rId155" Type="http://schemas.openxmlformats.org/officeDocument/2006/relationships/hyperlink" Target="https://www.sec.gov/Archives/edgar/data/1116463/000095010903001919/dex109.txt" TargetMode="External"/><Relationship Id="rId159" Type="http://schemas.openxmlformats.org/officeDocument/2006/relationships/hyperlink" Target="https://www.sec.gov/Archives/edgar/data/1116463/000089291701000014/0000892917-01-000014-0010.txt" TargetMode="External"/><Relationship Id="rId162" Type="http://schemas.openxmlformats.org/officeDocument/2006/relationships/hyperlink" Target="https://www.sec.gov/Archives/edgar/data/1116463/000156459020016101/osur-def14a_20200519.htm" TargetMode="External"/><Relationship Id="rId165" Type="http://schemas.openxmlformats.org/officeDocument/2006/relationships/hyperlink" Target="https://www.sec.gov/Archives/edgar/data/1116463/000095017022010283/osur-ex10_1.htm" TargetMode="External"/><Relationship Id="rId168" Type="http://schemas.openxmlformats.org/officeDocument/2006/relationships/hyperlink" Target="https://www.sec.gov/Archives/edgar/data/1116463/000119312516503534/d111696dex1024.htm" TargetMode="External"/><Relationship Id="rId171" Type="http://schemas.openxmlformats.org/officeDocument/2006/relationships/hyperlink" Target="https://www.sec.gov/Archives/edgar/data/1116463/000119312517082033/d354040dex1027.htm" TargetMode="External"/><Relationship Id="rId174" Type="http://schemas.openxmlformats.org/officeDocument/2006/relationships/hyperlink" Target="https://www.sec.gov/Archives/edgar/data/1116463/000095017022002556/osur-ex10_20.htm" TargetMode="External"/><Relationship Id="rId177" Type="http://schemas.openxmlformats.org/officeDocument/2006/relationships/hyperlink" Target="https://www.sec.gov/Archives/edgar/data/1116463/000119312512114853/d279006dex1024.htm" TargetMode="External"/><Relationship Id="rId180" Type="http://schemas.openxmlformats.org/officeDocument/2006/relationships/hyperlink" Target="https://www.sec.gov/Archives/edgar/data/1116463/000119312512114853/d279006dex1025.htm" TargetMode="External"/><Relationship Id="rId183" Type="http://schemas.openxmlformats.org/officeDocument/2006/relationships/hyperlink" Target="https://www.sec.gov/Archives/edgar/data/1116463/000119312512114853/d279006dex1026.htm" TargetMode="External"/><Relationship Id="rId186" Type="http://schemas.openxmlformats.org/officeDocument/2006/relationships/hyperlink" Target="https://www.sec.gov/Archives/edgar/data/1116463/000119312511348867/d272004dex991.htm" TargetMode="External"/><Relationship Id="rId189" Type="http://schemas.openxmlformats.org/officeDocument/2006/relationships/hyperlink" Target="https://www.sec.gov/Archives/edgar/data/1116463/000119312511348867/d272004dex992.htm" TargetMode="External"/><Relationship Id="rId192" Type="http://schemas.openxmlformats.org/officeDocument/2006/relationships/hyperlink" Target="https://www.sec.gov/Archives/edgar/data/1116463/000095017021004122/osur-ex14_1.htm" TargetMode="External"/><Relationship Id="rId195" Type="http://schemas.openxmlformats.org/officeDocument/2006/relationships/hyperlink" Target="https://www.sec.gov/Archives/edgar/data/1116463/000095017021003095/osur-ex10_2.htm" TargetMode="External"/><Relationship Id="rId199" Type="http://schemas.openxmlformats.org/officeDocument/2006/relationships/hyperlink" Target="https://www.sec.gov/Archives/edgar/data/1116463/000095017022002556/osur-ex10_30.htm" TargetMode="External"/><Relationship Id="rId202" Type="http://schemas.openxmlformats.org/officeDocument/2006/relationships/hyperlink" Target="https://www.sec.gov/Archives/edgar/data/1116463/000119312514098958/d654506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2023-03-03T17:38:44Z</dcterms:created>
  <dcterms:modified xsi:type="dcterms:W3CDTF">2023-03-03T17:38:44Z</dcterms:modified>
</cp:coreProperties>
</file>