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71"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9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7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 to</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No. 001-16537</w:t>
      </w:r>
    </w:p>
    <w:p>
      <w:pPr>
        <w:spacing w:after="0" w:line="3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ORASURE TECHNOLOGIES,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right"/>
              <w:ind w:right="2413"/>
              <w:spacing w:after="0"/>
              <w:rPr>
                <w:sz w:val="20"/>
                <w:szCs w:val="20"/>
                <w:color w:val="auto"/>
              </w:rPr>
            </w:pPr>
            <w:r>
              <w:rPr>
                <w:rFonts w:ascii="Times New Roman" w:cs="Times New Roman" w:eastAsia="Times New Roman" w:hAnsi="Times New Roman"/>
                <w:sz w:val="13"/>
                <w:szCs w:val="13"/>
                <w:b w:val="1"/>
                <w:bCs w:val="1"/>
                <w:color w:val="auto"/>
              </w:rPr>
              <w:t>36-4370966</w:t>
            </w:r>
          </w:p>
        </w:tc>
      </w:tr>
      <w:tr>
        <w:trPr>
          <w:trHeight w:val="200"/>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70"/>
        </w:trPr>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3"/>
                <w:szCs w:val="13"/>
                <w:b w:val="1"/>
                <w:bCs w:val="1"/>
                <w:color w:val="auto"/>
              </w:rPr>
              <w:t>220 East First Street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78"/>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Bethlehem, Pennsylvania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right"/>
              <w:ind w:right="2573"/>
              <w:spacing w:after="0"/>
              <w:rPr>
                <w:sz w:val="20"/>
                <w:szCs w:val="20"/>
                <w:color w:val="auto"/>
              </w:rPr>
            </w:pPr>
            <w:r>
              <w:rPr>
                <w:rFonts w:ascii="Times New Roman" w:cs="Times New Roman" w:eastAsia="Times New Roman" w:hAnsi="Times New Roman"/>
                <w:sz w:val="13"/>
                <w:szCs w:val="13"/>
                <w:b w:val="1"/>
                <w:bCs w:val="1"/>
                <w:color w:val="auto"/>
              </w:rPr>
              <w:t>18015</w:t>
            </w:r>
          </w:p>
        </w:tc>
      </w:tr>
      <w:tr>
        <w:trPr>
          <w:trHeight w:val="216"/>
        </w:trPr>
        <w:tc>
          <w:tcPr>
            <w:tcW w:w="7700" w:type="dxa"/>
            <w:vAlign w:val="bottom"/>
            <w:gridSpan w:val="6"/>
          </w:tcPr>
          <w:p>
            <w:pPr>
              <w:jc w:val="center"/>
              <w:ind w:right="20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24"/>
        </w:trPr>
        <w:tc>
          <w:tcPr>
            <w:tcW w:w="7700" w:type="dxa"/>
            <w:vAlign w:val="bottom"/>
            <w:gridSpan w:val="6"/>
          </w:tcPr>
          <w:p>
            <w:pPr>
              <w:jc w:val="center"/>
              <w:ind w:left="347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(610) 882-1820</w:t>
            </w:r>
          </w:p>
        </w:tc>
        <w:tc>
          <w:tcPr>
            <w:tcW w:w="3540" w:type="dxa"/>
            <w:vAlign w:val="bottom"/>
          </w:tcPr>
          <w:p>
            <w:pPr>
              <w:spacing w:after="0"/>
              <w:rPr>
                <w:sz w:val="24"/>
                <w:szCs w:val="24"/>
                <w:color w:val="auto"/>
              </w:rPr>
            </w:pPr>
          </w:p>
        </w:tc>
      </w:tr>
      <w:tr>
        <w:trPr>
          <w:trHeight w:val="189"/>
        </w:trPr>
        <w:tc>
          <w:tcPr>
            <w:tcW w:w="3760" w:type="dxa"/>
            <w:vAlign w:val="bottom"/>
          </w:tcPr>
          <w:p>
            <w:pPr>
              <w:spacing w:after="0"/>
              <w:rPr>
                <w:sz w:val="16"/>
                <w:szCs w:val="16"/>
                <w:color w:val="auto"/>
              </w:rPr>
            </w:pPr>
          </w:p>
        </w:tc>
        <w:tc>
          <w:tcPr>
            <w:tcW w:w="39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3540" w:type="dxa"/>
            <w:vAlign w:val="bottom"/>
          </w:tcPr>
          <w:p>
            <w:pPr>
              <w:spacing w:after="0"/>
              <w:rPr>
                <w:sz w:val="16"/>
                <w:szCs w:val="16"/>
                <w:color w:val="auto"/>
              </w:rPr>
            </w:pPr>
          </w:p>
        </w:tc>
      </w:tr>
      <w:tr>
        <w:trPr>
          <w:trHeight w:val="257"/>
        </w:trPr>
        <w:tc>
          <w:tcPr>
            <w:tcW w:w="3760" w:type="dxa"/>
            <w:vAlign w:val="bottom"/>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540" w:type="dxa"/>
            <w:vAlign w:val="bottom"/>
          </w:tcPr>
          <w:p>
            <w:pPr>
              <w:jc w:val="center"/>
              <w:ind w:right="67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8"/>
        </w:trPr>
        <w:tc>
          <w:tcPr>
            <w:tcW w:w="3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82"/>
        </w:trPr>
        <w:tc>
          <w:tcPr>
            <w:tcW w:w="3760" w:type="dxa"/>
            <w:vAlign w:val="bottom"/>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Common Stock, $0.000001 par value per share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OSUR</w:t>
            </w:r>
          </w:p>
        </w:tc>
        <w:tc>
          <w:tcPr>
            <w:tcW w:w="3540" w:type="dxa"/>
            <w:vAlign w:val="bottom"/>
          </w:tcPr>
          <w:p>
            <w:pPr>
              <w:jc w:val="center"/>
              <w:ind w:right="693"/>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310"/>
        </w:trPr>
        <w:tc>
          <w:tcPr>
            <w:tcW w:w="3760" w:type="dxa"/>
            <w:vAlign w:val="bottom"/>
          </w:tcPr>
          <w:p>
            <w:pPr>
              <w:spacing w:after="0"/>
              <w:rPr>
                <w:sz w:val="24"/>
                <w:szCs w:val="24"/>
                <w:color w:val="auto"/>
              </w:rPr>
            </w:pPr>
          </w:p>
        </w:tc>
        <w:tc>
          <w:tcPr>
            <w:tcW w:w="39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3540" w:type="dxa"/>
            <w:vAlign w:val="bottom"/>
          </w:tcPr>
          <w:p>
            <w:pPr>
              <w:spacing w:after="0"/>
              <w:rPr>
                <w:sz w:val="24"/>
                <w:szCs w:val="24"/>
                <w:color w:val="auto"/>
              </w:rPr>
            </w:pPr>
          </w:p>
        </w:tc>
      </w:tr>
    </w:tbl>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3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57" w:lineRule="exact"/>
        <w:rPr>
          <w:sz w:val="24"/>
          <w:szCs w:val="24"/>
          <w:color w:val="auto"/>
        </w:rPr>
      </w:pPr>
    </w:p>
    <w:p>
      <w:pPr>
        <w:jc w:val="both"/>
        <w:ind w:right="20" w:firstLine="324"/>
        <w:spacing w:after="0" w:line="272"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9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900" w:type="dxa"/>
            <w:vAlign w:val="bottom"/>
          </w:tcPr>
          <w:p>
            <w:pPr>
              <w:ind w:left="1000"/>
              <w:spacing w:after="0"/>
              <w:rPr>
                <w:sz w:val="20"/>
                <w:szCs w:val="20"/>
                <w:color w:val="auto"/>
              </w:rPr>
            </w:pPr>
            <w:r>
              <w:rPr>
                <w:rFonts w:ascii="Wingdings" w:cs="Wingdings" w:eastAsia="Wingdings" w:hAnsi="Wingdings"/>
                <w:sz w:val="15"/>
                <w:szCs w:val="15"/>
                <w:b w:val="1"/>
                <w:bCs w:val="1"/>
                <w:color w:val="auto"/>
              </w:rPr>
              <w:t>o</w:t>
            </w: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Accelerated filer</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w w:val="87"/>
              </w:rPr>
              <w:t>x</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900" w:type="dxa"/>
            <w:vAlign w:val="bottom"/>
          </w:tcPr>
          <w:p>
            <w:pPr>
              <w:ind w:left="1000"/>
              <w:spacing w:after="0"/>
              <w:rPr>
                <w:sz w:val="20"/>
                <w:szCs w:val="20"/>
                <w:color w:val="auto"/>
              </w:rPr>
            </w:pPr>
            <w:r>
              <w:rPr>
                <w:rFonts w:ascii="Wingdings" w:cs="Wingdings" w:eastAsia="Wingdings" w:hAnsi="Wingdings"/>
                <w:sz w:val="15"/>
                <w:szCs w:val="15"/>
                <w:b w:val="1"/>
                <w:bCs w:val="1"/>
                <w:color w:val="auto"/>
              </w:rPr>
              <w:t>o</w:t>
            </w: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rPr>
              <w:t>o</w:t>
            </w:r>
          </w:p>
        </w:tc>
      </w:tr>
      <w:tr>
        <w:trPr>
          <w:trHeight w:val="243"/>
        </w:trPr>
        <w:tc>
          <w:tcPr>
            <w:tcW w:w="23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Emerging Growth Company</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rPr>
              <w:t>o</w:t>
            </w:r>
          </w:p>
        </w:tc>
      </w:tr>
    </w:tbl>
    <w:p>
      <w:pPr>
        <w:spacing w:after="0" w:line="139"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5"/>
          <w:szCs w:val="15"/>
          <w:b w:val="1"/>
          <w:bCs w:val="1"/>
          <w:color w:val="auto"/>
        </w:rPr>
        <w:t>x</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4"/>
          <w:szCs w:val="14"/>
          <w:color w:val="auto"/>
        </w:rPr>
        <w:t>§240.10D-1(b).</w:t>
      </w:r>
      <w:r>
        <w:rPr>
          <w:rFonts w:ascii="Times New Roman" w:cs="Times New Roman" w:eastAsia="Times New Roman" w:hAnsi="Times New Roman"/>
          <w:sz w:val="15"/>
          <w:szCs w:val="15"/>
          <w:color w:val="auto"/>
        </w:rPr>
        <w:t xml:space="preserve">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4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2025): $218,472,693.</w:t>
      </w:r>
    </w:p>
    <w:p>
      <w:pPr>
        <w:spacing w:after="0" w:line="18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February 28, 2026: 69,126,173 shares.</w:t>
      </w:r>
    </w:p>
    <w:p>
      <w:pPr>
        <w:spacing w:after="0" w:line="4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8" w:lineRule="exact"/>
        <w:rPr>
          <w:sz w:val="24"/>
          <w:szCs w:val="24"/>
          <w:color w:val="auto"/>
        </w:rPr>
      </w:pPr>
    </w:p>
    <w:p>
      <w:pPr>
        <w:jc w:val="both"/>
        <w:ind w:firstLine="324"/>
        <w:spacing w:after="0" w:line="271" w:lineRule="auto"/>
        <w:rPr>
          <w:sz w:val="20"/>
          <w:szCs w:val="20"/>
          <w:color w:val="auto"/>
        </w:rPr>
      </w:pPr>
      <w:r>
        <w:rPr>
          <w:rFonts w:ascii="Times New Roman" w:cs="Times New Roman" w:eastAsia="Times New Roman" w:hAnsi="Times New Roman"/>
          <w:sz w:val="15"/>
          <w:szCs w:val="15"/>
          <w:color w:val="auto"/>
        </w:rPr>
        <w:t>Part III of this Annual Report on Form 10-K will be incorporated by reference from certain portions of the Registrant's Definitive Proxy Statement for its 2026 Annual Meeting of Shareholders, or will be included in an amendment hereto, to be filed not later than 120 days after the close of the fiscal year ended December 31, 2025. Except with respect to information specifically incorporated by reference in the Annual Report on Form 10-K, the Definitive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38"/>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14"/>
          </w:tcPr>
          <w:p>
            <w:pPr>
              <w:jc w:val="center"/>
              <w:ind w:right="4880"/>
              <w:spacing w:after="0"/>
              <w:rPr>
                <w:sz w:val="20"/>
                <w:szCs w:val="20"/>
                <w:color w:val="auto"/>
              </w:rPr>
            </w:pPr>
            <w:r>
              <w:rPr>
                <w:rFonts w:ascii="Times New Roman" w:cs="Times New Roman" w:eastAsia="Times New Roman" w:hAnsi="Times New Roman"/>
                <w:sz w:val="18"/>
                <w:szCs w:val="18"/>
                <w:color w:val="0000FF"/>
                <w:w w:val="95"/>
              </w:rPr>
              <w:t>PART I</w:t>
            </w:r>
          </w:p>
        </w:tc>
        <w:tc>
          <w:tcPr>
            <w:tcW w:w="900" w:type="dxa"/>
            <w:vAlign w:val="bottom"/>
          </w:tcPr>
          <w:p>
            <w:pPr>
              <w:spacing w:after="0"/>
              <w:rPr>
                <w:sz w:val="24"/>
                <w:szCs w:val="24"/>
                <w:color w:val="auto"/>
              </w:rPr>
            </w:pPr>
          </w:p>
        </w:tc>
      </w:tr>
      <w:tr>
        <w:trPr>
          <w:trHeight w:val="240"/>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7"/>
        </w:trPr>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20" w:type="dxa"/>
            <w:vAlign w:val="bottom"/>
            <w:gridSpan w:val="2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IC.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20" w:type="dxa"/>
            <w:vAlign w:val="bottom"/>
            <w:gridSpan w:val="1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60" w:type="dxa"/>
            <w:vAlign w:val="bottom"/>
            <w:gridSpan w:val="2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20" w:type="dxa"/>
            <w:vAlign w:val="bottom"/>
            <w:gridSpan w:val="2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358"/>
        </w:trPr>
        <w:tc>
          <w:tcPr>
            <w:tcW w:w="13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5"/>
              </w:rPr>
              <w:t>PART II</w:t>
            </w:r>
          </w:p>
        </w:tc>
        <w:tc>
          <w:tcPr>
            <w:tcW w:w="486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13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8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4"/>
                <w:szCs w:val="24"/>
                <w:color w:val="auto"/>
              </w:rPr>
            </w:pPr>
          </w:p>
        </w:tc>
        <w:tc>
          <w:tcPr>
            <w:tcW w:w="7200" w:type="dxa"/>
            <w:vAlign w:val="bottom"/>
            <w:gridSpan w:val="2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358"/>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color w:val="0000FF"/>
                <w:w w:val="96"/>
              </w:rPr>
              <w:t>PART III</w:t>
            </w: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8"/>
          </w:tcPr>
          <w:p>
            <w:pPr>
              <w:spacing w:after="0"/>
              <w:rPr>
                <w:sz w:val="24"/>
                <w:szCs w:val="24"/>
                <w:color w:val="auto"/>
              </w:rPr>
            </w:pPr>
          </w:p>
        </w:tc>
        <w:tc>
          <w:tcPr>
            <w:tcW w:w="488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8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2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358"/>
        </w:trPr>
        <w:tc>
          <w:tcPr>
            <w:tcW w:w="13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color w:val="0000FF"/>
                <w:w w:val="94"/>
              </w:rPr>
              <w:t>PART IV</w:t>
            </w: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Exhibits and Consolidated Financial Statement Schedules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358"/>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41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82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358"/>
        </w:trPr>
        <w:tc>
          <w:tcPr>
            <w:tcW w:w="1380" w:type="dxa"/>
            <w:vAlign w:val="bottom"/>
          </w:tcPr>
          <w:p>
            <w:pPr>
              <w:spacing w:after="0"/>
              <w:rPr>
                <w:sz w:val="24"/>
                <w:szCs w:val="24"/>
                <w:color w:val="auto"/>
              </w:rPr>
            </w:pPr>
          </w:p>
        </w:tc>
        <w:tc>
          <w:tcPr>
            <w:tcW w:w="1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20" w:type="dxa"/>
            <w:vAlign w:val="bottom"/>
            <w:gridSpan w:val="21"/>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1283"/>
        </w:trPr>
        <w:tc>
          <w:tcPr>
            <w:tcW w:w="13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Names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References in this Annual Report on Form 10-K for the fiscal year ended December 31, 2025 (the "Annual Report") to "OraSure" mean OraSure Technologies, Inc. References in this Annual Report to “DNAG” mean DNA Genotek, Inc., references to “Diversigen” mean Diversigen, Inc., references to “Novosanis” mean Novosanis NV, references to "Sherlock" mean Sherlock Biosciences, Inc. and its wholly owned subsidiaries, and references to "BioMedomics" mean BioMedomics, Inc. References in this Annual Report to "we", "us", "our", "OTI" or the "Company" mean OraSure and its consolidated subsidiaries, DNAG, Diversigen, Novosanis, Sherlock and BioMedomics, unless otherwise indicated.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Regarding Forward 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Annual Report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50" w:lineRule="exact"/>
        <w:rPr>
          <w:sz w:val="20"/>
          <w:szCs w:val="20"/>
          <w:color w:val="auto"/>
        </w:rPr>
      </w:pPr>
    </w:p>
    <w:p>
      <w:pPr>
        <w:ind w:left="2120" w:right="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acceptance of, and the Company's ability to market and sell, its products and services, whether through its internal, direct sales force or third parties;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ability to obtain, and timing and cost of obtaining, necessary regulatory approvals for new products or new indications or applications for existing products; ability to comply with applicable regulatory requirements;</w:t>
      </w:r>
    </w:p>
    <w:p>
      <w:pPr>
        <w:spacing w:after="0" w:line="50" w:lineRule="exact"/>
        <w:rPr>
          <w:rFonts w:ascii="Times New Roman" w:cs="Times New Roman" w:eastAsia="Times New Roman" w:hAnsi="Times New Roman"/>
          <w:sz w:val="18"/>
          <w:szCs w:val="18"/>
          <w:i w:val="1"/>
          <w:iCs w:val="1"/>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of distributors or other customers to meet purchase forecasts, historic purchase levels or minimum purchase requirements for the Company's products;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customer concentrations that exist or may develop in the future;</w:t>
      </w:r>
    </w:p>
    <w:p>
      <w:pPr>
        <w:spacing w:after="0" w:line="117"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manufacture products in accordance with applicable specifications, performance standards and quality requirements;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negative geopolitical and economic conditions on the Company's business, including its ability to maintain sales at existing levels;</w:t>
      </w:r>
    </w:p>
    <w:p>
      <w:pPr>
        <w:spacing w:after="0" w:line="50" w:lineRule="exact"/>
        <w:rPr>
          <w:rFonts w:ascii="Times New Roman" w:cs="Times New Roman" w:eastAsia="Times New Roman" w:hAnsi="Times New Roman"/>
          <w:sz w:val="18"/>
          <w:szCs w:val="18"/>
          <w:i w:val="1"/>
          <w:iCs w:val="1"/>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effectively resolve warning letters, audit observations and other findings or comments from the U.S. Food and Drug Administration (or the "FDA”), or other regulators;</w:t>
      </w:r>
    </w:p>
    <w:p>
      <w:pPr>
        <w:spacing w:after="0" w:line="50" w:lineRule="exact"/>
        <w:rPr>
          <w:rFonts w:ascii="Times New Roman" w:cs="Times New Roman" w:eastAsia="Times New Roman" w:hAnsi="Times New Roman"/>
          <w:sz w:val="18"/>
          <w:szCs w:val="18"/>
          <w:color w:val="auto"/>
        </w:rPr>
      </w:pPr>
    </w:p>
    <w:p>
      <w:pPr>
        <w:ind w:left="2120" w:right="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relationships, including disputes or disagreements, with strategic partners or other parties and reliance on strategic partners for the performance of critical activities under collaborative arrangements;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meet increased demand for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replacing distributors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Inventory levels at distributors and other customers;</w:t>
      </w:r>
    </w:p>
    <w:p>
      <w:pPr>
        <w:spacing w:after="0" w:line="117"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achieve its financial and strategic objectives and to increase its revenues, including the ability to expand international sales;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competitors, competing products and technology changes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or deferral of public funding available to customers;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from new or better technology or lower cost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develop, commercialize and market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2120" w:right="20" w:hanging="978"/>
        <w:spacing w:after="0" w:line="267" w:lineRule="auto"/>
        <w:tabs>
          <w:tab w:leader="none" w:pos="2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market acceptance of products based on product performance or other factors, including changes in testing guidelines, algorithms or other recommendations by the Centers for Disease Control and Prevention, (the “CDC”) or other agencies; ability to fund research and development and other products and operations;</w:t>
      </w:r>
    </w:p>
    <w:p>
      <w:pPr>
        <w:spacing w:after="0" w:line="61" w:lineRule="exact"/>
        <w:rPr>
          <w:rFonts w:ascii="Times New Roman" w:cs="Times New Roman" w:eastAsia="Times New Roman" w:hAnsi="Times New Roman"/>
          <w:sz w:val="18"/>
          <w:szCs w:val="18"/>
          <w:color w:val="auto"/>
        </w:rPr>
      </w:pPr>
    </w:p>
    <w:p>
      <w:pPr>
        <w:ind w:left="2120" w:hanging="978"/>
        <w:spacing w:after="0" w:line="231" w:lineRule="auto"/>
        <w:tabs>
          <w:tab w:leader="none" w:pos="2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fulfill its commitments under its contracts with the U.S. government for InteliSwab</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COVID-19 Rapid Tests;</w:t>
      </w:r>
    </w:p>
    <w:p>
      <w:pPr>
        <w:spacing w:after="0" w:line="89"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ability to obtain and maintain new or existing product distribution channels;</w:t>
      </w:r>
    </w:p>
    <w:p>
      <w:pPr>
        <w:spacing w:after="0" w:line="117" w:lineRule="exact"/>
        <w:rPr>
          <w:rFonts w:ascii="Times New Roman" w:cs="Times New Roman" w:eastAsia="Times New Roman" w:hAnsi="Times New Roman"/>
          <w:sz w:val="18"/>
          <w:szCs w:val="18"/>
          <w:i w:val="1"/>
          <w:iCs w:val="1"/>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on sole supply sources for critical products and components;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related products produced by third parties or products required for use of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contracting with the U.S. government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maintain sustained profitability;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increase its gross margins;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ability to utilize net operating loss carry forwards or other deferred tax assets;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of the Company's stock price;</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relating to patent protection and potential patent infringement claims;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and costs of litigation relating to patents and other intellectual property;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licenses to patents or other technology;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enter into international manufacturing agreements;</w:t>
      </w:r>
    </w:p>
    <w:p>
      <w:pPr>
        <w:spacing w:after="0" w:line="117"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Obstacles to international marketing and manufacturing of products, including international in-country value-added assembly or "near-shoring";</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changes in international funding sources and testing algorithms on international sales;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movements in foreign currency exchange rates;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or impairment of sources of capital;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exposure to product liability and other types of litigation;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international, federal or state laws and regulations;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consolidations and inventory practices;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Equipment failures and ability to obtain needed raw materials and components;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terrorist attacks and civil unrest;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political, business and economic conditions, including inflationary pressures.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These and other factors that could affect the Company's results are discussed more fully under Item 1A, entitled “Risk Factors,” and elsewhere in this Annual Report.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and Risk Factors are made as of the date of this Annual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or confirming financial forecasts or projections issued by others. Thus, to the extent that reports issued by securities analysts contain any projections, forecasts or opinions, such reports are not the responsibility of OraSure.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Trademarks, Trade Names and Service Marks</w:t>
      </w:r>
    </w:p>
    <w:p>
      <w:pPr>
        <w:spacing w:after="0" w:line="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This Annual Report contains certain trademarks, which are protected under applicable intellectual property laws and are the Company's property. Solely for convenience, the Company's trademarks and trade names referred to in this Annual Report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 symbol, but such references are not intended to indicate, in any way, that the Company will not assert, to the fullest extent under applicable law, its rights to these trademarks and trade names. The Company owns rights to trademarks and service marks that it believes are necessary to conduct its business as currently operated. In the United States, the Company owns a number of trademarks, including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OTI™,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ORASURE QUICKFLU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SUREQUICK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SMART SCIENCE MADE SIMPLE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 Genotek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OMNImet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Diversigen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CoreBiome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Boostershot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MetaGene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Benchmark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Novosanis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UCM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UAS™, prepIT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NucleoPrecision™, ProteoPrecision™, HEMAcollect™, and HEMAgene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The Company also licenses the SHERLOCK™ mark from The Broad Institute, Inc. The Company also owns many of these marks and others in several foreign countries and it pursues the registration of other trademarks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OTI transforms health through actionable insight and decentralizes diagnostics to connect people to healthcare wherever they 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and services reside under one reporting hierarchy, with commercial and innovation teams, which are part of a single business unit covering multiple product lines. Our business is principally comprised of the development, manufacture, marketing, sale and distribution of (i) diagnostics products, and (ii) sample management solutions.</w:t>
      </w:r>
    </w:p>
    <w:p>
      <w:pPr>
        <w:spacing w:after="0" w:line="6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November 2025, the Company acquired BioMedomics, Inc. ("BioMedomics"). BioMedomics'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the world's first rapid point-of-care test for sickle cell disease. The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currently sold in markets outside the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sale and distribution of simple, easy to use diagnostic products and specimen collection devices using its proprietary technologies, as well as other diagnostic products, including immunoassays and other in vitro diagnostic tests that are used on other specimen types. Our diagnostic products include tests for diseases including HIV, Hepatitis C virus (“HCV”), Syphilis, Sickle Cell and COVID-19 that are performed on a rapid basis at the point of care.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HIV and COVID-19 products are also sold in a consumer-friendly format in the over-the-counter (“OTC”) market in the U.S. and, in the case of the HIV and HCV products, as a self-test to individuals in a number of other countries, including, for the HIV products, as an oral swab in-home test for HIV-1 and HIV-2 in Europe, and for the HCV products, as an OTC test. In December 2025, the Company submitted a premarket notification (“510(k)”) the FDA for clearance of its rapid molecular self-test for Chlamydia trachomatis and Neisseria gonorrhoeae (“CT/NG”), which is currently under review.</w:t>
      </w:r>
    </w:p>
    <w:p>
      <w:pPr>
        <w:spacing w:after="0" w:line="200" w:lineRule="exact"/>
        <w:rPr>
          <w:sz w:val="20"/>
          <w:szCs w:val="20"/>
          <w:color w:val="auto"/>
        </w:r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market segments.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Initial sales of this product for research use only are occurring primarily through distributors and collaborations in the liquid biopsy and sexually transmitted disease markets. In December 2025, the Company also submitted a 510(k) to the FDA for clearance of its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at-home urine collection device for sexually transmitted infections, which is currently under review.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principal products for the infectious disease and risk management markets as well as its sample management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Rapid HIV Test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OraQuick® Rapid HIV Test is the Company's rapid point-of-care test product designed to test for the presence of HIV-1 and HIV-2 antibodies. This product is sold under the OraQuick ADVANCE® name in North America, Europe and certain other countries, and under the OraQuick® name in other developing countries. The OraQuick ADVANCE® test has received premarket approval (“PMA”) from the FDA for the detection of antibodies to both HIV-1 and HIV-2 in oral fluid, finger-stick whole blood, venous whole blood and plasma.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has received World Health Organization ("WHO") pre-qualification and registration in other countries for the detection of HIV-1 and HIV-2 antibodies in oral fluid, whole blood (fingerstick and venous), serum and plasma. In November 2022, the US FDA reclassified HIV serological diagnostic tests from Class III to Class II with special controls reducing the regulatory burden for these device types. The device uses a porous flat pad to collect an oral fluid specimen. After collection, the pad is inserted into a vial containing a pre-measured amount of developer solution and allowed to develop. When blood-based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specimens are to be tested, a loop collection device is used to collect a drop of the specimen and mix it in the developer solution, after which the collection pad is inserted into the solution and the test is allowed to develop. The specimen and developer solution then flow through the testing device where test results are observable between 20 and 40 minutes.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is a screening test and requires a confirmation test where an initial positive result is obtained. This test is available for use by laboratories located in the United States certified under a Clinical Laboratory Improvement Amendments of 1988 (“CLIA”), to perform moderately complex tests. The Company has also received a CLIA waiver for use of the test with oral fluid and finger-stick and venous whole blood. As a result, the test can be used by numerous additional sites in the United States not certified under CLIA to perform moderately complex tests, such as outreach clinics, community-based organizations and physicians’ offices.</w:t>
      </w:r>
    </w:p>
    <w:p>
      <w:pPr>
        <w:spacing w:after="0" w:line="1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also CE marked for sale in Europe and other countries accepting the CE mark for commercialization. This product is also registered for sale in other countries. The Company has distributors in place for several countries and is seeking to increase awareness and expand its distribution network for this product throughout the world. The Company has also received WHO pre-qualification for its export-only version of this product.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HIV Self-Test</w:t>
      </w:r>
    </w:p>
    <w:p>
      <w:pPr>
        <w:spacing w:after="0" w:line="1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an OTC oral-fluid only version of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1/2 Antibody Test. The Company received PMA approval to sell this test in the U.S. OTC market for individuals 14 years of age and older. The test is performed in the same manner as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except that it has product labeling and instructions designed for consumers. The OraQuick In-Home HIV Self-Test was rebranded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OraQuick HIV Self-Test as part of a PMA supplement in 2024. In addition, the Company has established toll-free customer telephone support to provide additional information and referral services for consumers that use this product.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HIV Self-Test (International)</w:t>
      </w:r>
    </w:p>
    <w:p>
      <w:pPr>
        <w:spacing w:after="0" w:line="1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(International) is an in-vitro diagnostic home-use test for HIV (HIV-1 and HIV-2) in oral fluid, and is sold for use by individuals.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(International) is sold for use by individuals in certain foreign countries, including under the CE mark in certain European countries, to meet the needs of those markets. This product has received WHO pre-qualification and is eligible for procurement by purchasing entities entitled to access funding and other resources from the Global Fund, PEPFAR and other agencies. In February 2026, the Company announced that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(International) received a license from Health Canada for use in Canada and is Canada’s first oral HIV self-test.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HCV Rapid Antibody Test and Self-Test</w:t>
      </w:r>
    </w:p>
    <w:p>
      <w:pPr>
        <w:spacing w:after="0" w:line="17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Another test available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is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This product is a qualitative test that can detect antibodies to the hepatitis C virus (“HCV”), in a variety of sample types.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operates in substantially the same manner as the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HIV test.</w:t>
      </w:r>
    </w:p>
    <w:p>
      <w:pPr>
        <w:spacing w:after="0" w:line="1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has received FDA PMA approval and CLIA waiver for use of the test in detecting HCV antibodies in venous whole blood and finger-stick whole blood specimens, making it the first and only rapid HCV test approved by the FDA for use in the United States. In November 2021, the US FDA reclassified Hepatitis C virus (HCV) antibody tests for the qualitative detection of HCV from Class III to Class II with special controls reducing the regulatory burden for these device types.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has received a CE mark for use with oral fluid, venous whole blood, finger-stick whole blood, plasma and serum and is sold in Europe. This CE-marked product is also registered and sold in other foreign countries and has received WHO pre-qualification.</w:t>
      </w:r>
    </w:p>
    <w:p>
      <w:pPr>
        <w:spacing w:after="0" w:line="19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Additionally,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 is an OTC self-test, available in certain markets outside the U.S., that operates in substantially the same way as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 received WHO pre-qualification in 2024 and is the first hepatitis C self-test to earn this designation.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Diagnostics Direct Syphilis Health Check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Pursuant to a strategic agreement with Diagnostics Direct, the Company distributes the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xml:space="preserve">™ rapid diagnostic test. </w:t>
      </w:r>
      <w:r>
        <w:rPr>
          <w:rFonts w:ascii="Times New Roman" w:cs="Times New Roman" w:eastAsia="Times New Roman" w:hAnsi="Times New Roman"/>
          <w:sz w:val="18"/>
          <w:szCs w:val="18"/>
          <w:i w:val="1"/>
          <w:iCs w:val="1"/>
          <w:color w:val="auto"/>
        </w:rPr>
        <w:t>Syphilis Health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Check</w:t>
      </w:r>
      <w:r>
        <w:rPr>
          <w:rFonts w:ascii="Times New Roman" w:cs="Times New Roman" w:eastAsia="Times New Roman" w:hAnsi="Times New Roman"/>
          <w:sz w:val="18"/>
          <w:szCs w:val="18"/>
          <w:color w:val="auto"/>
        </w:rPr>
        <w:t>™ is the first CLIA-waived treponemal test. The test, which uses fingerstick whole blood and delivers point of care results in 10 minutes, offers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test in non-traditional environments,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outreach programs and mobile testing clinics.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is approved for use with people aged 13 years and 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Ebola Rapid Antigen Test</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has received De Novo authorization from the FDA for its rapid Ebola test, making it the first and only rapid Ebola test cleared for sale in the U.S. This product utilizes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platform for the detection of Ebola antigen and can be used with finger-stick and whole blood samples from live patients and oral fluid samples from recently deceased individuals. The uses for this test are limited to individuals that meet certain criteria indicating they may be infected with the Ebola virus, so the test is not available for general screening of individuals that do not meet this criteria.</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September 2022, the Company entered into an agreement with the Biomedical Advanced Research and Development Authority (“BARDA”), pursuant to which BARDA will provide up to $8.6 million in funding to the Company to develop an updated Ebola test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with the objective of developing increased sensitivity, utilizing sustainable raw materials and increasing shelf life, with new chemistry and higher degrees of automation in the test’s manufacturing process. In September 2023, the agreement was modified to add an additional $6.9 million in funding to be used to obtain the appropriate regulatory approvals for the product.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(“InteliSwab”) is the Company's rapid immunoassay product designed to test nasal samples for the presence of antigen from SARS-CoV-2. The device uses an integrated swab to collect a specimen from the lower nostril. After collection, the integrated swab is inserted into a vial containing a pre-measured amount of developer solution to facilitate flow of the sample into the device. The specimen and developer solution flow through the test device and test results are observable in 30 minutes. 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test has received an Emergency Use Authorization ("EUA") from the FDA for non-prescription, OTC home use in individuals aged two years or older, with symptoms within the first seven (7) days of onset when tested at least twice over a three-day period with at least 48 hours between tests and without symptoms or epidemiological reasons to suspect COVID-19 when tested at least three times over a five-day period with at least 48 hours between tests.</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Through 2025, the Company maintained its expanded United States production capacity for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to meet capacity targets set out in its 2021 contract with the U.S. Department of Defense (“DOD”) (in coordination with the U.S. Department of Health and Human Services (“HHS”)), of more than 100 million tests annually.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 Pro</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Pro is a version of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intended for use by healthcare providers at the point of care. The test is performed in the same manner as the OTC version, except that the test is run and interpreted by a healthcare provider. This test has received EUA from the FDA for use by laboratories located in the United States certified under the Clinical Laboratory Improvement Amendments of 1988 (“CLIA”). The Company has also received a CLIA waiver for use of the test, which enables the test to be used by numerous additional sites in the United States, which are not certified under CLIA, to perform high and moderately complex tests. These additional sites include outreach clinics, community-based organizations and physicians’ offices. This test is also indicated for individuals aged 2 years and older, with and without symptoms of COVID-19.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 Rx</w:t>
      </w:r>
    </w:p>
    <w:p>
      <w:pPr>
        <w:spacing w:after="0" w:line="17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Rx is the version of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that has received EUA from the FDA for prescription home use with individuals aged 2 years or older who are suspected of COVID-19 infection by their healthcare provider within the first seven days of symptom onset.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SickleSCAN</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Test</w:t>
      </w:r>
    </w:p>
    <w:p>
      <w:pPr>
        <w:spacing w:after="0" w:line="21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Company’s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a rapid, multiplexed, qualitative point-of care immunoassay for the diagnosis of Sickle cell disorders, and is made up of three indicators, which detect the presence of hemoglobins A, S, and C, allowing the user to rapidly distinguish between normal, carrier, and sickle cell</w:t>
      </w:r>
    </w:p>
    <w:p>
      <w:pPr>
        <w:spacing w:after="0" w:line="2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disease samples. The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test is the world’s first rapid point-of-care test for the diagnosis of sickle cell disease. The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currently sold outside the U.S. through the Company’s international sales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Genomic Products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sells genomic products that provide all-in-one systems for the collection, stabilization, transportation, and storage of DNA, RNA, as well as both DNA and RNA together from human and animal biological samples. The Company's lead products are sold under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and are used to collect genetic material from human saliva. These products are currently sold to thousands of academic research and commercial customers in many countries worldwide. The Company has obtained FDA clearance for its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its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saliva collection device for general use, including professional and OTC clearances, which allows the Company's commercial partners to use and legally market the device with their assays when used in conjunction with their intended uses.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genomic products are available in several configurations and contain proprietary chemical solutions optimized for the specific application for which each product is designed. Product physical design is focused on ease-of-use and reliability for self or assisted collection of samples. For example, several of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require users to hold the product close to their mouth and spit into the collection device. When the container is closed, the reagents stored in the container’s lid are mixed with the captured saliva and stabilize and preserve the nucleic acids in the sample. This non-invasive collection method yields nucleic acid that remains stable at ambient temperature for extended periods. The stabilizing technology ensures the preservation of high quality and high quantity nucleic acids required for many genetic testing and analysis methods.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these products provide significant advantages over competing DNA and RNA collection methods such as blood collection or buccal swabs, particularly in human genetic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include:</w:t>
      </w:r>
    </w:p>
    <w:p>
      <w:pPr>
        <w:spacing w:after="0" w:line="117" w:lineRule="exact"/>
        <w:rPr>
          <w:sz w:val="20"/>
          <w:szCs w:val="20"/>
          <w:color w:val="auto"/>
        </w:rPr>
      </w:pPr>
    </w:p>
    <w:p>
      <w:pPr>
        <w:ind w:left="2100" w:hanging="958"/>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Reliable high-quality and stable genetic samples.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Simple, non-invasive collection methods.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store and transport collected samples for extended periods at ambient temperatures.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fully automated laboratory testing systems.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Colli-Pee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Urine Collection Device</w:t>
      </w:r>
    </w:p>
    <w:p>
      <w:pPr>
        <w:spacing w:after="0" w:line="17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Company also sells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for the volumetric collection of first void urine samples. This product is used in liquid biopsy applications for the prostate and bladder cancer markets and in the sexually transmitted infection screening market.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registered as a class I urine collection device without a claim for preservative.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preservative solution known as NucleoPrecision™ chemistry, does not have FDA clearance and is labeled “For Research Use Only” in the U.S. In December 2025, the Company also submitted a 510(k) to the FDA for clearance of its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at-home urine collection device, with NucleoPrecision™ chemistry, for sexually transmitted infections, which is currently under review.</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HEMAcollect™ • PROTEIN Blood Collection Device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Company announced the launch of the HEMAcollect™ • PROTEIN blood collection device, an evacuated blood collection tube (“BCT”) designed to preserve and stabilize plasma proteins in whole blood for up to 7 days. The BCT uses our proprietary stabilizing liquid, known as ProteoPrecision™ chemistry, and preserves plasma proteins, facilitating storage and transport of blood samples at ambient temperatures. It is anticipated that its use for sample collection will deliver operational efficiencies to proteomic researchers and support the generation of high-quality data. The HEMAcollect™ • PROTEIN BCT is currently available for research use only.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Microbiome Products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also markets several microbiome collection products designed to collect, stabilize, and transport the microbial profile from multiple sample types. When unstabilized, a microbiome sample can change when exposed to environmental fluctuations, such as temperature changes. The Company's microbiome collection products support collecting and stabilizing metabolites found in fecal samples by capturing and preserving the microbiome after collection until the desired analysis can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GUT product is an all-in-one system designed to enable an individual to easily self-collect high-quality microbial DNA from feces or stool samples for gut microbiome profiling for use in the clinical laboratory and research settings. 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GUT DNA and RNA collection device is available to gut microbiome researchers, allowing for self-collection, stabilization, storage and transportation of microbial DNA and RNA at ambient temperature for gut microbiome profiling. Most current methodologies for gut microbiome profiling have distinct shortcomings due to the introduction of bias, leading to a lack of reproducibility in the field. The Company believes its product ensures that the microbial DNA and RNA in the fecal sample are fully stabilized immediately upon collection and maintains an accurate and reliable bacterial profile for weeks at room temperature. In 2023, 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SALIVA DNA and RNA collection device became available to researchers for self-collection of saliva with stabilization of total nucleic acids. The Company's microbiome products also include devices that apply the principles of sample stabilization to other sample types, including oral, skin, and vaginal samples.</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Dx collection device received de novo authorization from the FDA for collection of human fecal samples and the stabilization of DNA from the bacterial community for subsequent assessment of the microbiome profile by an assay validated for use with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Dx device.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OMNIgene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•XTRACT</w:t>
      </w:r>
    </w:p>
    <w:p>
      <w:pPr>
        <w:spacing w:after="0" w:line="17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•XTRACT kit enables the rapid and efficient extraction of high-quality DNA from fecal samples that are validated for gut microbiome samples.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products described above, the Company offers the following products: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OraSure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Collection Device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OraSure® oral fluid collection device is used in conjunction with screening and confirmatory tests for HIV-1 antibodies and is FDA approved for use in the detection of HIV-1 antibodies. The Company also sells a generic version, which can be used for other analytes. This generic version is a Class I medical device for the detection of cocaine and cotinine in oral fluid specimens for risk assessment testing.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Substance Abuse Products</w:t>
      </w:r>
    </w:p>
    <w:p>
      <w:pPr>
        <w:spacing w:after="0" w:line="293" w:lineRule="exact"/>
        <w:rPr>
          <w:sz w:val="20"/>
          <w:szCs w:val="20"/>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Intercept® Drug Testing System </w:t>
      </w:r>
      <w:r>
        <w:rPr>
          <w:rFonts w:ascii="Times New Roman" w:cs="Times New Roman" w:eastAsia="Times New Roman" w:hAnsi="Times New Roman"/>
          <w:sz w:val="18"/>
          <w:szCs w:val="18"/>
          <w:color w:val="auto"/>
        </w:rPr>
        <w:t>— Oral fluid collection devices and related laboratory-based and automated assays for drugs-of-abuse testing,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Intercept® and Intercept i2®he platforms.</w:t>
      </w:r>
    </w:p>
    <w:p>
      <w:pPr>
        <w:spacing w:after="0" w:line="261"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Immunoassay Tests and Reagents </w:t>
      </w:r>
      <w:r>
        <w:rPr>
          <w:rFonts w:ascii="Times New Roman" w:cs="Times New Roman" w:eastAsia="Times New Roman" w:hAnsi="Times New Roman"/>
          <w:sz w:val="18"/>
          <w:szCs w:val="18"/>
          <w:color w:val="auto"/>
        </w:rPr>
        <w:t>— MICRO-PLATE and AUTO-LYTE immunoassay products and related high-throughput assays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forensic and clinical laboratory drug testing.</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auto"/>
        </w:rPr>
        <w:t xml:space="preserve">Q.E.D.® Saliva Alcohol Test </w:t>
      </w:r>
      <w:r>
        <w:rPr>
          <w:rFonts w:ascii="Times New Roman" w:cs="Times New Roman" w:eastAsia="Times New Roman" w:hAnsi="Times New Roman"/>
          <w:sz w:val="18"/>
          <w:szCs w:val="18"/>
          <w:color w:val="auto"/>
        </w:rPr>
        <w:t>— A point-of-care, FDA-cleared and CLIA-waived saliva-based test for quantitative detection of ethanol.</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Company announced that it intended to exit the substance abuse testing business. Though the Company continued to fulfill final orders for certain of the foregoing products through the first half of 2025, it has ceased the production and sale of substance abuse testing products. The Company's substance abuse testing products were marketed to laboratories serving the workplace testing, forensic toxicology, criminal justice and drug rehabilitation markets in the U.S. and certain international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Under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research and development efforts include programs targeted at expanding and enhancing its diagnostics business. These programs typically focus on products related rapid tests for various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developing an updated Ebola test on the OraQuick® testing platform with funds obtained under its contract with BARDA.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developing a single-use lateral flow immunoassay intended for the qualitative detection of antigens from viruses within the Marburg virus genus. The Company is developing this test and hopes to achieve FDA 510(k) clearance in whole or in part with federal funds obtained from the HHS Administration for Strategic Preparedness and Response (ASPR); BARDA under Other Transaction Number: 75A50123D00005.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its Sherlock subsidiary, the Company is developing a rapid molecular self-test for CT/NG. The Company acquired this program in connection with its acquisition of Sherlock. In December 2025, the Company submitted a 510(k) to the FDA for clearance of the CT/NG test, which is currently under review.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its Sherlock subsidiary, the Company is also developing a Covid/Flu molecular test, funded in part with Federal funds obtained from the HHS Administration for Strategic Preparedness and Response (ASPR) under contract number: 75A50124C00055. The Company acquired this program in connection with its Sherlock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Sample Management Solutions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order to intersect evolving customer needs within the academic and commercial markets, the Company's sample management solutions business product development pipeline is focused on extending offerings across different sample types and analytes within genomics, proteomics, microbiome and infectious disease areas. Genomic and proteomic customers are demonstrating an increasing demand for collection and stabilization of cell-free nucleic acids, exosomes, proteins, DNA and RNA, while infectious disease customers have expressed growing interest in at-home urine collection for STI testing. In December 2025, the Company submitted a 510(k) to the FDA for clearance of its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at-home urine collection device for sexually transmitted infections, which is currently under review. On the microbiome front, the Company continues to focus research and development work on collecting and stabilizing microbial DNA, RNA and metabolites from multiple sample types including gut, skin, vagina and saliva.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markets its products in the United States and internationally. It attempts to reach major target markets through a combination of direct sales, strategic arrangements and independent distributors. The Company's marketing strategy is to create or raise awareness through a full array of marketing activities, which include trade shows, print advertising, special programs, distributor promotions, telemarketing and the use of digital and social media in order to stimulate sales in each target market. The Company's revenues by geographic area are described in Note 2 of the notes to the consolidated financial statements included in Item 15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Diagnostics - Professional</w:t>
      </w:r>
    </w:p>
    <w:p>
      <w:pPr>
        <w:spacing w:after="0" w:line="2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 and Rx products are primarily sold through distributors to U.S. hospitals, physician offices and clinics. These products are also marketed directly to customers in the public health market including clinics and laboratories of state, county and other governmental agencies.</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The Company markets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antibody test directly to customers in the public health market for HIV testing. This market consists of a broad range of clinics and laboratories and includes states, counties, and other governmental agencies, family planning clinics, colleges and universities, correctional facilities and the military. There are also a number of organizations in the public health market, such as AIDS service organizations and various community-based organizations, that are set up primarily for the purpose of encouraging and enabling HIV testing. The Company sells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to hospitals and physician offices in the U.S. primarily through distributors. In addition, the Company distributes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 in certain foreign countries through distributors.</w:t>
      </w:r>
    </w:p>
    <w:p>
      <w:pPr>
        <w:spacing w:after="0" w:line="12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is sold primarily to the same markets where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 is sold, including public health organizations, hospitals, physicians and retail clinics. The Company also sells this test in other countries through distributors.</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is a CLIA-waived professional test sold for use by clinicians, community health providers and public health agencies and can be used as an initial screening test or in conjunction with a nontreponemal laboratory test and clinical findings to aid in the diagnosis of syphilis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Diagnostics - OTC and Self-Test</w:t>
      </w:r>
    </w:p>
    <w:p>
      <w:pPr>
        <w:spacing w:after="0" w:line="22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sells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product in the U.S. retail and consumer markets, including for purchase by U.S. customers on Walmart's and Amazon’s online stores. The OTC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also sold directly and through distributors into a broad range of business-to-business (B2B) markets including employer testing, colleges and universities, local, state and federal governmental agencies and the U.S. military.</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sells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the U.S. retail or consumer market as well as to the same markets as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for use in public health-oriented programs. The product is also available for purchase online through certain retailers and from the Company's website, www.oraquick.com. The Company also sells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certain international markets.</w:t>
      </w:r>
    </w:p>
    <w:p>
      <w:pPr>
        <w:spacing w:after="0" w:line="1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the only oral fluid HIV test prequalified by the WHO and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 is the first Hepatitis C self-test prequalified by the WHO. WHO prequalification helps ensure that diagnostic tests for high burden diseases meet global standards of quality, safety, and efficacy in order to optimize use of health resources and improve health outcomes. WHO prequalification enables governmental organizations implementing self-test pilots and programs to access international funding to purchase the Company's test.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Sample Management Solutions and Molecular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sample management products are sold directly to customers, primarily through its internal sales force in U.S. markets. However, in many international markets, distributors are used.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revenues from sample management products are derived from sales to commercial customers and sales into the academic and research markets. The Company's commercial customers provide consumer genetics and clinical diagnostic services and account for a majority of these revenues. A significant portion of total sales are derived from repeat customers in both markets. The Company also has customers in the livestock, companion animal and pharmaceutical markets.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has expanded the market focus of its sample management products by selling certain existing collection products for use in infectious disease testing, including by developing new collection devices for the emerging microbiome market, which is focused on the study of microbial communities and their effect on human health. The Company's primary product offering in the microbiome market,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is focused on the human gut microbiome (microbes living in human stool). The Company is leveraging its existing sales force and global research connections to engage microbiome customers around the world and establish itself as among the leaders in ease-of-collection, stabilization and transport of microbiome communities in a variety of challenging sample types such as stool, skin, vaginal and oral.</w:t>
      </w:r>
    </w:p>
    <w:p>
      <w:pPr>
        <w:spacing w:after="0" w:line="2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products include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for the volumetric collection of first void urine. This product is in its early stages and initial sales are occurring primarily through distributors and collaborations for use in the liquid biopsy and sexually transmitted disease markets.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registered as a class I urine collection device without a claim for preservative.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preservative solution does not have FDA clearance and is labeled “For Research Use Only” in the U.S. In December 2025, the Company submitted a 510(k) to the FDA for clearance of its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at home urine collection device for sexually transmitted infections.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Products and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Several different product lines have contributed significantly to the Company's financial performance, accounting for 10% or more of its total revenues during the past three years. The table below shows a breakdown of those product lines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OraQuick</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HIV</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49,802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w:t>
            </w: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InteliSwab</w:t>
            </w: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257,493</w:t>
            </w:r>
          </w:p>
        </w:tc>
      </w:tr>
      <w:tr>
        <w:trPr>
          <w:trHeight w:val="23"/>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Genomics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47,005</w:t>
            </w:r>
          </w:p>
        </w:tc>
      </w:tr>
      <w:tr>
        <w:trPr>
          <w:trHeight w:val="1020"/>
        </w:trPr>
        <w:tc>
          <w:tcPr>
            <w:tcW w:w="6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non-commercial customer accounted for approximately 3% of the Company's consolidated net revenues for the year ended December 31, 2025 and 24% and 63% for the years ended December 31, 2024 and 2023, respectively. The Company had no other customers that accounted for more than 10% of consolidated net revenues for the years ended December 31, 2025,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22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Company manufactures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Ebola test,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collection devices,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MICRO-PLATE assays and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saliva alcohol test in its Bethlehem, Pennsylvania facilities. The Company expects to continue to manufacture these products at this location for the foreseeable future.</w:t>
      </w:r>
    </w:p>
    <w:p>
      <w:pPr>
        <w:spacing w:after="0" w:line="19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 has contracted with a third party in Thailand for the assembly of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order to supply certain international markets. The Company believes that other firms would be able to assemble these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on terms no less favorable than those set forth in the agreement if the Thailand contractor would be unable or unwilling to continue assembling this product. The Company has long-term agreements in place for the contract manufacturing in Thailand and one of its suppliers, which has been pre-qualified by the WHO, has been manufacturing for the Company for the past 20 years.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can purchase the HIV antigens, the nitrocellulose and certain other critical components, and the HCV and Ebola antigens used in its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product lines only from a limited number of sources. If for any reason these suppliers are unwilling or no longer able to supply the Company's antigen or nitrocellulose needs, the Company believes that alternative supplies could be obtained at a competitive cost. However, a change in any of the antigens, the nitrocellulose or other critical components used in the Company's products would require FDA approval and some additional development work. This in turn could require significant time to complete, increase costs and disrupt the Company's ability to manufacture and sell the affected products.</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manufactures all of the proprietary chemistry and assay cards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in its Bethlehem, Pennsylvania facilities. The Company significantly scaled up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and achieved manufacturing capacity targets under its 2021 contract with the U.S. DOD, in coordination with the HHS. The Company's Opus Way facility was customized to accommodate increased manufacturing capacity. Throughout 2025, the Company made progress on consolidating its manufacturing footprint by using the Opus Way facility for a more significant portion of its manufacturing and distribution needs, including re-shoring of capacity to the United States.</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manufactures the majority of DNAG's products, including the Oragene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and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lines at its Bethlehem, Pennsylvania facilities. DNAG maintains two long-term relationships to manufacture additional volumes of certain products. Many of the raw materials and components used in these products are also purchased from third parties, some of which are purchased from a single source supplier. The Company is actively seeking to qualify other suppliers that can manufacture and supply the raw materials and components for the DNAG products. All DNAG products are produced in Canada and the United States.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achieve the Company's goals and expectations, it is crucial that it continues to attract and retain top talent. To facilitate talent attraction and retention, the Company strives to be a safe and rewarding workplace with opportunities for its employees to grow and develop in their careers.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500 full-time employees, which compares to 501 employees as of December 31, 2024. The Company's employees are not currently represented by a U.S. collective bargaining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its employees are among its most important resources and are critical to its continued success. The Company focuses significant attention on attracting and retaining talented and experienced individuals to manage and support its operations, and its management team routinely reviews employee turnover rates at various levels of the organization. Management also reviews employee engagement and satisfaction surveys to monitor employee morale and receive feedback on a variety of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and safety of the Company's workforce is fundamental to the success of its business. The Company safeguards its people, projects and reputation by striving for zero employee injuries and illnesses, while operating and delivering its work responsibly and sustainably. The Company provides its employees upfront and ongoing safety training to ensure that safety policies and procedures are effectively communicated and implemented. Personal protective equipment is provided to those employees where needed for the employee to safely perform their job function.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compensation philosophy, the Company believes that it must offer and maintain market competitive compensation and benefits programs for its employees in order to attract and retain superior talent. In addition to healthy base wages, additional programs include annual bonus opportunities, a Company matched 401(k) Plan or other savings plan, healthcare and insurance benefits, health savings and flexible spending accounts, paid time off, family leave, flexible work schedules, and employee assistance programs.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OraSure family of companies is committed to creating and fostering an inclusive workplace that reflects and contributes to the global communities in which it does business and the customers and partners it serves. This includes all communities impacted by its corporate presence. The Company's management team and all of its employees are expected to exhibit and promote honest, ethical and respectful conduct in the workplace. All of the Company's employees must adhere to a Code of Business Conduct and Ethics that sets standards for appropriate behavior and includes required annual training on preventing, identifying, reporting and stopping any type of unlawful discrimination. The Company strives to recruit the best people for the job regardless of gender, ethnicity or other protected trait and it is Company policy to fully comply with all laws (domestic and foreign) applicable to discrimination in the workplace. The Company has an active "All Means You" council that strives to drive inclusion and belonging within the workplace. OraSure believes a variety of perspectives are critical to achieving success, and that inclusion and belonging are key drivers to growth-based innovation and profitability. The Company aims to create a culture where all people feel valued, supported, and inspired to be themselves authentically and fearlessly. The Company believes that when all voices are heard, it honors and exemplifies its core values and best serves its communities.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diagnostic industry is a multi-billion dollar international industry and is intensely competitive. Many of the Company's competitors are substantially larger than the Company, and have greater financial, research, manufacturing and marketing resources. The Company has many rapid tests with proprietary features enabling them to compete effectively in select market segments. Broadly, the Company differentiates based on its tests’ ease of use, which has enabled it to expand its self-testing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competitive factors for the Company's products include price, quality, performance, ease of use, customer service and reputation. Industry competition is based on these and the following additional factors:</w:t>
      </w:r>
    </w:p>
    <w:p>
      <w:pPr>
        <w:spacing w:after="0" w:line="54" w:lineRule="exact"/>
        <w:rPr>
          <w:sz w:val="20"/>
          <w:szCs w:val="20"/>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and technological capability;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know-how;</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and market products and processes;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FDA or other regulatory approvals;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products that meet applicable FDA or other applicable regulatory requirements;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execution and strength of distribution;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capital;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qualified personnel;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patent protection.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few large corporations produce a wide variety of diagnostic tests and other medical devices and equipment. A larger number of mid-size companies generally compete only in the diagnostic industry and a significant number of small companies produce only a few diagnostic products. As a result, the diagnostic test industry is highly fragmented and segmented. This enables the Company to serve specific segments where the products provide a unique benefit.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future market for diagnostic products is expected to be characterized by greater cost consciousness, the development of new technologies, tighter reimbursement policies and consolidation. The purchasers of diagnostic products are expected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increased emphasis on lowering costs, reducing inventory levels, obtaining better performing products, automation, service and volume discounts.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competition to intensify as technological advances are made and become more widely known, and as new products reach the market. Furthermore, new testing methodologies could be developed in the future that render the Company's products impractical, uneconomical or obsolete. There can be no assurance that the Company's competitors will not succeed in developing or marketing technologies and products that are more effective than those it develops or that would render its technologies and products obsolete or otherwise commercially unattractive. In addition, there can be no assurance that the Company's competitors will not succeed in obtaining regulatory approval for these products, or introduce or commercialize them, before the Company can do so. These developments could have a material adverse effect on the Company's business, financial condition and results of operations.</w:t>
      </w:r>
    </w:p>
    <w:p>
      <w:pPr>
        <w:spacing w:after="0" w:line="18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Competition in the U.S. market for infectious disease testing in medical settings is intense and is expected to increase. The Company's principal competition for HIV testing in the professional market comes from existing and new professional point-of-care rapid blood tests and automated laboratory-based blood tests.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is the only OTC oral fluid test for HIV in the United States, and as such, enables outreach testing outside of clinics.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HCV test competes against laboratory-based blood tests in the U.S., as there currently are no other rapid HCV testing products approved by the FDA.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oral fluid test is the only rapid HIV test approved by the FDA for sale in the U.S. OTC market.</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Outside the U.S., the Company's rapid HIV and HCV tests compete against other rapid and laboratory-based tests, which require blood as a sample. The majority of these blood-based tests are priced at or below OraSure's HIV and HCV rapid oral fluid tests. There are no other oral fluid tests for HCV outside the U.S. with WHO Prequalification status and the CE mark. The majority of the Company's sales outside the U.S. are in Africa due to the greater incidence of HIV in that region.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CE marked, which enables it to participate in the European OTC market for HIV.</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United States COVID-19 rapid testing market consists of tests used by medical professionals at the point-of-care as well as OTC tests purchased and used by consumers. There are numerous professional point-of-care tests, OTC Antigen rapid tests and OTC rapid molecular tests authorized under EUA by the FDA.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competes in both the professional point-of-care and OTC segments with these products.</w:t>
      </w:r>
    </w:p>
    <w:p>
      <w:pPr>
        <w:spacing w:after="0" w:line="10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systems compete against other types of collection devices used for molecular testing, such as blood collection devices and buccal swabs, which often are sold for prices lower than the prices charged for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Although the Company believes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devices offer a number of advantages over these other products, the availability of lower price competitive devices can result in lost sales and degradation in pricing and profit margin. 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are also facing increasing competition from similarly designed collection systems which have entered the market.</w:t>
      </w:r>
    </w:p>
    <w:p>
      <w:pPr>
        <w:spacing w:after="0" w:line="1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GUT device is being sold in the emerging microbiome market and competes with a variety of non-standard in-house solutions developed by various researchers, including simply freezing the sample after collection. The microbiome market is expected to require standardization in the methods used for collection and stabilization in order to derive more accurate and repeatable results. To date, the Company is one of the few vendors to offer a solution that fully meets these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seeks patents and other intellectual property rights to protect and preserve its proprietary technology and its right to capitalize on the results of its research and development activities. The Company also relies on trade secrets, know-how, continuing technological innovations and licensing opportunities to provide competitive advantages for its products in its markets and to accelerate new product introductions. The Company regularly searches for third-party patents in fields related to its business to shape its own patent and product commercialization strategies as effectively as possible and to identify licensing opportunities. United States patents generally have a maximum term of 20 years from the date an application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patents throughout its product lines. Its patent portfolio includes pending applications, issued patents, and licensed patents in diagnostics and testing, sampling tools and sample preservatives. The Company's portfolio protects its innovative sampling tools, sample preservatives, and diagnostics that provide access to accurate, essential information that advances global health and well-being.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numerous foreign patents for its collection devices and technology relating to oral fluid collection, containers for oral fluids, methods to test oral fluids, and methods to control the volume of oral fluids collected and dispersed.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Sampling tools are the subject of several other patents and pending applications, including U.S. and international utility patent applications directed to a new oral fluid collection device. The international applications entered their national phase in countries throughout the world beginning in October 2023. Patents issuing from these applications are expected to expire in March 2042.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 and international PCT patent applications that are directed to a new developer solution vial for use with sampling and assay devices. The international application entered its national phase in countries throughout the world in May 2023 and patents issuing from these applications are expected to expire in December 2041. One related design patent is issued in the U.S. and will expire in August 2040, and other related design patent applications are pending in the U.S., Canada, and Europe.</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has additional pending applications directed to new direct sample collection pads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These applications entered their national phase in countries throughout the world in October 2023, and patents issuing from these applications will expire in November 2044. Two related design patents issued in 2024 in the U.S. and corresponding design applications were registered in Canada, China, India, and Europe. These design patents will expire 2038 and 2039.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registered design patents for a collection funnel and corresponding plunger device in Europe, Canada China, India, and the U.S.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an international family of patent applications filed in the United States and in numerous countries worldwide. These applications are directed to novel nucleoside reverse transcriptase inhibitor-specific antibodies for use in assays to detect the presence of nucleoside reverse transcriptase inhibitor drug derivatives, including tenofovir, in fluid samples. Patents issuing from these applications will expire between October 2038 and May 2041.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through its subsidiary, DNAG, seventeen issued United States patents and numerous foreign patents issued for compositions, methods and apparatuses for the collection, stabilization, transportation, and storage of nucleic acids (DNA and RNA) from oral fluid and other bodily fluids and tissues. Certain patents expired in April 2026, and others will expire through November 2040.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one granted United States patent and numerous foreign patents covering a medical device for capturing a predetermined volume of first void urine. This patent expires in April 2034. The Company has also applied for additional patents and designs, in both the United States and certain foreign countries, in novel urine collection devices.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requires its employees, consultants, outside collaborators and other advisors to execute confidentiality agreements upon the commencement of employment or consulting relationships with the Company. These agreements provide that all confidential information developed by or made known to the individual during the course of the individual’s relationship with the Company is to be kept confidential and not disclosed to third parties except in specific circumstances. In the case of employees and certain consultants, the agreements also provide that all inventions conceived by the individual during his or her tenure with the Company or the performance by the consultant of services for the Company will be OraSure's exclusive property.</w:t>
      </w:r>
    </w:p>
    <w:p>
      <w:pPr>
        <w:spacing w:after="0" w:line="18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Company owns rights to trademarks and service marks that it believes are necessary to conduct its business as currently operated. In the United States, the Company owns a number of trademarks, including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OTI™,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ORASURE QUICKFLU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SUREQUICK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SMART SCIENCE MADE SIMPLE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 Genotek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OMNImet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Diversigen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CoreBiome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Boostershot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MetaGene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Benchmark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Novosanis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UCM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UAS™, prepIT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NucleoPrecision™, ProteoPrecision™, HEMAcollect™, and HEMAgene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The Company also licenses the SHERLOCK™ mark from The 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Institute, Inc. The Company also owns many of these marks and others in several foreign countries and it is pursuing registration of several other trademarks.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important, the issuance of a patent or existence of trademark or trade secret protection does not in itself ensure the success of the Company's business. Competitors may be able to produce products competing with the Company's patented products without infringing its patent rights. Issuance of a patent in one country generally does not prevent manufacture or sale of the patented product in other countries. The issuance of a patent is not conclusive as to validity or as to the enforceable scope of the patent. The validity or enforceability of a patent or trademark can be challenged by litigation after its issuance or registration. If the outcome of such litigation is adverse to the owner of the patent, the owner’s rights could be diminished or withdrawn. Trade secret protection does not prevent independent discovery and exploitation of the secret product or technique.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the Company's products are regulated by the FDA, along with other federal, state and local agencies and comparable regulatory bodies in other countries. This regulated environment governs almost all aspects of development, production and marketing, including product design and testing, authorizations to market, labeling, advertising and promotion, manufacturing, distribution, post-market surveillance and reporting, and recordkeeping. The Company believes that its products and procedures are in material compliance with all applicable regulations, but the regulations regarding the manufacture and sale of its products may be unclear and are subject to change. The Company cannot predict the effect, if any, that these changes might have on its business, financial condition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Company's FDA-regulated products require some form of review and action by the FDA before they can be marketed in the United States. After approval or clearance by the FDA, the Company must continue to comply with other FDA requirements applicable to marketed products and is subject to periodic inspections by the FDA and other regulatory bodies. Both before and after approval or clearance, failure to comply with the FDA’s requirements can lead to significant penalties or could disrupt the Company's ability to manufacture and sell these products. In addition, the FDA could refuse permission to obtain certificates needed to export the Company's products if the agency determines that it is not in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products are regulated in the United States as in vitro diagnostic and medical devices. In the United States, devices are classified into three groups based on risk: class I (lowest risk), class II (moderate risk), and class III (highest risk). The classification of a device determines the level of regulation applicable to the device: class I devices are subject only to the general controls that are applicable to all regulated devices; class II devices are subject to both general controls and special controls, which are specific to the type of device; and class III devices are subject to general controls and any other controls that are needed to provide reasonable assurance of the safety and effectiveness of the specific device.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classification of the device also influences the type of premarket submission that is required before the device can be marketed. Some low risk devices (including many class I and some class II devices) may be placed on the market without any premarket submission. Such devices often are referred to as “exempt” or “510(k)-exempt.” Most devices, however, require some form of premarket submission prior to marketing. There are several mechanisms by which such devices can be placed on the market in the United States, including 510(k)-clearance, De Novo classification, premarket approval, or EUA.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class II devices and some class I devices may qualify for clearance under Section 510(k) of the Federal Food, Drug and Cosmetic Act (the "FDCA"). To obtain this clearance from the FDA, the manufacturer must submit to the FDA a premarket notification that it intends to begin marketing the product, and show that the product is substantially equivalent to another legally marketed predicate device (i.e., a device that has been cleared through the 510(k) process; a device that was legally marketed prior to May 28, 1976; a device that has been reclassified by the FDA; or a device that the FDA previously has determined to be exempt from the 510(k) process). To be substantially equivalent, an applicant must show that when compared to a predicate, the new device has the same intended use and same technology, or if different technology, that the new device is as safe and effective as the predicate and does not raise different questions of safety and effectiveness. In all cases, data from some form of performance testing is required and in some cases, the submission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 data from human clinical studies. An applicant must submit a 510(k) notification at least 90 days before commercial distribution of the product commences. Marketing may only commence when the FDA issues a clearance letter finding that the new device is substantially equivalent to the predicate device. The standards and data requirements necessary for the clearance of a new device may be unclear or may be subject to change. Although FDA clearance usually takes from four to twelve months, in some cases more than a year may be required before clearance is obtained, if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device does not qualify for the 510(k) procedure, either because there is no existing predicate device, it is not substantially equivalent to a legally marketed predicate device or because it is classified by the FDA as a class III device, the FDA must approve either a PMA application or for devices that are low to moderate risk, grant a request for De Novo classification before marketing can begin. A De Novo classification is an alternate pathway to classify novel devices of low to moderate risk for which no substantially equivalent predicate device exists into class I or class II. The FDA’s goal is to decide a De Novo request in 150 days from the time the request is received, although it can take longer.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PMAs generally are required for class III devices, i.e., high risk devices, and must demonstrate, among other matters, that the medical device provides a reasonable assurance of safety and effectiveness for the intended use(s) of the device. A PMA is typically a complex submission, supported by valid scientific evidence, including the results of preclinical and clinical studies, usability data, detailed information about the manufacturing process for the device, and other data and information. Preparing a PMA is a resource-intensive and time-consuming process. Once a PMA has been submitted, the FDA is required to review the submission within 180 days. However, the FDA’s review may be, and often is, much longer, in many cases requiring one to three years or more, and may include requests for additional data, review by an independent panel of experts, and facility inspections before approval is granted, if at all.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FDA approves the PMA, it may place restrictions on the device. If the FDA’s evaluation of the PMA or the manufacturing facility is not favorable, the FDA may deny approval of the PMA application or issue a “not approvable” letter. The FDA may also require additional clinical trials, which can delay the PMA approval process by several years or prevent a PMA approval from being obtained.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FDA discovers that an applicant has submitted false or misleading information in any application or notification, the FDA may take action against the applicant and its employees or refuse to review submissions until certain requirements are met pursuant to its Application Integrity Policy. Delays in receipt of or failure to receive such clearances or approvals, the loss of previously received clearances or approvals, or the failure to comply with existing or future regulatory requirements could have a material adverse effect on the Company's business, financial condition and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Another option for marketing a product in the U.S. is through an EUA. The FDA may grant an EUA for a product if the Secretary of Health and Human Services declares that circumstances exist justifying the authorization of emergency use of certain products. Such declaration may be made, amongst other reasons, following a determination by the Secretary of Health and Human Services that there is a public health emergency or a significant potential for a public health emergency, by the Secretary of Homeland Security that there is a domestic emergency, or by the Secretary of Defense that there is a military emergency, or the declaration may be made if a material threat is identified under a particular provision of the Public Health Service Act. Typically, a diagnostic device may receive EUA-authorization on the basis of analytical and clinical studies that do not satisfy the requirements for full clearance or approval. Devices also may be exempt from design controls and other quality requirements. An EUA for a device remains in effect until the Secretary of Health and Human Services, in consultation with the Secretary of Defense, determines that the circumstances justifying emergency use of the device no longer exist, or until the authorized device is approved or cleared.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there are any modifications made to the Company's marketed devices, a new premarket notification, PMA supplement, or request to change an EUA may be required to be submitted to, and cleared, approved, or authorized by, the FDA, before the modified device may be marketed.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new PMA or a PMA supplement is required for modifications that affect the safety or effectiveness of the device, including, for example, certain types of modifications to the device’s intended use(s), manufacturing process, manufacturing facility, critical components, labeling and design. Likewise, a new 510(k) clearance is required for any modification that could significantly affect the safety or effectiveness of the device, e.g. a significant change or modification in design, material, chemical composition, energy source, or manufacturing process or a major change or modification in the intended use(s) of the device.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clinical trial may be required in support of a 510(k) submission and generally is required for a De Novo request or PMA application. These trials generally require an approved application for an Investigational Device Exemption (“IDE”)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compliance with other IDE requirements, unless the proposed study is deemed to be exempt from the IDE requirements. An IDE application must be supported by appropriate data, such as laboratory testing results, protocols for the proposed investigation, and other information demonstrating that the device is appropriate for use with humans in a clinical study. Clinical trials may begin if the IDE application is approved by the FDA and the appropriate institutional review boards at the clinical trial sites. Submission of an IDE application does not give assurance that the FDA will issue the IDE. If the IDE application is approved, there can be no assurance the FDA will determine that the data derived from the trial(s) support the ultimate approval or clearance of the device or warrant the continuation of clinical trials. An IDE supplement must be submitted to and approved by the FDA before a sponsor or investigator may make a change to the investigational plan in such a way that may affect its scientific soundness, study indication or the rights, safety or welfare of human subjects. The trial must also comply with the FDA’s regulations, including the requirement that informed consent be obtained from each subject, and with clinical trial reporting regulations that require submission of information on certain clinical trials to a database maintained by the National Institutes of Health. Even if a trial is completed, the results of clinical testing may not adequately demonstrate the safety and efficacy of the device or may otherwise not be sufficient to obtain FDA clearance to market the product in the United States. If a study meets the requirements for a non-significant risk study, however, it may be eligible for compliance with “abbreviated” IDE requirements, which include a subset of the requirements applicable to significant risk medical device studies. A non-significant risk study also will be considered to have an approved IDE application without such application actually being submitted to FDA.</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Company's products are used for research only or for other nonclinical or non-diagnostic purposes. The Company's sample management solutions are sold to many academic and research institutions for research purposes and the Company's drugs-of-abuse products are sold to laboratories and clinics for forensic or other non-medical uses. The FDA does not currently regulate products used for these purposes, although other state and federal regulatory requirements may apply.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devices distributed in the United States must comply with the FDA’s Quality Management System Regulations (“QMSRs”), including current good manufacturing practices. These regulations govern the entire life cycle of a medical device, including design, manufacture, testing, release, packaging, distribution, documentation and purchasing as well as complaint handling, corrective and preventative actions, and internal auditing. In complying with the QMSRs, manufacturers must continue to expend time, money and effort in the area of production, quality, and post-market surveillance to ensure full compliance.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that market devices are also subject to other post-market and general requirements, including product listing and establishment licenses, which help facilitate FDA inspections and other regulatory action, post-market surveillance requests, restrictions imposed on marketed products, promotional standards and requirements for recordkeeping and reporting of certain adverse reactions and device malfunctions. Device reporting regulations require that manufacturers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regularly inspects companies to determine compliance with the QMSRs and other post-market requirements. Failure to comply with statutory requirements and the FDA’s regulations can result in an FDA Form 483 (which is issued by the FDA at the conclusion of an inspection when an investigator has observed any conditions that may constitute violations), public warning letters, monetary penalties against a company or its officers and employees, suspension or withdrawal of regulatory approvals, operating restrictions, total or partial suspension of production, injunctions, product recalls, product detentions, refusal to provide export certificates, seizure of products and criminal prosecution.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its facilities and procedures are in material compliance with the requirements of the FDA’s QMSR, the European Union's Quality Management Systems requirements, ISO 13485:2016, and other post-market requirements, but the regulations are subject to change or may be unclear, and the Company cannot be sure that FDA investigators will agree with the Company's compliance with the FDA’s post-market requirements.</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CLIA prohibits any facility that conducts laboratory testing on specimens derived from humans from providing information for the diagnosis, prevention or treatment of any disease or impairment of, or the assessment of, the health of human beings, unless there is in effect for such facility a certificate issued by the U.S. Department of Health and Human Services or an accredited organization, and such certificate is applicable to the category of examination or procedure performed. Tests may be categorized as “waived,” enabling them to be used by laboratories with the lowest level of CLIA oversight if the tests meet certain requirements established under CLIA. The Company considers the applicability of CLIA requirements in the design and development of its products. The Company has obtained a waiver of the CLIA requirements for its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HIV-1/2 antibody test,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and its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alcohol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saliva test and may seek similar waivers for certain other products.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 is authorized for use in patient care settings operating under CLIA Certificate, Certificate of Compliance and Certificate of Accreditation.</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the Company's products may also be affected by state regulations in the United States, which can restrict the use and sale of certain diagnostic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Advertising and promotion of medical devices, in addition to being regulated by the FDA, are also regulated by the Federal Trade Commission and by other federal and state regulatory and enforcement authorities, including the Department of Justice, the Office of Inspector General of the Department of Health and Human Services, and various state attorneys general. Although physicians are permitted to exercise medical judgment to use medical devices for indications other than those cleared or approved by the FDA, the Company may not promote its products for such “off-label” uses and can only market its products for cleared or approved uses. Promotional activities for FDA-regulated products of other companies have also been the subject of enforcement actions brought under healthcare reimbursement laws and consumer protection statutes. In addition, under the federal Lanham Act and similar state laws, competitors and others can initiate litigation relating to advertising claims. If the FDA determines that the Company's promotional materials or training constitute promotion of an uncleared or unapproved use, it could request that the Company modify its training or promotional materials or subject the Company to regulatory or enforcement actions, including the issuance of an untitled letter, a notice of violation, a warning letter, injunction, seizure, civil fine or criminal penalties. Federal Trade Commission enforcement actions often result in consent decrees that constrain future actions. Department of Justice prosecutions can result in significant criminal and civil penalties, including exclusion from the Medicare and Medicaid programs. If an enforcement action is brought by the FDA or Federal Trade Commission, the Company's reputation could be damaged and sales of its products could be impaired.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 and Export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for export from the United States are subject to foreign countries’ import requirements and the exporting requirements of the FDA, as applicable. In particular, international sales of medical devices manufactured in the United States that are not approved or cleared by the FDA for use in the United States, or are banned or deviate from lawful performance standards, are subject to FDA export requirements.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Foreign countries often require, among other things, an FDA certificate for products for export, also called a Certificate for Foreign Government (“CFG”). To obtain this certificate from the FDA, the device manufacturer must apply to the FDA. The FDA certifies that the product has been granted clearance or approval in the United States and that the manufacturing facilities were in compliance with QMSR regulations at the time of the last FDA inspection. If the FDA determines that the Company's facilities or procedures do not comply with the QMSR regulations, it may refuse to provide such certificates until the Company resolves the issues to the FDA’s satisfaction. Failure to obtain a CFG could inhibit the Company's ability to export its products to countries that require such certificates.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regulations in foreign countries governing products, human clinical trials and marketing, and may need to obtain approval (or pre-qualification or endorsement) from local regulators in such countries or international public health agencies, such as the World Health Organization, in order to sell products in certain countries. Approval processes vary from country to country, and the length of time required for approval or to obtain other clearances may in some cases be longer than that required for U.S. governmental approvals. The Company generally pursues approval only in those countries that the Company believes have a significant market opportunity.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International Organization for Standardization (“ISO”) is a worldwide federation of national standards bodies. ISO 13485 certification indicates that the Company's quality system complies with standards applicable to activities ranging from initial product design and development through production and distribution.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EU Medical Devices Regulation (EU) 2017/745 (the “EU MDR”) and the In Vitro Diagnostic Medical Devices Regulation (EU) 2017/746 (the “EU IVDR”), which repealed and replaced the Medical Devices Directive 93/42/EEC (“MDD”) and the In Vitro Diagnostic Medical Devices Directive 98/79/EC (“IVDD”) respectively, govern the regulation of medical devices and in vitro diagnostic devices in the European Union (“EU”). The EU MDR and EU IVDR impose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stricter pre-market and post-market requirements for the marketing and sale of medical devices and in vitro diagnostic medical devices than the previous Directives, including in the area of clinical evaluation requirements, quality systems and post-market surveillance. The EU IVDR became fully applicable on May 26, 2022. There is a transitional period (which was extended in July 2024) during which products that have a declaration of conformity issued under the IVDD prior to May 26, 2022 may continue to be placed on the EU market for a certain period before requiring certification under the EU IVDR (subject to compliance with certain requirements under the EU IVDR, including in respect of post-market surveillance); however, Class A non-sterile devices do not benefit from such transitional provisions and have been required to fully comply with the EU IVDR compliant since May 26, 2022. The transition deadline for other classes of devices ranges from December 31, 2027 to December 31, 2029, provided certain transitional activities are performed by earlier deadlines (e.g. the manufacturer must sign a formal written agreement with a notified body for assessment under the EU IVDR).</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products that fall under the scope of the MDR and the EU IVDR may not be placed on the EU market without a valid CE mark. Approval of a national regulatory authority is not required to obtain a CE mark; however, depending on the class of product, conformity assessment by a notified body may be required. Notified bodies are accredited and supervised by national regulatory authorities to conduct conformity assessment procedures of medical devices or other products. The conformity assessment procedure for medical devices and in vitro diagnostic devices is to assess whether the device is compliant with the general safety and performance requirements set forth in the EU MDR or EU IVDR (as applicable), and includes an examination of the product’s technical dossier and the manufacturer’s quality system. ISO certification of the quality system in accordance with the relevant standard for medical devices or in vitro diagnostic devices creates a rebuttable presumption that the product satisfies the applicable requirements of the EU MDR or EU IVDR (as applicable) with respect to the quality management system. Compliance with these general safety and performance requirements allows the Company to complete the applicable conformity assessment procedure, involving a notified body where necessary, and to affix the CE mark to its products, without which they may not be placed on the market in the EU. The Company also notes that from January 1, 2021, the United Kingdom (“UK”) has introduced a UK-specific route to market for medical devices. Compliance with these UK requirements may add further complexities to the Company's international strategy.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must also comply with certain registration and licensing requirements as dictated by Health Canada, prior to commencing sales in Canada. The Company has completed this process for several of its current products and may do so with respect to other products in the future. In addition, Canadian law requires manufacturers of medical devices to have a quality management system that meets various ISO requirements in order to obtain a license to sell their devices in Canada. Health Canada also requires all companies that market Class II, Class III and Class IV products in Canada to be certified as part of the Medical Device Single Audit Program ("MDSAP").</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has obtained WHO pre-qualification for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Antibody Test, OraQuick® HIV Self-Test,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and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and Other Fraud and Abuse Laws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Federal Anti-Kickback Statute prohibits the knowing and willful offer, payment, solicitation, or receipt of any form of remuneration in return for, or to induce:</w:t>
      </w:r>
    </w:p>
    <w:p>
      <w:pPr>
        <w:spacing w:after="0" w:line="54"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referral of an individual to a person for the furnishing or arranging for the furnishing of items or services reimbursable under Medicare, Medicaid or other governmental healthcare programs; or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lease, or order of, or the arrangement or recommendation of the purchasing, leasing, or ordering of any item or service reimbursable under Medicare, Medicaid, or other governmental healthcare programs.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are or may be purchased by customers that will seek or receive reimbursement under Medicare, Medicaid or other governmental healthcare programs. Noncompliance with the Federal Anti-Kickback Statute can result in exclusion from Medicare, Medicaid or other governmental healthcare programs, and/or restrictions on the Company's ability to operate in certain jurisdictions, as well as civil and criminal penalties, any of which could have an adverse effect on the Company's business and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False Claims Act (“FCA”) imposes liability on any person or entity who, among other things, knowingly and willfully presents, or causes to be presented, a false or fraudulent claim for payment by a federal health care program, including Medicaid and Medicare. A violation of the Federal Anti-Kickback Statute is considered a violation of the FCA. Some suits filed under the FCA, known as “qui tam” actions, can be brought by a “whistleblower” or “relator”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and such individuals may share in any amounts paid by the entity to the government in fines or settlement. Manufacturers can be held liable under false claims laws, even if they do not submit.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Beneficiary Inducement provisions of the Federal Civil Monetary Penalties Law prohibits the offering or transferring of remuneration to a Medicare or Medicaid beneficiary that the person knows or should know is likely to influence the beneficiary’s selection of a particular provider, practitioner or supplier of Medicare or Medicaid payable items or services. Noncompliance can result in civil monetary penalties for each wrongful act, assessment of three times the amount claimed for each item or service and exclusion from the federal healthcare programs.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states have also adopted some form of anti-kickback laws and false claims laws. A determination of liability under such laws could result in fines and penalties, restrictions on the Company's ability to operate in these jurisdictions and significant damage to its reputation.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also subject to other federal and state laws targeting fraud and abuse in the healthcare industry, including marketing conduct laws, transparency laws, and laws that require the Company to adopt a compliance program. Taken together, these fraud and abuse laws constrain the sales, marketing and other promotional activities of manufacturers of medical devices by limiting the kinds of financial arrangements, including sales programs, such manufacturers can enter into with physicians, hospitals, laboratories and other potential purchasers of medical devices. Violations of these laws may be punishable by criminal or civil sanctions, including substantial fines, imprisonment and exclusion from participation in government healthcare programs such as Medicare and Medicaid. These laws and regulations are wide ranging and subject to changing interpretation and application. In recent years, there has been greater scrutiny of marketing practices in the medical device industry which has resulted in several government investigations by various government authorities and the introduction and/or passage of federal and state legislation regulating interactions between medical device manufacturers and healthcare professionals and providers and requiring the disclosure by medical device manufacturers of payments to certain healthcare providers. For example, under the Physician Payments Sunshine Act provisions of the Affordable Care Act, device manufacturers are subject to federal reporting and disclosure requirements with regard to payments or other transfers of value made to U.S. physicians, certain other licensed health care practitioners, and teaching hospitals. Reports submitted under the Sunshine Act are placed in a public database. Device manufacturers are required to submit annual reports by March 31 which cover the prior calendar year. To be in compliance with such disclosure laws, the Company has implemented necessary systems to accurately track gifts and other payments.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implemented a written Policy on Interactions with Health Care Professionals, which is based on the Code of Ethics for Interactions with Health Care Professionals promulgated by the Advanced Medical Technology Association, (the "AdvaMed"), a leading trade association representing medical device manufacturers. The Policy applies to all employees and is intended to comply with applicable state and federal laws, regulations and government guidance. The Policy addresses interactions related to sales and marketing practices, research and development, product training and education, grants and charitable contributions, support of third-party educational conferences, and consulting arrangements. While the Company believes that its practices are in compliance with the Anti-Kickback and other fraud and abuse laws, the standards for compliance with such statutes can be unclear and subject to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 and Other Anti-Corruption 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Foreign Corrupt Practices Act (“FCPA”), to which the Company is subject, prohibits corporations and individuals from engaging in bribery and corruption when dealing with foreign government officials and foreign political parties. It is illegal to corruptly offer, pay, promise, or authorize the giving of anything of value to any officer or employee of a foreign government or public international organization, political party, political party official, or political candidate, in an attempt to obtain or retain business or to otherwise improperly influence a person working in an official capacity on behalf of a foreign government or public international organization. The Company's present and future business has and will continue to be subject to the FCPA and various other laws, rules and/or regulations applicable to the Company as a result of its international sales. The Company is also subject to the FCPA’s accounting provisions, which require it to keep accurate books and records and to maintain a system of internal accounting controls sufficient to assure management’s control, authority, and responsibility over the Company's assets. The failure to comply with the FCPA and similar laws could result in civil or criminal sanctions or other adverse consequences.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laws to which the Company is subject as a result of its international sales also includes the U.K. Bribery Act 2010 (the “Bribery Act”), which proscribes giving and receiving bribes in the public and private sectors, bribing a foreign public official, and failing to have adequate procedures to prevent employees and other agents from giving bribes. U.S.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nature of the Company's current and proposed research, development, and manufacturing processes, the Company is subject to stringent federal, state and local laws, rules, regulations and policies governing the use, generation, manufacture, storage, air emission, effluent discharge and handling and disposal of solid wastes, hazardous materials and hazardous wastes. Products that the Company sells in Europe are subject to regulation in EU markets under the Directive on the Restriction of the Use of Certain Hazardous Substances (“RoHS”). RoHS prohibits companies from selling electrical and electronic equipment, such as electronic medical devices, that contain certain hazardous materials, including lead, mercury, cadmium, chromium, polybrominated biphenyls and polybrominated diphenyl ethers, in the EU Member States. In addition, the EU’s Regulation on the Registration, Evaluation, Authorization, and Restriction of Chemicals (“REACH”) imposes severe restrictions and requirements on companies marketing devices in the EU. Among other things, REACH requires companies to obtain prior authorization to use substances of very high concern that are listed for authorization, and imposes bans on the marketing of products that contain specifically listed hazardous substances. Companies marketing medical devices in the EU may also be subject to expensive waste take back obligations under the EU Directive on Waste Electrical and Electronic Directive, the Packaging and Packaging Waste Directive, and the Batteries Directive.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environmental laws, rules, regulations or policies may require the Company to alter its manufacturing processes, thereby increasing its manufacturing costs, or may impose other additional obligations on the Company or its products. The Company believes that its products and manufacturing processes at its facilities comply in all material respects with applicable environmental laws and worker health and safety laws; however, the risk of environmental liabilities cannot be completely eliminated.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discussion of the Company's business should be read in conjunction with the consolidated financial statements and accompanying notes included in Item 15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filings with the Securities and Exchange Commission, including Annual Reports on Form 10-K, Quarterly Reports on Form 10-Q, Current Reports on Form 8-K, including exhibits, proxy and information statements and amendments to those reports filed or furnished pursuant to Sections 13(a) and 15(d) of the Exchange Act are available on the Company's website (www.orasure.com) free of charge as soon as reasonably practicable after the Company electronically files such material with, or furnish it to, the SEC at its website (https://www.sec.gov). The information contained on the Company's website is not a part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the Company's securities involves risk. Below is a summary of the principal factors that could adversely affect OraSure's business, operations and financial results. You should carefully consider the following risks and uncertainties, together with all other information in this Annual Report, including the Company's consolidated financial statements and related notes and the "Management's Discussion and Analysis of Financial Condition and Results of Operations" section, before investing in the Company. This summary does not address all of the risks that the Company faces. Additional discussion of the summarized risks can be found below following this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Products, Marketing and Sales</w:t>
      </w:r>
    </w:p>
    <w:p>
      <w:pPr>
        <w:spacing w:after="0" w:line="121"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genomics market may adversely affect the Company's business.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success depends upon market acceptance of its existing and future products and service offerings.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acceptance and adoption of oral fluid testing and collection products does not continue, the Company's future results may suffer.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face increasing competition from other providers of diagnostic tests, and sample collection products.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expand international sales could adversely affect its business and results of operations.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international presence may increase its risks and expose its business to regulatory, cultural or other restraints.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government contracts require compliance with numerous laws and increase its risk and liability.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manufacture products in accordance with applicable specifications, performance standards or quality requirements could adversely affect its business.</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will suffer if it does not effectively manage challenges to its manufacturing processes and it may be unable to successfully scale-up manufacturing of its products in sufficient quality and quantity to meet demand, which would negatively impact revenue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Industry, Business and Strategy</w:t>
      </w:r>
    </w:p>
    <w:p>
      <w:pPr>
        <w:spacing w:after="0" w:line="121"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 could adversely affect the Company's future revenues and operating results.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research, development and commercialization efforts may not succeed and its competitors may develop and commercialize more effective or successful offerings.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creates risk for the Company's business.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risks related to government funding and customer ordering.</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investments may not generate the expected benefits and could disrupt the Company's ongoing business, distract its management, increase its expenses and adversely affect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Reliance on Third Parties</w:t>
      </w:r>
    </w:p>
    <w:p>
      <w:pPr>
        <w:spacing w:after="0" w:line="121"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 party supply sources for critical components of the Company's products could adversely affect its business.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maintain existing distribution channels, or develop new distribution channels, may result in lower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121"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 depends on its ability to protect its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become involved in intellectual property disputes, which could increase its costs and limit or eliminate its ability to sell products, provide services or use certain technologies.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21" w:lineRule="exact"/>
        <w:rPr>
          <w:sz w:val="20"/>
          <w:szCs w:val="20"/>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FDA approval for new products could delay commercialization of new products and prevent the Company from achieving revenue growth.</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regulatory approvals, clearances, authorizations or certifications could increase the Company's costs and adversely affect its financial performance.</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FDA or other regulatory requirements may require the Company to suspend production or sale of its products or institute a recall which could result in higher costs and loss of revenues.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numerous government regulations in addition to FDA requirements, which could increase its costs and affect its operations.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privacy, security and breach notification regulations may increase our costs.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data protection requirements or privacy laws could increase our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Economy, Company Financial Results, Investments, Credit Facilities and Need for Financing</w:t>
      </w:r>
    </w:p>
    <w:p>
      <w:pPr>
        <w:spacing w:after="0" w:line="121"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experienced losses in the past and may not be able to again achieve and maintain profitable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Common Stock</w:t>
      </w:r>
    </w:p>
    <w:p>
      <w:pPr>
        <w:spacing w:after="0" w:line="12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 could be volatile.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300" w:right="2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and other disruptions could compromise the company's information, expose it to liability and harm its reputation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The risks and uncertainties described below are not the only ones facing the Company. Additional risks and uncertainties not disclosed or not presently known to the Company or that it currently deems immaterial may also impair its business operations. The occurrence of any of the following risks could harm the Company's business, financial condition or results of operations.</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Risks Relating to Products, Marketing and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Genomics Market May Adversely Affect the Company's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genomics market has been the largest component of the Company's overall sample management solutions business for some time and the major drivers of this market have been the consumer genomics segment, which offers products and services to consumers to provide them with personalized health and genealogical information, and the disease risk management segment which offers genetic testing through physicians for a variety of applications including prenatal testing, risk screening and pharmacogenomics. The ancestry portion of the consumer genomics market may be maturing and the Company's sales to customers with offerings in this market have been volatile. The Company's genomics revenues have also been volatile due to changes in promotional strategies and purchasing patterns by certain customers which serve the consumer ancestry and genetic testing market and cost cutting and de-stocking efforts at some of the Company's disease risk management customers. These trends in the ancestry testing market may continue and revenues in this market may continue to be volatile.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an effort to increase the Company's molecular revenues, it has devoted increasing time and attention to expanding sales of its genomics products both domestically and internationally, with both new and existing accounts, including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clearances and co-promotions with strategic partners. While the Company believes these new markets represent large growth opportunities, there is no assurance that it will be successful in capitalizing on these opportunities or that it will be able to increase the Company's product sales consistent with the Company's expectations. Factors that may impact the success of our genomics products include, but are not limited to, the market acceptance of the Company's products, available funding, cost containment strategies implemented by customers, increasing competition and regulatory constraints could limit sales of the Company's genomics products. To the extent that the Company is unsuccessful or limited in expanding the its business into new markets, the Company's revenues and results of operations could be negatively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Future Success Depends Upon Market Acceptance of its Existing and Future Products and Service Offerings.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future success will depend, in part, on the market acceptance, and the timing of such acceptance, of existing products and products or technologies that may be developed or acquired. In addition, the Company's future revenues will depend on market acceptance of urine as a sample type , and the Company's other product offerings, such as the Company's anticipated CT/NG test and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To commercially market new uses of the Company's products and to achieve market acceptance, it will likely be required to undertake clinical studies to validate the new uses for its products and spend significant funds to complete product development and clinical studies and then undertake substantial marketing efforts to inform potential customers and the public of the existence and perceived benefits of these products and services. In addition, governmental funding may be needed to help complete development, obtain required regulatory approvals, clearances or EUAs and create market acceptance and expand the use of these products and services.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may be limited evidence on which to evaluate the market reaction to products and services that may be developed and the Company's marketing efforts for new products and services or products with new uses may not be successful. The market for microbiome products and services is in its early stages and its future development and acceptance by the Company's customers is uncertain. As such, there can be no assurance that any products or services will obtain significant market acceptance and fill the market need that is perceived to exist on a timely basis, or at all. It is possible that the Company's expenses to develop and market any such products will exceed any benefit in revenues, which may be short-lived. In addition, other products that compete with the Company's may achieve 510(k) clearance earlier than the Company's do, providing market advantages.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Acceptance and Adoption of Oral Fluid Testing and Collection Products Does Not Continue, the Company's Future Results May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made significant progress in gaining acceptance of oral fluid testing products, particularly for HIV testing in the public health, hospital, insurance and other markets. However, the degree of acceptance for these products is uncertain, and one or more markets may resist the adoption of oral fluid products as a replacement for other testing or collection methods in use today. As a result, there can be no assurance that the Company will be able to expand the use of its oral fluid testing products in these or other markets.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reference laboratories and hospital-based laboratories currently provide the majority of diagnostic tests used by physicians and other healthcare providers in the U.S. In certain international markets such as Europe, diagnostic testing is performed primarily by centralized laboratories. The Company's future sales will depend, in part, on the Company's ability to expand market acceptance of rapid point-of-care testing by physicians, other healthcare providers and consumers and successfully compete against laboratory testing methods and products. Even if the Company can demonstrate that its products are more cost effective, save time, or have better performance or other benefits, physicians, other healthcare providers and consumers may resist changing to rapid point-of-care tests and instead may choose to obtain diagnostic results through laboratory tests. The Company's failure to achieve and expand market acceptance of its rapid point-of-care diagnostic tests with customers would have a negative effect on its future sales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Expects to Face Increasing Competition From Other Providers of Diagnostic Tests and Sample Collection Products.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Company's rapid point-of-care tests compete with other point-of-care products made by the Company's competitors. This competition is particularly evident with respect to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test and the Company's HIV Self-Test outside of the United States.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sold by the Company's subsidiary, DNAG, competes against other sample management solutions, such as blood collection kits and buccal swabs and will likely face additional competition from collection devices similar in design and operation to 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Additionally, there are a number of products for the detection of antigen to SARS-CoV-2 that compete with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diagnostic test.</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the Company's competitors are making investments in competing technologies, products and services, and several may have a competitive advantage because of their greater financial, technical, research and other resources. Some competitors offer broader product lines and service offerings, aggressively discount prices for their products and services and may have greater name recognition than the Company does. The Company also faces competition from certain of its distributors or former customers that have created, or may decide to create, their own products to compete with the Company's. If the Company's competitors take market share from its offerings through more effective marketing or competitive pricing, higher quality or technological superiority, the Company's revenues, margins and operating results could be adversely affected. In addition, the Company's revenues and operating results could be negatively impacted if some of its customers use internally developed or acquired sample collection devices or services in order to reduce costs.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Product Sales Cycles Can be Lengthy, and May Depend on Public Funding, Which Can Cause Variability and Unpredictability in the Company's Operating Results.</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sales cycles for certain of the Company's products can be lengthy and unpredictable, which makes it more difficult to accurately forecast revenues in a given period and may cause revenues and operating results to vary from period to period. Sales of the Company's products often involve purchasing decisions by large public and private institutions, may require many levels of approval and may be dependent on economic or political conditions and the availability of grants or funding from governmental or public health agencies which can vary from period to period in both amount and timing. For example, in past years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test has been purchased through bulk procurement or other funding provided by governmental agencies.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has been purchased by customers who receive government funding, and the Company believes increased funding from government agencies will be required to substantially increase the volume of HCV testing, especially in the public health market. There can be no assurance that purchases or funding from these agencies will occur or continue. In addition, government funding is subject to the political process, which is inherently fluid and unpredictable. For example, the National Institutes of Health (“NIH”) announced on February 7, 2025, a policy significantly reducing research grants by limiting payments for indirect costs. While, as of the date of this filing, a lower court has imposed a permanent injunction preventing the NIH from adopting the policy, which as been subsequently affirmed by a U.S. Circuit Court of Appeals, there can be no assurance that further adverse actions will not be taken. Further, our revenue may be adversely affected if our clients delay purchases as a result of uncertainties surrounding the approval of government budget proposals, including reduced allocations to government agencies. In addition, government funding is subject to the political process, which is inherently fluid and unpredictable. As a result, the Company may expend considerable resources on unsuccessful sales efforts or it may not be able to complete transactions at all or on a schedule and in an amount consistent with its objectives or previous order patterns.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Inability To Expand International Sales Could Adversely Affect its Business and Results of Operations.</w:t>
      </w:r>
    </w:p>
    <w:p>
      <w:pPr>
        <w:spacing w:after="0" w:line="229"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One of the Company's strategic priorities is to substantially expand its product sales internationally. An opportunity to accomplish this objective is with the sale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support of large self-testing programs in certain African countries and elsewhere.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also currently available in six European countries: United Kingdom, Germany, France, Italy, Spain and Portugal. The Company is also working to expand international sales of its professional HIV and HCV products and its sample management solutions. The Company is also pursuing opportunities to obtain certain governmental or economic incentives by establishing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added assembly or manufacturing operations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shoring”) in select international markets, including in parts of Africa, which are intended to provide cost, logistics, or market-access benefits.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believes international sales of these and other products represent attractive long-term opportunities with significant growth potential, there is no guarantee that these opportunities will materialize, continue or increase. Among other factors, competition from competitive lower priced products and the uncertainties of available funding could negatively impact the success of these opportunities. If international sales of these products do not occur or increase or if the Company is otherwise unable to expand international sales of its products, the Company's revenues and results of operations could be negatively impacted.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market conditions in many countries often require that the Company's sell its products at a price below the typical U.S. or European pricing in order to participate in these markets. As a result, sales in certain countries may contribute lower profit margins to the Company's business. To the extent these international sales comprise a large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increasing part of the Company's business, the Company's gross margins will be negatively affected. In addition, the Company may have difficulty selling its products at a sufficiently low price to maintain or increase this business over the long term without funding support from public health entities, government agencies or other sources. If the Company is unable to obtain or continue this funding support at sufficient levels, or at all, its revenues and results of operations could be negatively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International Presence May Increase Its Risks and Expose Its Business to Regulatory, Cultural or Other Restraints.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seeks to increase revenue derived from international sales of its products. Its international sales accounted for $36.8 million, or 32% of consolidated revenues in 2025, $46.7 million, or 25% of consolidated revenues in 2024, and $43.8 million, or 11% of consolidated net revenues in 2023. In addition, the Company's subsidiary DNAG, which accounted for $39.5 million or 34% of consolidated net revenues in 2025, is operated in Canada. The Company has previously acquired foreign companies and it may acquire other foreign companies as part of its business development efforts.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factors could adversely affect the performance of the Company's business and/or cause it to incur substantially increased costs because of its international presence and sales, including, but not limited to those set forth below:</w:t>
      </w:r>
    </w:p>
    <w:p>
      <w:pPr>
        <w:spacing w:after="0" w:line="54" w:lineRule="exact"/>
        <w:rPr>
          <w:sz w:val="20"/>
          <w:szCs w:val="20"/>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application of foreign laws and the interpretation of contracts with foreign parties;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inconsistent imposition of legal and regulatory requirements;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political differences that favor local competitors or make it difficult to effectively market, sell and gain acceptance of the Company's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 that make international operations and business management more difficult;</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Inexperience in international markets and territories and 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rates, currency fluctuations, tariffs and other barriers, extended payment terms and dependence on international distributors or representatives;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including compliance with applicable customs regulations and the need to obtain or maintain regulatory approvals, registrations or reimbursement approvals for the Company's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additional trade sanctions and import/export licensing requirements, and tariffs;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or maintain ISO certification for the Company's or the Company's suppliers’ manufacturing facilities;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identify international distributors and negotiate acceptable terms for distribution agreements;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to the U.S. of the Company's products that are sold at lower prices into international markets;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distributors and difficulties or delays in obtaining new or transferred product registrations or approvals for use by a replacement distributor;</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tax laws across jurisdictions, as well as changes in those laws;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withholding and other taxes on remittances and other payments by a foreign subsidiary;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of foreign distributors and customers and difficulty in collecting foreign accounts receivable;</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enforcing contractual obligations or recovering damages under foreign legal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collecting amounts owed by foreign governments or other customers;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inflation, political instability, the absence of available funding sources, terrorism, civil unrest, war and natural disasters in foreign countries;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infectious disease and epidemics, including the effects of the COVID-19 outbreak on the Company's business operations and on the business operations of the Company's customers and suppliers;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sales cycles in international markets, especially for sales to foreign governments, quasi-governmental agencies and international public health agencies;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competing products by foreign competitors at prices at or below the prices offered for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Company's ability to repatriate investments and earnings from foreign operations;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shipping costs;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licenses to certain patents in force in a foreign country which cover the Company's products;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or enforcement of, the Company's patents and other intellectual property rights in foreign countries.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Company has contracted with a third party in Thailand for the manufacture of a portion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tests and certain DNAG products are produced in Canada. The Company may enter into agreements to manufacture these or other products in additional foreign countries as well. However, economic, cultural and political conditions and foreign regulatory requirements may slow or prevent the manufacture of the Company's products in countries other than the United States. Interruption of the supply of the Company's products could reduce revenues or cause it to incur significant additional expenses in finding an alternative source of supply. Foreign currency fluctuations and economic conditions in foreign countries could also increase the costs of manufacturing the Company's products in foreign countries. In addition, the COVID-19 pandemic resulted in, and potential future pandemics or other public health emergencies may in the future result in, increased government-imposed travel restrictions and extended shutdowns of certain businesses in the affected locations as well as logistics delays due to the global logistical crisis from such pandemic or other health emergency. Future governmental responses to public health crises, including pandemics and epidemics could result in social, economic and labor instability of foreign countries, which could have a material adverse effect on the Company's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U.S. Government Contracts Require Compliance With Numerous Laws and Increases Its Risk and Liability.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receives funding from the U.S. government and sells some of its products to the federal government. Historically, the Company has sold a number of its products to the government under contracts with the General Services Administration and the Veterans Administration.</w:t>
      </w:r>
    </w:p>
    <w:p>
      <w:pPr>
        <w:spacing w:after="0" w:line="1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In September 2022, the Company entered into an $8.6 million contract with BARDA to develop an updated Ebola test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which was subsequently modified in September 2023 to add an additional $6.8 in funding to be used to obtain the appropriate regulatory approvals. Also in September, 2022, the Company was selected to provide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Self-Tests in support of the CDC "Together Take me Home," HIV self-test program. Under the program, the CDC is expected to provide $41.5 million over a five-year period to support community testing.</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Company's U.S. government funding and product sales to the U.S. government, it must comply with laws and regulations relating to the award, administration and performance of U.S. government contracts. U.S. government contracts typically contain a number of extraordinary provisions that would not typically be found in commercial contracts and which may create a disadvantage and additional risks to the Company as compared to competitors that do not rely on government contracts. For example, the government has the right to terminate one or more of these contracts at its convenience even if the Company has not defaulted in any of its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U.S. government contractor, the Company is subject to increased risks of investigation, criminal prosecution and other legal actions and liabilities to which purely private sector companies are not. The results of any such actions could adversely impact the Company's business and have an adverse effect on its consolidated financial performance.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violation of specific laws and regulations could result in the imposition of fines and penalties or the termination of the Company's contracts, as well as suspension or debarment. The suspension or debarment in any particular case may be limited to the facility, contract or subsidiary involved in the violation or could be applied to the Company's entire enterprise in certain severe circumstances. Even a narrow scope suspension or debarment could result in negative publicity that could adversely affect the Company's ability to renew contracts and to secure new contracts, both with the U.S. government and private customers, which could materially and adversely affect the Company's business and results of operations. Fines and penalties could be imposed for failing to follow procurement integrity and bidding rules, employing improper billing practices or otherwise failing to follow rules relating to billing on cost-plus contracts, receiving or paying kickbacks, or filing false claims, among other potential violations. In addition, the Company could suffer serious reputational harm and the value of its common stock could be negatively affected if allegations of impropriety related to such contracts are made against it.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Inability to Manufacture Products in Accordance with Applicable Specifications, Performance Standards or Quality Requirements Could Adversely Affect Its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materials and processes used to manufacture the Company's products must meet detailed specifications, performance standards and quality requirements to ensure its products will perform in accordance with their label claims, customers’ expectations and applicable regulatory requirements. As a result, the Company's products and the materials used in their manufacture or assembly undergo regular inspections and quality testing. Factors such as defective materials or processes, mechanical failures, human errors, environmental conditions, changes in materials or production methods, and other events or conditions could cause the Company's products or the materials used to produce or assemble its products to fail inspections and quality testing or otherwise not perform in accordance with their label claims or the expectations of the Company's customers.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facilities and procedures are in material compliance with the FDA’s QMSR requirements, the European Union’s Quality Management Systems requirements, ISO 13485:2016, but the regulations are subject to change or may be unclear, and we cannot be sure that FDA investigators will agree with our compliance with the FDA’s post-market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or delay in the Company's ability to meet the applicable specifications, performance standards, quality requirements or customer expectations could adversely affect its ability to manufacture and sell its products or comply with regulatory requirements. These events could, in turn, adversely affect the Company's revenues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Business Will Suffer if It Does Not Effectively Manage Challenges to Its Manufacturing Processes and It May be Unable to Successfully Scale-Up Manufacturing of Its Products in Sufficient Quality and Quantity to Meet Demand, Which Would Negatively Impact Revenue Expectations.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sudden and significant increase in demand for the Company's products, challenges in the manufacture of products could adversely affect, the Company's operating efficiency and results of operations. Although the Company has expanded its manufacturing capacity, the Company faces risks, including with respect to expanding its overall production capacity, that could increase costs, divert management attention and reduce the Company's operating results, with no guarantee of success.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Company increases its manufacturing capacity to meet market demand or begin to manufacture new products at scale, it may face unanticipated manufacturing challenges as production volumes increase, new processes are implemented and new supplies of raw materials used in these products are secured. In addition, the Company could experience delays in production as it increases manufacturing capacity or begins to manufacture new products that may result in its inability to meet product demand as the products ordered by its customers being on back-order as initial production issues are addressed. If it experiences production delays or inefficiencies, a deterioration in the quality of the Company's products or other complications in managing changes to its manufacturing processes, including those that are designed to increase capacity, enhance efficiencies and reduce costs or that relate to new products or technologies, the Company may not achieve the benefits that it anticipates from these actions when expected, or at all, and the Company's operations could experience disruptions, the Company's manufacturing efficiency could suffer and the Company's business, financial condition and results of operations could be materially and adversely affected. Any such delays could allow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competitors to seize market advantage, which could have a material, adverse effect on the Company's reputation, revenues, results of operations, cash flow and financial position.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Results Depend on Its Ability to Manage Disruptions in Its Domestic and Global Supply Chains and Distribution Channels.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meet its customers' needs and achieve its financial objectives depends on its ability to maintain key manufacturing, supply and distribution arrangements. The loss or disruption of such manufacturing and supply arrangements could, in the future, interrupt the Company's ability to obtain necessary raw materials and manufacture its products. Such disruptions could result from labor disputes, financial liquidity, natural disasters, extreme weather conditions, public health emergencies and pandemics, supply constraints and general economic and political conditions that could limit the ability of the Company's suppliers to timely provide it with raw materials and components and distribute its products in a timely manner in accordance with applicable quality requirements. Disruptions in the global supply chain could also delay or preclude the ability of the Company's distributors to sell and deliver its products to customers.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availability and price of these materials, parts, products and services are affected by a variety of factors beyond the Company's control, including the willingness of suppliers to sell into the medical device industry, changes in supply and demand, general economic conditions, labor costs, fuel-related transportation costs, liability concerns, climate change (including new and existing laws and regulations to address climate change), competition, import duties, tariffs, currency exchange rates, inflationary pressures and political uncertainty around the world. Recently, the United States and certain other countries from which we import materials have imposed or signaled a willingness to impose tariffs on goods coming into the United States and elsewhere. While we cannot be certain how this will impact our supply chain, the Company's suppliers often pass some of their cost increases on to it, and if such increased costs are sustained or increase further, its suppliers may pass further cost increases on to it. In addition, transportation costs have generally increased and may further increase if crude oil prices increase. The Company's transportation and service providers are typically able to pass any significant increases in oil prices on to it. The Company's costs may also be impacted by laws to increase minimum wages, including the potential increase to the federal minimum wage in the United States that has been recently proposed by the current administration.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recover such increased costs may depend upon its ability to raise prices on its products. Due to the highly competitive nature of the healthcare industry and the cost-containment efforts of the Company's customers and third-party payers, the Company may be unable to pass along cost increases through higher prices. If the Company is unable to fully recover these costs through price increases or offset these increases through cost reductions, or it experiences terminations or interruption of its relationships with its suppliers, it could experience lower margins and profitability, and the Company's results of operations, financial condition and cash flows could be materially harmed.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global supply chain has experienced significant disruptions, resulting in shortages of labor and equipment. These conditions, if not mitigated or remedied in a timely manner, could delay or preclude delivery of raw materials needed to manufacture the Company's products or delivery of the Company's products to customers, particularly in international markets. This in turn could have an adverse impact on the Company's business, financial condition, results of operations or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of the Company's Products Depend on Components From a Sole-Source Supplier, the Loss of Which Would Cause the Company to be Unable to Deliver Such Products.</w:t>
      </w:r>
    </w:p>
    <w:p>
      <w:pPr>
        <w:spacing w:after="0" w:line="18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Company currently purchases certain critical components of its products from sole supply sources or other third-party suppliers. For example, the biological antigens and antibodies, nitrocellulose and certain other components required to make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HCV and Ebola products are currently purchased from sole-source suppliers. The Company has contracted with third parties in Thailand for parts of the assembly of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device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order to supply certain international markets. In addition, the Company's subsidiary, DNAG, uses, on a limited basis, third-party manufacturers to supply certain products, including its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lines of collection kits.</w:t>
      </w:r>
    </w:p>
    <w:p>
      <w:pPr>
        <w:spacing w:after="0" w:line="1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Any interruption in, or change in the cost or quality of, the supply of the necessary raw materials, manufacturing services, product and process development, or other materials necessary to manufacture the product could adversely impact the efficacy of the product and negatively affect the Company's reputation with its customers. In addition, many of the raw materials used in the Company's DNAG products, including its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and components used in these products are also purchased from third parties, some of which are purchased from a sole-source supplier. If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sole-source suppliers were to be acquired by a competitor, they may elect not to provide it with the product, raw materials or other components, as applicable. If the Company's sole-source suppliers were to otherwise cease supplying it, go out of business, or were unable to meet their obligations in a timely fashion or at an acceptable price, or at all, the Company may be forced to incur higher costs to obtain the necessary raw materials elsewhere, if it could even source such materials at all.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potential future pandemics or other public health emergencies may, in the future, disrupt the normal operations of the Company's third-party suppliers. Furthermore, the Company's third-party suppliers may not have the personnel, raw materials, capacity or capability to manufacture its products according to its schedule and specifications. To the extent any such production and distribution interruption or closures occur and continue for an extended period of time, the impact on the Company's supply chain could have a material adverse effect on its results of operations. If the Company's third-party suppliers are unable or unwilling to supply or manufacture a required component or product or if they make changes to a component, product or manufacturing process or do not supply materials meeting the Company's specifications, it may need to find another source and/or manufacturer. This could require that the Company perform additional development work and it may be difficult to find such an alternate supply source in a reasonable time period or on commercially reasonable terms, if at all. The Company may also need to obtain FDA or other regulatory approvals for the use of an alternative component or for changes to its products or manufacturing process. Completing that development and obtaining such approvals could require significant time and expense and such approvals may not occur at all. The availability of critical components and products from sole supply sources or other third parties could also reduce the Company's control over pricing, quality and timely delivery. These events could either disrupt the Company's ability to manufacture and sell certain of its products into one or more markets or completely prevent it from doing so, and could increase the Company's costs. Any such event could have a material adverse effect on the Company's results of operations, cash flow and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U.S. Government Contracts May Affect Its Intellectual Property Rights.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Provisions in the Company's U.S. government contracts may affect its intellectual property rights. Certain of the Company's activities have been funded, and may in the future be funded, by the U.S. government, including its contracts with BARDA. When new technologies are developed with U.S. government funding, the government obtains certain rights in any resulting patents, including the right to a nonexclusive license authorizing the government to use the invention. These rights may permit the government to disclose the Company's confidential information to third parties and to exercise “march-in” rights to use and allow third parties to use the Company's patented technology. The government can exercise its march-in rights if it determines that action is necessary because the Company fails to achieve practical application of the U.S. government-funded technology, because action is necessary to alleviate health or safety needs, to meet requirements of federal regulations, or to give preference to U.S. industry. In addition, government-funded inventions must be reported to the government, government funding must be disclosed in any resulting patent applications, and the Company's rights in such inventions may be subject to certain requirements to manufacture products in the United States. In late 2023, the National Institute of Standards and Technology published for comment a Draft Interagency Guidance Framework for Considering the Exercise of March-In Rights that would be voluntary for federal government agencies to follow when deciding whether to exercise march-in rights and which for the first time includes the price of a product as a factor a federal government agency can use when deciding to exercise march-in rights. While march-in rights have not previously been exercised, it is uncertain whether the federal government will actually exercise such march-in rights in connection with medical products or whether any such exercise will be subject to judicial review or challenge.</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U.S. Government Contracts and Related Administrative Processes Are Subject to Audits and Cost Adjustments by the Federal Government.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government agencies can audit and investigate government contracts and the administrative processes and systems of government contractors. These agencies can review the Company's performance on government contracts, pricing practices, cost structure, and compliance with applicable laws, regulations and standards. They can also review the Company's compliance with government regulations and policies and the adequacy of its internal control systems and policies, including its purchasing, accounting, estimating, compensation and management information processes and systems. Any costs found to be improperly allocated to a specific government contract, unallowable or unreasonable will not be reimbursed, and any such costs already reimbursed may be required to be refunded and certain penalties may be imposed. Adjustments arising from government audits and reviews could have a material adverse effect on the Company's business, financial condition, results of operations and prospects.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if any administrative process or system related to such contracts is found not to comply with governmental requirements, the Company may be subjected to government scrutiny that could delay or otherwise adversely affect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ability to compete for or perform government contracts or collect its revenue in a timely manner. An unfavorable outcome of an audit of the Company's government contracts could adversely affect its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Expects Revenue Levels From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COVID-19 Rapid Test to Continue to Decline</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experienced a significant decline in revenues from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sales in 2024 and 2025, and expects revenues to continue to decline in 2026. The Company has seen a reduction in the prevalence of COVID-19 since the height of the pandemic, particularly following the expiration of the public health emergency declarations related to COVID-19 in mid-2023. The Company's revenues relating to the Company's COVID-19 testing products have declined, and it expects they will continue to decline in the future if the prevalence of COVID-19 remains low. Further, if COVID-19 becomes a seasonal virus or experiences additional fluctuations in prevalence, the Company could experience fluctuations in its revenues associated with its InteliSwab® COVID-19 Rapid Tests. While there is still limited demand for COVID-19 testing products, there is no guarantee that current or anticipated demand will continue, or if demand does continue, that the Company will be able to produce its InteliSwab® COVID-19 Rapid Test in quantities to meet the demand.</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Marketing of the Company's COVID-19 Tests and Collection Kits Under EUAs from the FDA Is Subject To Certain Limitations and the Company Is Required To Maintain Compliance with the Terms of the EUA, Among Other Things, and the Continuance of the EUAs Is Subject To Government Discretion.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early 2020, the HHS issued a declaration that the threat to public health posed by COVID-19 justifies the emergency use of unapproved in vitro diagnostics for the detection or diagnosis of SARS-CoV-2. Under Section 564 of the FDCA, because HHS has issued this declaration, the FDA Commissioner is authorized to issue EUAs to permit certain developers of SARS-CoV-2 diagnostics to begin offering the tests for detection and diagnosis of COVID-19 without having completed the normally applicable FDA review and clearance or approval process for marketing authorization (with the related standards that would apply to demonstrate safety and effectiveness). The issuance of an EUA reflects an FDA conclusion that based on the totality of scientific evidence available to the FDA, it is reasonable to believe that the product may be effective in diagnosing COVID-19, the known potential benefits of the product outweigh the known and potential risks, and there is no adequate, approved, and available alternative to the emergency use of the product.</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2020, the Company's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·RNA and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·ORAL collection devices were included in EUAs granted by the FDA to certain third parties for use in the detection of SARS-CoV-2, and the Company has separately obtained EUAs for these products. In addition, the Company obtained three EUAs for its new InteliSwab® COVID-19 Rapid Test. Although there are certain regulatory requirements the FDA has waived for the duration of the EUAs, the Company remains subject to specific conditions of the authorization, including ensuring appropriate labeling as approved by FDA specifically for purposes of the EUA, maintaining records of distribution to authorized laboratories, collecting data on occurrences of any false positives or false negatives, and tracking any adverse events. As part of the conditions of authorization, OraSure was required to conduct a clinical study in a pediatric population ages 2-14 and an asymptomatic population in addition to launching an app for consumers to report their test results to public health jurisdictions. OraSure has completed the required conditions of authorization with respect to the pediatric claim and launched the InteliSwab® Connect application for reporting test results to public health jurisdictions. As a result of the National Institutes of Health study (Performance of Screening for SARS-CoV-2 using Rapid Antigen Tests to Detect Incidence of Symptomatic and Asymptomatic SARS-CoV-2 Infection: findings from the Test Us at Home prospective cohort study), the FDA has requested modifications to labeling to include serial testing and has removed the requirement for the Company to conduct a study in an asymptomatic population. Labeling has been modified as required for inclusion of serial testing and authorized by FDA.</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with other FDA-regulated products, issues could emerge during the course of the marketing and use of the Company's products under an EUA that could impact the Company's ability to continue the sale and distribution of these products (for example, compliance or product performance issues). The applicable EUAs remain effective only until the HHS declaration is terminated or revoked, and the FDA may also revoke an EUA if it determines the criteria for issuance are no longer met or other circumstances make such revocation appropriate to protect the public health or safety. If that were to occur, then in order to market the Company's diagnostic products or collection kits for the purpose of detecting COVID-19 the Company would be required to obtain the necessary regulatory clearances or approvals and be subject to the full and usual regulatory obligations for device manufacturers, including the QMSR under 21 CFR Part 820. It is possible that the Company may not be able to obtain those clearances or approvals in a timely manner, or at all, and that one or more of OraSure's competitors may obtain the necessary clearances or approvals for their products before the Company 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Company's Industry,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in the Healthcare Industry Could Adversely Affect the Company's Future Revenues and Operating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healthcare industry has experienced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also placed pricing pressure on medical device suppliers. The Company may not be able to compete successfully in such a consolidated industry. The Company believes industry consolidation may continue as companies attempt to strengthen or hold their market positions and as more companies are acquired or cease operating. Further consolidation in the industry could exert additional pressure on the prices of the Company's products.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Research, Development and Commercialization Efforts May Not Succeed and Its Competitors May Develop and Commercialize More Effective or Successful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remain competitive, the Company must regularly commit substantial resources to research and development and the commercialization of new or enhanced products and services. The research and development process generally takes a significant amount of time from inception to commercial launch. This process is conducted in various stages. During each stage there is a substantial risk that the Company will not achieve its goals on a timely basis, or at all, and it may have to abandon a new or enhanced product or service in which it has invested substantial time and money.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Successful products and services can require significant development and investment, including testing to demonstrate their performance capabilities, cost-effectiveness or other benefits prior to commercialization. Regulatory approval or clearance must be obtained before most products may be sold and additional development efforts on these products may be required before any regulatory authority will review them. As noted above, regulatory authorities may not issue such approvals, clearances or certifications or may substantially delay or condition such action. Even if a product is developed and all applicable regulatory approvals, clearance or certifications are obtained, there may be little or no market for the product and entry into or development of new markets for the Company's products and services may require an investment of substantial resources, such as new employees, offices and manufacturing facilities. Moreover, the Company may spend a significant amount of money on manufacturing facilities, advertising or other activities and fail to develop a market for the product or service. Other factors that could affect the success of the Company's efforts include its ability to manufacture products in a cost-effective manner and whether it can obtain necessary intellectual property rights and protection in the markets where the product or service is sold.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fails to develop and gain commercial acceptance for its products and services, or if competitors develop more effective products and services or a greater number of successful new products and services, customers may decide not to purchase the Company's products and services or may purchase and use products and services developed by its competitors. This would result in a loss of revenues and adversely affect the Company's results of operations, cash flow and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Creates Risk for the Company's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the Company's customers accounted for approximately 3% of its net consolidated revenues for the year ended December 31, 2025. Certain parts of the Company's business may continue to have a high customer concentration and depend disproportionately on a few large customers. To the extent that such large customers fail to meet their purchase commitments, change their ordering patterns or business strategies, or otherwise reduce their purchases or stop purchasing the Company's products, or if it experiences difficulty in meeting the high demand by these larger customers for its products, the Company's revenues and results of operations could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is Subject to Risks Related to Government Funding and Customer Ordering.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revenues is derived from sales to customers that rely on funding from the U.S. government, including federal agencies, state programs, and entities receiving grants and contracts from the HHS, the U.S. Agency for International Development (“USAID”), the Centers for Disease Control and Prevention (“CDC”), and other government programs. In 2025, the U.S. government implemented funding freezes and delays that have directly affected healthcare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life sciences procurement. Any reduction, delay, or uncertainty in the availability of such funding could adversely affect the purchasing patterns of these customers, impacting our business, financial condition, and results of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Among factors that could adversely affect our business are the impact of actions, such as the U.S. government implementing funding freezes and delays; other changes in fiscal policies or decreases in available government funding; changes in government funding priorities; changes in government programs or applicable requirements; the impact of the adoption of new laws or regulations or changes to existing laws or regulations on global health initiatives and domestic procurement of essential healthcare supplies; changes in government administration and national and international priorities, including developments in the geopolitical environment; the termination or reduction in certain funding for research and development, including from BARDA; changes in audit policies and procedures of government entities; potential delays or changes in the government appropriations process; and delays in the payment of our invoices by government payment offices.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that rely on these funding sources may reduce, delay, or cancel orders for our products and services, particularly during periods of political uncertainty. If our customers experience prolonged funding uncertainty or reductions in available government funds, we could face disruptions in our revenue streams, increased inventory costs due to unpredictable ordering patterns, and potential declines in profitability. While we actively monitor legislative and regulatory developments, we cannot predict the outcome of government policy shifts that may impact our customers’ ability to procure our products.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Acquisitions or Investments May Not Generate the Expected Benefits and Could Disrupt the Company's Ongoing Business, Distract Its Management, Increase Its Expenses and Adversely Affect Its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acquired or made investments in several companies through which it has gained access to new technologies, products and services which are complementary to its existing business and aligned with its long-term business strategy. For example, in January 2024, the Company announced its investment and entry into wide ranging strategic distribution agreements with KKR Sapphiros L.P. ("Sapphiros"), in December 2024, the Company acquired Sherlock, expanding the Company's product pipeline with the addition of Sherlock's molecular diagnostics platform, and in November 2025, the Company acquired BioMedomics, also expanding the Company's product pipeline with the addition of BioMedomics' SickleSCAN™ test for sickle cell disease. The Company will likely continue to pursue strategic acquisitions or investments as a way to expand its business. These activities, and their impact on the Company's business, are subject to many risks, including the following:</w:t>
      </w:r>
    </w:p>
    <w:p>
      <w:pPr>
        <w:spacing w:after="0" w:line="81" w:lineRule="exact"/>
        <w:rPr>
          <w:sz w:val="20"/>
          <w:szCs w:val="20"/>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Suitable acquisitions or investments may not be found or consummated on terms or schedules that are satisfactory to the Company or consistent with its objectives;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unsuccessful in competing for acquisitions with other entities, some of which have greater financial resources or may be better able to realize synergies with a potential target;</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expected to be derived from an acquisition or investment may not materialize and could be affected by numerous factors, such as regulatory developments, insurance reimbursement, the Company's inexperience with new businesses or markets, general economic conditions and increased competition;</w:t>
      </w:r>
    </w:p>
    <w:p>
      <w:pPr>
        <w:spacing w:after="0" w:line="6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unable to successfully integrate an acquired company’s personnel, assets, management, information technology systems, accounting policies and practices, products, services and/or technology into the Company's business;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Worse than expected performance of an acquired business may result in the impairment of intangible assets;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require substantial expense and management time and could disrupt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accurately forecast the performance or ultimate impact of an acquired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difficulties in coordinating geographically separate organizations;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fail to successfully manage relationships with customers, distributors and suppliers of an acquired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diversion of resources from the Company's existing products, business and technologies;</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and subsequent integration activities may require greater capital and other resources than originally anticipated at the time of acquisition;</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agrees to pay contingent consideration for an acquisition, if and how much of such consideration it is required to pay may be subject to dispute, resulting in the distraction of the Company's management team and the incurrence of legal costs;</w:t>
      </w:r>
    </w:p>
    <w:p>
      <w:pPr>
        <w:spacing w:after="0" w:line="6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employee anxiety, morale and/or engagement issues;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disparate information technology, internal control, financial reporting and record-keeping systems;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new partners or customers who may operate on terms and programs different than the Company's;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employees not familiar with the Company's operations;</w:t>
      </w:r>
    </w:p>
    <w:p>
      <w:pPr>
        <w:spacing w:after="0" w:line="11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new products and services, including the risk that any underlying intellectual property associated with such products and services may not have been adequately protected or that such products and services may infringe on the proprietary rights of others;</w:t>
      </w:r>
    </w:p>
    <w:p>
      <w:pPr>
        <w:spacing w:after="0" w:line="6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the incurrence of unexpected expenses, stockholder lawsuits, the dilution of the Company's earnings or its existing stockholders’ percentage ownership, or potential losses from undiscovered liabilities not covered by an indemnification from the seller(s) of the acquired business;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the loss of the Company's or the acquired company’s key personnel, customers, distributors or suppliers; and</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1"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a foreign business may involve additional risks, including, but not limited to, foreign currency exposure, liability or restrictions under foreign laws or regulations, and the Company's inability to successfully assimilate differences in foreign business practices or overcome language or cultural barriers and other inherent risks of operating in unfamiliar legal and regulatory environments.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one or more of the above or other factors may prevent the Company from achieving all or a significant part of the benefits expected from an acquisition or investment. This may adversely affect the Company's financial condition, results of operations and ability to grow its business or otherwise achieve its financial and strategic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Revenues Could be Affected by Third-Party Reimbursement Policies and Potential Cost Constraints.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end-users of certain of the Company's products include hospitals, physicians and other healthcare providers. Use of the Company's products could be adversely impacted if these end-users do not receive adequate reimbursement for the cost of its products from their patients’ healthcare insurers or payors. The Company's net sales could also be adversely affected by changes in reimbursement policies of governmental or private healthcare payors, including in particular the level of reimbursement for the Company's products.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hospitals, physicians and other healthcare providers who purchase diagnostic products generally rely on third-party payors, such as private health insurance plans, Medicare and Medicaid, to reimburse all or part of the cost of the product and procedure. The overall escalating cost of medical products and services has led to, and will continue to lead to, increased pressures on the healthcare industry, both foreign and domestic, to reduce the cost of products and services. Given the efforts to control and reduce healthcare costs in the United States in recent years, currently available levels of reimbursement may not continue to be available in the future for the Company's existing products or products under development. Third-party reimbursement and coverage may not be available or adequate in either the United States or international markets, current reimbursement amounts may be decreased in the future and future legislation, and regulation or reimbursement policies of third-party payors, may reduce the demand for the Company's products or its ability to sell its products on a profitable basis. In addition, the reimbursement approval process may delay the market introduction of the Company's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Healthcare Regulation Could Affect the Company's Revenues, Costs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there have been numerous initiatives at the federal and state level for comprehensive reforms affecting the payment for, the availability of and reimbursement for healthcare services in the United States. These initiatives have ranged from proposals to fundamentally change federal and state healthcare reimbursement programs, including providing comprehensive healthcare coverage to the public under government-funded programs, to minor modifications to existing programs. One example is the Patient Protection and Affordable Care Act, the federal healthcare reform law enacted in 2010 (the “Affordable Care Act”). Similar reforms may occur internationally.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Legislative and regulatory bodies are likely to continue to pursue healthcare reform initiatives in many forms and may continue to reduce funding in an effort to lower overall federal healthcare spending. The ultimate content and timing of changes to healthcare reform legislation and the resulting impact on the Company are impossible to predict. If significant reforms continue to be made to the healthcare system in the United States, or in other jurisdictions, those reforms may increase the Company's costs or otherwise have an adverse effect on its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or Changed Testing Guidelines Could Affect Sales of the Company's Diagnostic Products.</w:t>
      </w: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From time to time, governmental agencies such as the CDC issue diagnostic testing guidelines or recommendations, which can affect the usage of the Company's HIV and HCV tests or other diagnostic products. For example, past sales of domestic professional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tests have decreased in part due to customer migration to automated fourth generation HIV immunoassays performed in a laboratory, as recommended under testing guidelines issued by the CDC. In addition, some states have promulgated, or may in the future promulgate, laws and regulations that affect HIV or HCV testing. The issuance of new laws or guidelines, or changes in existing laws or guidelines, and the manner in which these new or changed laws and guidelines are interpreted and applied by healthcare practitioners, could impact the degree to which the Company's OraQuick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rapid HIV and HCV testing products or other products are used. New or changed laws or guidelines could affect the number of people tested, the frequency of testing and whether testing products such as the Company's OraQuick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HIV and HCV tests are used broadly for screening large populations or in a more limited capacity as a confirmatory test or otherwise. These factors could in turn affect the level of sales of the Company's products and its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Reductions in Government Funding and Research Budgets Could Adversely Affect the Company's Business and Financial Results.</w:t>
      </w:r>
    </w:p>
    <w:p>
      <w:pPr>
        <w:spacing w:after="0" w:line="22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The Company sells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HIV-1/2 and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tests into the U.S. public health market which consists of state, county and other governmental public health agencies, community based organizations, service organizations and similar entities. It also sells these products into the hospital market. Many of these customers depend to a significant degree on grants or funding provided by governmental agencies to run their operations including programs that use the Company's products. In international markets, the Company often sell products such as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to or through foreign governmental agencies or parties funded by such agencies.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Company's sample management solutions are sold to researchers at academic institutions, pharmaceutical and biotechnology companies, government laboratories and private foundations. Many research customers are dependent for their funding on grants from U.S. governmental agencies such as the NIH and agencies in other countries to pay for the products and services they purchase. These research customers also purchase the Company's single order fulfillment services.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funding is subject to the political process, which is inherently fluid and unpredictable. Under the Trump administration, the NIH announced on February 7, 2025, a policy significantly reducing research grants by limiting payments for indirect costs. Indirect costs represented more than 25% of total grant dollars awarded by the NIH in 2023. Our research customers may face increased financial pressure due to this change or any future caps on indirect costs. While, as of the date of this filing, a lower court has imposed a permanent injunction preventing the NIH from adopting the policy, which has been subsequently affirmed by a U.S. Circuit Court of Appeals, there can be no assurance that further adverse actions will not be taken. Further, our revenue may be adversely affected if our research customers delay purchases as a result of uncertainties surrounding the approval of government budget proposals, including reduced allocations to government agencies, such as the NIH.</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received government funding for certain research and development projects, including, most recently, through the Rapid Response Partnership Vehicle ("RRVP") for the development of a Marburg Virus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("MVD") rapid antigen test. The level of available government grants or funding in the U.S. and elsewhere is unpredictable and may be affected by various factors including economic conditions, legislative and regulatory developments, political changes, civil unrest and changing priorities for research and development activities. Further, government proposals to reduce or eliminate budgetary deficits have sometimes included reduced allocations to government agencies in the U.S. and other countries that fund life sciences research and development activities. Any reduction or delay in government or other funding as a result of legislative or regulatory changes or other factors, could cause the Company's customers to delay, reduce or forego purchases of its products and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Company's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Failure to Maintain Existing Distribution Channels, or Develop New Distribution Channels, May Result in Lower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marketed many of its products by collaborating with laboratories, diagnostic companies and distributors. Its sales depend to a substantial degree on its ability to sell products to these customers and on the marketing and distribution abilities of the companies with which it collaborates.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distributors or others to market and sell the Company's products could harm its business for various reasons, including:</w:t>
      </w:r>
    </w:p>
    <w:p>
      <w:pPr>
        <w:spacing w:after="0" w:line="117" w:lineRule="exact"/>
        <w:rPr>
          <w:sz w:val="20"/>
          <w:szCs w:val="20"/>
          <w:color w:val="auto"/>
        </w:rPr>
      </w:pPr>
    </w:p>
    <w:p>
      <w:pPr>
        <w:ind w:left="2100" w:hanging="958"/>
        <w:spacing w:after="0"/>
        <w:tabs>
          <w:tab w:leader="none" w:pos="2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find suitable distributors to distribute its products on satisfactory terms, or at all;</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or other customers may not fulfill their contractual obligations to it or otherwise market and distribute its products in the manner or at the levels it expects;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control the incentives provided by its distributors to their sales personnel and the effectiveness of these incentives could affect sales of the Company's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distributors may terminate prematurely due to disagreements or may result in litigation between the parties;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renew existing distribution agreements on acceptable terms, or at all;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may not devote sufficient resources or priority to the sale of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may prioritize their own private label products that compete with its products;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existing distributor relationships or contracts may preclude or limit it from entering into arrangements with other distributors; and</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negotiate future distribution agreements on acceptable terms, or at all.</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the Company will try to maintain and expand its business with distributors and customers and require that they fulfill their contractual obligations, there can be no assurance that such companies will do so or that new distribution channels will be available on satisfactory terms. As a result, the Company's revenues and business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Need Strategic Partners to Assist in Developing and Commercializing Some of Its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may elect to pursue some product opportunities independently, opportunities that require a technology controlled by a third party, a significant level of investment for development and commercialization or a distribution network beyond its existing sales force may necessitate involving one or more strategic partners. Further, the Company's ability to enter into agreements with additional strategic partners depends in part on convincing them that its products can help achieve and accelerate their goals and efforts. The Company's strategy for development and commercialization of products may entail entering into arrangements with distributors or other corporate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universities, research laboratories, government agencies, licensees and others. Relying on collaborative relationships could be risky to the Company's business for a number of reasons, including:</w:t>
      </w:r>
    </w:p>
    <w:p>
      <w:pPr>
        <w:spacing w:after="0" w:line="54" w:lineRule="exact"/>
        <w:rPr>
          <w:sz w:val="20"/>
          <w:szCs w:val="20"/>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to transfer material rights to such strategic collaborators, government agencies, licensees and others;</w:t>
      </w:r>
    </w:p>
    <w:p>
      <w:pPr>
        <w:spacing w:after="0" w:line="53"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not devote sufficient resources or attach a sufficiently high priority to the success of its collaboration;</w:t>
      </w:r>
    </w:p>
    <w:p>
      <w:pPr>
        <w:spacing w:after="0" w:line="53"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not obtain regulatory approvals necessary to continue the collaborations in a timely manner;</w:t>
      </w:r>
    </w:p>
    <w:p>
      <w:pPr>
        <w:spacing w:after="0" w:line="53" w:lineRule="exact"/>
        <w:rPr>
          <w:rFonts w:ascii="Times New Roman" w:cs="Times New Roman" w:eastAsia="Times New Roman" w:hAnsi="Times New Roman"/>
          <w:sz w:val="18"/>
          <w:szCs w:val="18"/>
          <w:color w:val="auto"/>
        </w:rPr>
      </w:pPr>
    </w:p>
    <w:p>
      <w:pPr>
        <w:jc w:val="both"/>
        <w:ind w:left="2140" w:hanging="966"/>
        <w:spacing w:after="0" w:line="266"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limited access to its collaborator’s confidential corporate information and sudden unexpected changes in ownership or strategy or other material events affecting a collaborator of which the Company is not made aware of in a timely manner, or at all, could adversely impact the Company's relationship;</w:t>
      </w:r>
    </w:p>
    <w:p>
      <w:pPr>
        <w:spacing w:after="0" w:line="6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be acquired by another company, sell the part of their business related to the Company's collaboration, decide to terminate the Company's collaborative arrangement or become insolvent;</w:t>
      </w:r>
    </w:p>
    <w:p>
      <w:pPr>
        <w:spacing w:after="0" w:line="53"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develop technologies or components competitive with its products;</w:t>
      </w:r>
    </w:p>
    <w:p>
      <w:pPr>
        <w:spacing w:after="0" w:line="11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fail to deliver technologies or components that satisfy market requirements or such products may fail to perform properly;</w:t>
      </w:r>
    </w:p>
    <w:p>
      <w:pPr>
        <w:spacing w:after="0" w:line="53"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could result in the termination of the relationship or litigation;</w:t>
      </w:r>
    </w:p>
    <w:p>
      <w:pPr>
        <w:spacing w:after="0" w:line="117"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have sufficient capital resources; and</w:t>
      </w:r>
    </w:p>
    <w:p>
      <w:pPr>
        <w:spacing w:after="0" w:line="11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negotiate future collaborative arrangements, or renewals of existing collaborative agreements, on acceptable terms or at all.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generally expects that its collaborative partners will have an economic motivation to succeed in performing their contractual responsibilities, there is no assurance that they will do so, either at the level required or at all, and the amount and timing of resources to be devoted to these activities will be controlled by others. Reliance on strategic agreements can also make it difficult to accurately forecast the Company's future revenues or operating results. There can be no assurance that the expected revenues or profits will be fully derived from such arrangements.</w:t>
      </w:r>
    </w:p>
    <w:p>
      <w:pPr>
        <w:spacing w:after="0" w:line="1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Success Depends on Its Ability to Protect Its Proprietary Technology.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industry places considerable importance on obtaining patent, trademark and trade secret protection, as well as other intellectual property rights, for new technologies, products and processes. The Company's success depends, in part, on its ability to develop and maintain a strong intellectual property portfolio or obtain licenses to patents and technologies, both in the United States and in other countries. If the Company cannot continue to develop, obtain and protect intellectual property rights, its revenues and profits could be adversely affected. Moreover, the Company's current and future licenses or other rights to patents and other technologies may not be adequate for the operation of its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appropriate, the Company intends to file patent applications and obtain patent protection for its proprietary technology. These patent applications and patents will cover, as applicable, compositions of matter for the Company's products, methods of making those products, methods of using those products and apparatuses relating to the use or manufacture of those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relies on trade secrets, know-how and continuing technological advancements to protect its proprietary technology. The Company has entered, and will continue to enter, into confidentiality agreements with its employees, consultants, advisors and collaborators. The Company's employees and third-party consultants also sign agreements requiring that they assign to it interests in inventions and original expressions and any patents or copyrights arising from their work. However, these parties may not honor these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cannot guarantee that the process of filing patents, the laws governing trade secrets and proprietary information, or any agreements the Company enters into with employees, consultants, advisors or collaborators will provide adequate protection of its intellectual property rights. For example, the Company's competitors may develop similar products without infringing on any of its intellectual property rights or design around its proprietary technologies. Employees, consultants and others who participate in the development of the Company's products may breach their agreements with it regarding its intellectual property, and the Company may not have adequate remedies for the breach. The Company also may not be able to effectively protect its intellectual property rights in some foreign countries, as many countries do not offer the same level of legal protection for intellectual property as the United States.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variety of reasons, the Company may decide not to file for patent, copyright or trademark protection outside of the U.S. The Company's trade secrets could become known through other unforeseen means. The absence of patent protection in certain parts of the Company's business may make it more difficult to protect its intellectual property. In addition, the Company's competitors may independently develop similar or alternative technologies or products that are equal or superior to its technology.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Moreover, issued patents remain in effect for a fixed period and after expiration will not provide protection of the inventions they cover. Once the Company's patents expire, it may be faced with increased competition, which could reduce its revenues. It may also not be able to successfully protect its rights to unpatented trade secrets and know-how.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employees, including scientific and management personnel, were previously employed by competing companies. Although the Company encourages and expect all of its employees to abide by any confidentiality agreement with a prior employer, competing companies may allege trade secret violations and similar claims against the Company. In addition, some of these agreements may conflict with, or be subject to, the rights of third parties with whom the Company's employees, consultants or advisers have prior employment or consulting relationships. An adverse determination may limit or restrict the type of work that certain employees involved with such products may perform.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collaborate with universities and governmental research organizations or receive funding for its products from government agencies. As a result, one or more of these entities may acquire part of the rights to any inventions or technical information derived from the Company's collaboration or funding relationship with them.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facilitate development and commercialization of a proprietary technology base, the Company may need to obtain licenses to patents or other proprietary rights from other parties. Obtaining and maintaining such licenses may require the payment of substantial amounts. In addition, if the Company is unable to obtain these types of licenses, its product development and commercialization efforts may be delayed or precluded. Moreover, some licenses may be nonexclusive, and therefore the Company's competitors may have access to the same technology also licensed to the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Become Involved in Intellectual Property Disputes, Which Could Increase Its Costs and Limit or Eliminate Its Ability to Sell Products, Provide Services or Use Certain Technologies.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sought, and may in the future seek, to enforce its patents or other intellectual property rights through litigation. In addition, there are a large number of patents and patent applications in the Company's product and service areas, and additional patents may be issued to third parties relating to its product and service areas. The Company, its customers or its suppliers may be sued for infringement of patents or misappropriation of other intellectual property rights with respect to one or more of its products or services. Litigation in the Company's industry regarding patent and other intellectual property rights is prevalent and is expected to continue. The Company may also have disputes with parties that license patents to it if the Company believes the license is no longer needed for its products or services or the licensed patents are no longer valid or enforceable.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industry is characterized by a large number of patents, and the claims of these patents appear to overlap in many cases. As a result, there is a significant amount of uncertainty regarding the extent of patent protection and infringement. Companies may have pending patent applications, which are typically confidential for the first eighteen months following filing, that cover technologies the Company incorporates in its products or services. Accordingly, the Company may be subjected to substantial damages for past infringement or be required to modify its products or services or stop selling them if it is ultimately determined that its products or services infringe a third party’s proprietary rights. In addition, governmental agencies could commence investigations or criminal proceedings against the Company's employees or the Company itself relating to claims of misuse or misappropriation of another party’s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litigation is costly. As such, the Company's involvement in litigation or other legal proceedings with respect to patents or other intellectual property and proprietary technology, either as a plaintiff or defendant, could adversely affect its revenues, market share, results of operations and business because:</w:t>
      </w:r>
    </w:p>
    <w:p>
      <w:pPr>
        <w:spacing w:after="0" w:line="68" w:lineRule="exact"/>
        <w:rPr>
          <w:sz w:val="20"/>
          <w:szCs w:val="20"/>
          <w:color w:val="auto"/>
        </w:rPr>
      </w:pPr>
    </w:p>
    <w:p>
      <w:pPr>
        <w:ind w:left="2100" w:hanging="958"/>
        <w:spacing w:after="0"/>
        <w:tabs>
          <w:tab w:leader="none" w:pos="2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consume a substantial portion of managerial and financial resources;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outcome would be uncertain and a court may find that the Company's patents are invalid or unenforceable in response to claims by another party or that the third-party patent claims are valid and infringed by the Company's products or services;</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outcome could subject the Company to the loss of the protection of its patents or to liability in the form of past royalty payments, penalties, reimbursement of litigation costs and legal fees, special and punitive damages, or future royalty payments, any of which could significantly affect the Company's future earnings;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may commence investigations or criminal proceedings against the Company's employees, former employees and the Company itself relating to claims of misappropriation or misuse of another party’s proprietary rights;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necessary license upon an adverse outcome could prevent the Company from selling its current products or services or other products or services it may develop or acquire;</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to alter its product or services, given the proprietary rights of others;</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pendency of any litigation may in and of itself cause the Company's distributors and customers to reduce or terminate purchases of its products or services; and</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could award a preliminary and/or permanent injunction, which would prevent the Company from selling its current or future products or services.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indemnify some customers and strategic partners under its agreements with such parties if its products, services or activities have actually or allegedly infringed upon, misappropriated or misused another party’s proprietary rights. Further, the Company's products or services may contain technology provided to it by other parties, such as universities, contractors, suppliers, customers or collaborators, and it may have little or no ability to determine in advance whether such technology infringes the intellectual property rights of a third party. These other parties may also not be required or financially able to indemnify the Company in the event that an infringement or misappropriation claim is asserted against the Company.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also become involved in other types of disputes regarding intellectual property rights, including state, federal or foreign court litigation, and patent interference, patent reexamination, patent reissue, or trademark opposition proceedings in the United States Patent and Trademark Office. Opposition or revocation proceedings could be instituted in a foreign patent office as well. Under federal law, various forms of post issuance patent review proceedings have been authorized, including inter-parties review processes. These proceedings permit certain persons to challenge the validity of a patent on the grounds that it was known from the prior art. As a result of such proceedings several of the Company's patents have been successfully challenged. The filing of such proceedings, or the issuance of an adverse decision in such proceedings, could result in the loss of valuable patent rights that could have a material adverse effect on the Company's business, financial condition, results of operations and growth prospects. For more information, see Item 3. Legal Proceedings.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Need to Obtain Regulatory Approvals, Clearances, Authorizations or Certifications Could Increase the Company's Costs and Adversely Affect Its Financial Performance.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Company's proposed and existing products and services are subject to regulation by the FDA and other governmental or public health agencies. In particular, the Company is subject to strict governmental controls on the development, manufacture, labeling, distribution and marketing of its products. The Company's practice is to train its employees on the legal requirements applicable to its business, including the requirements of the FDA and other relevant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obtaining required approvals, clearances, other premarket authorizations or certifications can involve lengthy and detailed laboratory testing, human clinical trials, sampling activities and other costly, time-consuming procedures. These approvals, clearances, other premarket authorizations or certifications can require the submission of a large amount of clinical data which can be expensive and may require significant time to obtain. It is also possible that a product will not perform at a level needed to generate the clinical data required to obtain such premarket authorizations or certifications. The submission of an application to the FDA or other regulatory authority does not guarantee that an authorization to market or import the product or a laboratory certification will be received. A regulatory authority may impose requirements as a condition to granting an approval, clearance, premarket authorization or certification that may include significant restrictions or limitations. The regulatory authority may delay or refuse to grant premarket authorization or certification, even though a product has been approved or registered without restrictions or limitations in another country or by another agency. Delays in receipt or failure to receive such approvals, clearances, premarket authorization or certification could have a material adverse effect on the Company's business, financial condition and results of operations.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in vitro diagnostic devices that are to be placed on the market in the EU must bear a CE mark indicating conformity with the applicable requirements of the EU IVDR. The EU IVDR became applicable on May 26, 2022 and repealed the previous IVDD. There is a transitional period during which products that have a declaration of conformity issued under the IVDD prior to May 26, 2022 may continue to be placed on the EU market for a certain period before requiring certification under the EU IVDR, subject to compliance with certain requirements under the EU IVDR (see the section titled "Governmental Regulation - International" for further information). The Company has obtained the CE mark for several of its existing products under the IVDD. It also intends to apply for CE marks for certain of its future products and is not aware of any material reason why it would be unable to obtain those marks. However, there can be no assurance that compliance with all provisions of the EU IVDR will be demonstrated and the CE mark will be obtained or maintained for all products that the Company desires to sell in the EU. The failure to obtain or maintain the CE mark for one or more of the Company's products could lead to the termination of strategic alliances and agreements for sales of those products in the EU and mean that the Company is unable to sell such products in the EU.</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Company or its distributors are often required to obtain premarket authorization or product registration with foreign governments or regulatory bodies before it can import and sell its products in foreign countries. The Company may also be required to obtain WHO pre-qualification or endorsement in order to sell certain products in international markets or enable its customers to access interested funding sources for its products. The Company may have difficulty obtaining such authorizations, registrations, pre-qualifications or endorsements and, if obtained, such authorizations, registrations, pre-qualifications or endorsements may contain restrictions that limit the Company's ability to market and sell its products in the relevant country. In addition, any change in the Company's arrangement with a foreign distributor could result in the loss of or delay in transfer of any applicable product registrations, thereby interrupting the Company's ability to sell those products in the affected markets.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FDA or Other Regulatory Requirements May Require the Company to Suspend Production or Sale of Its Products or Institute a Recall Which Could Result in Higher Costs and a Loss of Revenues.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Regulation by the FDA and other federal, state and foreign regulatory agencies impacts many aspects of the Company's operations and the operations of its suppliers and distributors, including manufacturing, labeling, packaging, adverse event reporting, recalls, distribution, storage, advertising, promotion and recordkeeping. The Company is subject to routine inspection by the FDA and other agencies to determine compliance with QMSR and FDA regulatory requirements in the United States and other applicable regulations worldwide, including but not limited to ISO standards. The Company believes that its facilities and procedures are in material compliance with the FDA requirements and ISO standards, but the regulations may be unclear and are subject to change, and the Company cannot be sure that the FDA or other regulators will agree with its compliance with these requirements. The FDA and foreign regulatory agencies may require post-marketing testing and surveillance to monitor the performance of approved or cleared products or impose conditions on any product clearances or approvals that could restrict the distribution or commercial applications of those products. Regulatory agencies may impose restrictions on the Company or its distributors’ advertising and promotional activities or preclude these activities altogether if a noncompliance is believed to exist. In addition, the subsequent discovery of previously unknown problems with a product may result in restrictions on the product or additional regulatory actions, including withdrawal of the product from the market.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comply with the applicable requirements of the FDA can result in, among other things, 483 notices, warning letters, administrative or judicially imposed sanctions such as injunctions, civil penalties, recall or seizure of products, total or partial suspension of production, refusal to grant PMA approval for devices, withdrawal of product registrations, marketing clearances or approvals, or criminal prosecution. The ability of the Company's suppliers to supply critical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components or materials and of its distributors to sell its products could also be adversely affected if their operations are determined to be out of compliance. Such actions by the FDA and other regulatory bodies could adversely affect the Company's revenues, costs and results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products, particularly those sold by DNAG, are sold for research purposes in the U.S. The Company does not promote these products for clinical diagnostic use and they are labeled “For Research Use Only” ("RUO"). If the FDA were to disagree with the Company's RUO designation of a product, it could allege that we had misbranded or adulterated our RUO products. If the FDA asserts that our RUO products are subject to marketing authorization, or that our RUO products are adulterated or misbranded, our business, financial condition or results of operations could be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must frequently make subjective judgments with respect to compliance with applicable laws and regulations. If regulators subsequently disagree with the manner in which the Company has sought to comply with these regulations, it could be subjected to substantial civil and criminal penalties, as well as product recall, seizure or injunction with respect to the sale of its products. The assessment of any civil and criminal penalties against the Company could severely impair its reputation within the industry and any limitation on its ability to manufacture and market its products could have a material adverse effect on the Company's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Inability to Respond to Changes in Regulatory Requirements Could Adversely Affect Its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that its products and procedures are in material compliance with all applicable FDA regulations, ISO requirements, and other applicable regulatory requirements, but the regulations regarding the manufacture and sale of its products, the QMSR and ISO requirements, and other requirements may be unclear and are subject to change. Newly promulgated regulations could require changes to the Company's products, necessitate additional clinical trials or procedures, or make it impractical or impossible for it to market its products for certain uses, in certain markets, or at all. The FDA and other regulatory authorities also have the ability to change the requirements for obtaining product approval or clearance and/or impose new or additional requirements as part of the approval or clearance process. These changes or new or additional requirements may occur after the completion of substantial clinical work and other costly development activities. The implementation of such changes or new or additional requirements may result in additional clinical trials and substantial additional costs and could delay or make it more difficult or complicated to obtain approvals and sell the Company's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FDA in ways that may significantly affect the manner in which our products are regulated and marketed. The Company cannot predict the effect, if any, that these changes might have on its business, financial condition or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Subject to Numerous Government Regulations in Addition to FDA Requirements, Which Could Increase the Company's Costs and Affect Its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FDA and other regulations described previously, laws and regulations in some states may restrict the Company's ability to sell products in those states. While the Company intends to work with state legislators and regulators to remove or modify any applicable restrictions, there is no guarantee it will be successful in these efforts.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must also comply with numerous laws relating to such matters as safe working conditions, manufacturing practices, environmental protection, fire hazard control, disposal of hazardous substances, labor or employment practices and the configuration and operation of the websites through which it advertises its products. As a device manufacturer, the Company is required to report annually to the Centers for Medicare &amp; Medicaid Services (“CMS”) any payments or transfers of value it has made to physicians and teaching hospitals and any physician ownership or investment interest in the Company's business. In the U.S., before the Company can market a new medical device, or a new use of, or claim for, or significant modification to, an existing product, it generally must first receive either 510(k) clearance or De Novo authorization or approval of a PMA from the FDA. Similarly, most major markets for medical devices outside the U.S. also require clearance, approval, authorization or compliance with certain standards before a product can be commercially marketed. Compliance with these laws or any new or changed laws regulating the Company's business could result in substantial costs. Because of the number and extent of the laws and regulations affecting the Company's industry, and the number of governmental agencies whose actions could affect its operations, it is impossible to reliably predict the full nature and impact of these requirements. To the extent the costs and procedures associated with complying with these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requirements are substantial or it is determined that the Company does not comply, its business and results of operations could be adversely affected.</w:t>
      </w:r>
    </w:p>
    <w:p>
      <w:pPr>
        <w:spacing w:after="0" w:line="200" w:lineRule="exact"/>
        <w:rPr>
          <w:sz w:val="20"/>
          <w:szCs w:val="20"/>
          <w:color w:val="auto"/>
        </w:rPr>
      </w:pPr>
    </w:p>
    <w:p>
      <w:pPr>
        <w:spacing w:after="0" w:line="2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Disruptions at the FDA and Other Government Agencies, Including Staffing Constraints, and Funding Uncertainty, Could Delay or Prevent the Development, Review, Approval, or Commercialization of Our Products and Adversely Affect Our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depends on the effective functioning of the FDA, the SEC, and other governmental authorities that regulate, review, fund, or otherwise influence the development, approval, manufacturing, and commercialization of our products. In recent periods, these agencies have experienced material disruptions, including government shutdowns, workforce reductions, hiring freezes, funding uncertainty, and shifts in policy priorities, and similar conditions may persist or recur. These disruptions have resulted in longer and less predictable regulatory review timelines, reduced availability of agency personnel, and delays in inspections, meetings, and other regulatory activities. Following a shutdown or funding change, regulatory backlogs and resource constraints may continue for extended periods. As a result, our ability to obtain timely regulatory approvals, clearances, or authorizations for new or modified products may be delayed or impaired, which could postpone product launches, increase development costs, require additional studies or data, or prevent products from being commercialized. Our regulatory risk is further heightened by the FDA’s increasing workload, evolving oversight priorities, and constraints on its ability to hire and retain experienced personnel. Reduced staffing or funding at the FDA or other agencies may limit their capacity to meet performance goals, conduct inspections, or provide timely guidance, which could adversely affect our development timelines and commercial plans.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Privacy, Security and Breach Notification Regulations May Increase the Company's Costs.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the Health Insurance Portability and Accountability Act of 1996, as amended (“HIPAA”) has generally affected the Company indirectly, as the Company is generally neither a Covered Entity nor a Business Associate, as further defined under HIPAA, to Covered Entities. The Company has in place certain administrative, technical and physical safeguards to protect the privacy and security of consumers’ personal information and endeavors to comply with all applicable state and federal laws with respect to the protection of consumers’ personal information. The Company is required to comply with varying state privacy, security and breach reporting laws. If it does not comply with existing or new laws and regulations related to properly transferring data containing consumers’ personal information, it could be subject to monetary fines, civil penalties or criminal sanctions. In addition to other federal and state laws that protect the privacy and security of consumers’ personal information, the Company may be subject to enforcement and interpretations by various governmental authorities and courts resulting in complex compliance issues. Moreover, the potential for enforcement action against the Company is now greater, as the U.S. Department of Health and Human Services (HHS) can take action directly against Business Associates. Thus, while the Company believes it is and will be in compliance with all required HIPAA standards, there is no guarantee that the government will agree. Enforcement actions can be costly and interrupt regular operations of the Company's business. For example, it could incur damages under state laws pursuant to an action brought by a private party for the wrongful use or disclosure of consumers’ personal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Data Protection Requirements or Privacy Laws Could Increase the Company's Costs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European data protection regulations where it collects and uses personal data related to Europe. This includes the EU General Data Protection Regulation (“EU GDPR”) as well as other national data protection legislation in force in relevant European Economic Area (“EEA”) member states, and the EU GDPR in such form as incorporated into the laws of the UK ("UK GDPR", together with EU GDPR, "GDPR"), which govern the collection, use, storage, disclosure, transfer, or other processing of personal data: (i) regarding individuals in the EEA; and/or (ii) carried out in the context of the activities of the Company's establishment in any EEA member state. Failure to comply with the GDPR, and any supplemental European Economic Area (“EEA”) country’s national data protection laws which may apply by virtue of the location of the individuals whose personal data the Company collects, may result in fines and other administrative penalties, including fines of up to the greater of 4% of worldwide turnover and €20 million (or £17.5 million in the UK). The GDPR also confers a private right of action on data subjects and consumer associations to lodge complaints with supervisory authorities, seek judicial remedies, and obtain compensation for damages resulting from violations of the GDPR. The GDPR imposes several mandatory requirements on companies that process personal data, including requirements relating to the processing of special category personal data (such as health sensitive data), ensuring a legal basis or condition applies to the processing of personal data, which may include obtaining the consent of the individuals to whom the personal data relates, providing notice to individuals about personal data processing activities, having data processing agreements with third parties who process personal data, notification of personal data breaches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protection authorities and individuals, and the implementing of safeguards to protect the security and confidentiality of the personal data. The GDPR also imposes strict rules on the transfer of personal data out of the EEA/UK to third countries, including the United States in certain circumstances, unless a derogation exists or a valid GDPR transfer mechanism (for example, the European Commission approved Standard Contractual Clauses, or SCCs, or the EU-US Data Privacy Framework) applies. Any inability to transfer personal data from the EEA/UK to the United States in compliance with data protection laws may impede the Company's ability to conduct trials and may adversely affect its business and financial position.</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European Commission has issued a decision recognizing the UK as providing adequate protection under the EU GDPR (the “Adequacy Decision”) ensuring transfers of personal data originating in the EEA to the UK remain unrestricted. The UK government has also confirmed personal data transfers from the UK to the EEA remain free flowing. Despite Brexit, the UK and EEA data protection regimes remain largely aligned. However, there is increasing risk of divergence in application, interpretation and enforcement of these data protection regimes, creating additional regulatory uncertainty. For example, the UK Data (Use and Access) Act 2025 (“UK Act”), now in force, further differentiates the UK’s data protection regime from the EEA.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concerns around the UK’s adequacy for transfers of EU personal data, uncertainty remains regarding how UK data protection laws will evolve in the medium to longer term. The lack of clarity on future UK laws and their interaction with EU laws and regulations may affect the Company’s efforts to maintain a harmonized approach to processing European personal data and expose the Company to two parallel regimes where the UK GDPR and EU GDPR both apply with differing interpretation and enforcement approaches. This could increase the Company’s legal risk and compliance cost associated with the handling of European personal data, and may require the Company to adapt its privacy and data security compliance programs to account for legal and regulatory divergence between the UK and EEA. In addition, EEA Member States have adopted national laws to implement the GDPR that may partially deviate from the GDPR. Further, the competent authorities in the EEA Member States may interpret GDPR obligations slightly differently from country to country, such that the Company may be unable to operate in a uniform legal landscape across the EEA.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Complying with the enhanced obligations imposed by the GDPR imposes additional obligations and risk upon the Company's business, and may result in</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costs to its business and require it to amend certain of its business practices. Further, the Company has no assurances that violations will not occur, particularly given the complexity of the GDPR.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is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Entities that are found to be in violation of HIPAA may be subject to significant civil, criminal and administrative fines and penalties and/or additional reporting and oversight obligations. Even when HIPAA does not apply,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also subject to the California Consumer Privacy Act (“CCPA”), which creates individual privacy rights and places stringent privacy and security obligations on businesses covered by the law, including obligations to provide detailed disclosures to California consumers about their data collection, use and sharing practices and provide such consumers with ways to opt out of certain uses of sensitive personal information, including health information. It also provides for civil penalties for violations and allows for a private right of action for data breaches that is expected to increase data breach litigation. The law also created a new state regulatory agency that was vested with authority to implement and enforce the CCPA. Failure to comply with the CCPA or other data processing or security laws, or any changes in these laws, could adversely impact the Company's business and its business plans. Similar laws have been passed and proposed in other states and at the federal level, and if passed, such laws may have potentially conflicting requirements that would make compliance challenging. In addition to these comprehensive consumer privacy laws and proposals, a number of other states have passed or proposed more limited privacy laws that focus on specific privacy issues such as biometric data and the privacy of health and medical information, such as Washington state’s My Health My Data Act, which went into effect in March 2024.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The effects of state and federal privacy laws are potentially significant and may require us to modify our data processing practices and policies and to incur substantial costs and potential liability in an effort to comply with such legislation.</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privacy and data security laws, we may be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publish privacy policies, and we may publish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laws and regulations that govern sending marketing and advertising by electronic means, such as email and telephone. For example, in the United States, the Controlling the Assault of Non-Solicited Pornography and Marketing Act of 2003 (the “CAN-SPAM Act”), among other things, obligates the sender of commercial emails to provide recipients with the ability to opt out of receiving future commercial emails from the sender. In addition, the Telephone Consumer Protection Act (the “TCPA”) imposes certain notice, consent, and opt-out obligations on companies that send telephone or text communications using automatic telephone dialing systems, or artificial or prerecorded voice to consumers, and provides consumers with private rights of action for violations. The FCC and the FTC have responsibility for regulating various aspects of these laws. Among other requirements, the TCPA requires us to obtain prior express written consent for certain telemarketing calls. Many states have similar consumer protection laws regulating telemarketing. These laws limit our ability to communicate with potential customers and reduce the effectiveness of our marketing programs. For violations of the TCPA, the law provides for a private right of action under which a plaintiff may recover monetary damages of $500 for each call or text made in violation of the prohibitions on calls made using an “artificial or pre-recorded voice” or an automatic telephone dialing system. Various state law equivalents of the TCPA may also provide for monetary damages in amounts greater than those provided for under the TCPA. An action may be brought by the FCC, a state attorney general, an individual, or a class of individuals. If in the future we are found to have violated the TCPA, or a state law equivalent, the amount of damages and potential liability could be extensive and adversely impact our business. Accordingly, were such a class certified or if we are unable to successfully defend such a suit, then TCPA or other state law damages could have a material adverse effect on our results of operations and financial condition.</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there has been increasing public and regulatory scrutiny of the use of cookies by companies in the healthcare space. For example, the FTC has brought enforcement actions against online healthcare services and service providers, and there has been an increase in litigation alleging the unauthorized collection and sharing of sensitive health information in violation of federal and state privacy laws. While we do not collect HIPAA-regulated PHI via the use of cookies on our websites, and we believe our use of cookies on those websites complies with all applicable laws, we may from time to time receive public or regulatory inquiries about our use of tracking technologies. Continued regulation of cookies, changes in the interpretation and enforcement of existing laws and regulations, and increased scrutiny of the use of cookies by healthcare technology companies could restrict our ability to engage in certain activities or require changes to our practices. If we are believed or found to have not complied with our obligations under applicable laws, we may also be subject to litigation, substantial financial penalties, injunctive actions and reputational harm. All of the above could impact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Or In Their Implementation Or Interpretation May Adversely Affect Us Or Our Investors.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including with respect to net operating losses and research and development tax credits, could adversely affect us or holders of our common stock. In recent years, many changes have been made and changes are likely to continue to occur in the future. For example, recent legislation that was signed into law on July 4, 2025 made significant changes to U.S. federal tax law.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2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Use of New And Evolving Technologies, Such As Artificial Intelligence (“AI”), In Our Offerings May Present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use and integrate AI into our business practices, including through the adoption of commercially available tools. The evolving nature of AI technologies and the surrounding legal and regulatory environment presents risks and uncertainties related to cybersecurity, data privacy, IT, intellectual property, regulatory, legal, operational, competitive, and reputational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 The use of AI technology can give rise to intellectual property risks, including disclosures or other compromises to proprietary intellectual property and intellectual property infringement, or by undermining our ability to assert or defend ownership rights in intellectual property created with the assistance of AI tools.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Europe, the EU begin implementing the Artificial Intelligence Act (“AI Act”) on August 1, 2024, with a significant part of the law scheduled to come into effect in August 2026. As currently enacted, the AI Act, which may be amended as part of the EU’s Digital Omnibus, which entered into force on August 1, 2024 and, with some exceptions, will begin to apply as of August 2, 2026, imposes significant obligations on providers and deployers of high-risk artificial intelligence systems, and encourages providers and deployers of artificial intelligence systems to account for EU ethical principles in their development and use of these systems. If we develop or deploy AI systems that are governed by these laws and regulations, we may be required to adopt higher standards of data quality, transparency, and human oversight, and adhere to specific and potentially burdensome and costly ethical, accountability, and administrative requirements. Even in the absence of dedicated AI laws and regulations, we may be subject to novel legal and business risks relating to our adoption of these new technologies. In addition, the use of generative AI models in our internal or third-party systems may create new attack surfaces or methods for adversaries, which could impact us and our vendors.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Regulation of Laboratory-Developed Tests and Genetic Testing Could Affect Demand For the Company's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the FDA has taken the position that it has regulatory authority over laboratory-developed tests ("LDTs"), but has exercised enforcement discretion in not regulating most LDTs performed by high complexity CLIA-certified laboratories. LDTs are tests designed, developed, and performed in-house by a laboratory. Such laboratories are subject to regulation under CLIA but have not been subject to regulation by the FDA under the agency’s medical device requirements. A significant portion of the total volume of genetic or molecular testing is performed with LDTs.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mid-2010, the FDA announced that it would begin regulating LDTs, including laboratory developed molecular tests, and in October 2014 issued proposed guidance on the regulation of LDTs for public comment. On January 13, 2017, the FDA released a discussion paper synthesizing public comments on the 2014 draft guidance documents and outlining a possible approach to regulation of LDTs. The discussion paper has no legal status and does not represent a final version of the LDT draft guidance documents. The FDA worked with regulatory advocacy groups to bring forward legislative approaches specifically for in vitro diagnostic tests including LDTs. For example, in 2021, the Verifying Accurate, Leading-edge, IVCT Development ("VALID") Act was introduced to Congress and provided a framework to change IVDs and LDTs to in vitro clinical tests ("IVCTs"). The proposed regulation would give the FDA oversight of LDTs once it becomes law. In 2022, the VALID Act was incorporated into the Senate user fee bill but was not included in the year-end Consolidated Appropriations Act of 2022. Subsequently, the VALID Act was introduced to Congress again in March 2023.</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29, 2024, the FDA published a final rule on LDTs, in which FDA outlines its plan to end enforcement discretion for many LDTs in five stages over a four-year period. However, in March 2025, a federal district court judge issued a decision that vacated the FDA’s final rule on the grounds that the FDA did not have authority under the FDCA to promulgate it because LDTs do not fall within the statutory definition of “device.” This district court ruling was not appealed, and the FDA’s final rule will no longer be implemented or enforced by the FDA.</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Stakeholders continue to press for a comprehensive legislative solution to create a harmonized paradigm for oversight of LDTs by both the FDA and CMS, although it is unclear whether any future legislative efforts towards such a goal would be successful. The outcome and ultimate impact on our business of any future changes to the federal government’s regulation of LDTs via legislative enactments is difficult to predict.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subsidiary, DNAG, sells its DNA collection systems to certain laboratories and other customers for use with LDTs. The FDA’s increased regulation of LDTs could make it more difficult for laboratories and other customers to continue offering LDTs that involve genetic or molecular testing. This, in turn, could increase costs, delay the introduction of new LDTs and reduce demand for DNAG’s products and adversely impact the Company's revenues.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the Department of Justice indicted a number of telemedicine companies and cancer genetic testing laboratories for allegedly submitting fraudulent insurance claims to Medicare. In the past, a number of these companies were purchasing DNAG products. As a result of these activities, the FDA has issued letters to genetic testing laboratories indicating that it plans to increase oversight of this market which has caused some of these companies to stop providing testing options or to change how they are reporting the information provided by the testing. The activities have negatively affected this market and, should these enforcement actions continue despite the district court's ruling on FDA's final rule on LDT's, there is a risk that these enforcement actions will continue to negatively affect this market by forcing laboratories to either stop offering such services or restricting the use of such services. Such a reduction in testing could result in decreased sales of the Company's DNA collection devices.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International Sales Create Potential Exposure Under Anti-Corruption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policy in place prohibiting its employees, distributors and agents from engaging in corrupt business practices, including activities prohibited by the FCPA and similar foreign laws. In 2025, approximately $36.8 million of the Company's consolidated net revenues were generated from sales in a variety of foreign countries. These international activities subject the Company to the FCPA, the U.K. Bribery Act and other laws that prohibit improper payments or offers of payments to foreign governments and their officials and political parties by business entities for the purpose of obtaining or retaining business. The Company has operations, enters into agreements with third parties, and makes sales in countries known to experience corruption. Further international expansion, including the acquisition of foreign entities, may create increased exposure to such practices. The Company's activities in these countries creates the risk of unauthorized payments or offers of payments by one of the Company's employees, consultants, sales agents or distributors that could be in violation of various laws, including the FCPA, even though these parties are not always subject to the Company's control. It is the Company's policy to implement safeguards to discourage these practices by its employees and distributors, including employee training, contracts requiring compliance with the FCPA and similar rules, and standard reviews of its distributors. However, the Company's existing safeguards and any future improvements may not prove to be effective, and its employees, consultants, sales agents or distributors may engage in conduct for which the Company might be held responsible. Violations of the FCPA and other laws may result in criminal or civil sanctions, which could be severe and the Company may be subject to other liabilities, which could negatively affect its reputation,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Economy, the Company's Financial Results, Investments, and Need for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Has Experienced Losses in the Past and May Not Be Able to Again Achieve and Maintain Profitable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experienced annual net losses during the five years prior to 2015, between 2020 through 2022 and again recorded net losses for the years ended December 31, 2024 and 2025. In addition, as of December 31, 2025, the Company had an accumulated deficit of $172.2 million. Even though the Company achieved profitability in 2015 through 2019 and in 2023, there can be no assurance that it will be able to achieve or sustain profitability in the future.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ability to achieve and continue profitable operations in the future will be dependent upon a number of factors including, without limitation, the following:</w:t>
      </w:r>
    </w:p>
    <w:p>
      <w:pPr>
        <w:spacing w:after="0" w:line="54" w:lineRule="exact"/>
        <w:rPr>
          <w:sz w:val="20"/>
          <w:szCs w:val="20"/>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growing sales of its sample management solutions and related genomic and microbiome laboratory services;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commercialize its products in the United States and internationally;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the Company operates;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buying patterns or a buildup of significant quantities in the Company's distributors’ inventories or distribution channels;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expenditures the Company is required to make in order to develop, obtain regulatory approvals for and successfully commercialize its new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its business through the acquisition of other companies or technologies or through internal development of new or improved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realize revenues and other anticipated benefits from its acquisitions and strategic transactions;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improve manufacturing efficiencies and reduce cost of goods sold;</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launch new products after receipt of required regulatory approvals or the acquisition of rights to those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the Company's major distributors and customers comply with their contractual obligations, including minimum purchase commitments;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or entities in which it invests are successful in obtaining and maintaining required regulatory approvals and registrations for its new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including the degree to which competitors sell lower priced products or more attractive offerings to compete with the Company's products;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 domestic or international markets, such as economic downturns, reduced demand, inflation, currency fluctuations and tariffs;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instability and conflicts, such as terrorism, civil unrest, war and natural disasters in foreign countries;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Company's revenue growth targets; and</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patent infringement, product liability and other litigation or claims asserted by or against the Company.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Recent Volatility In Capital Markets and Lower Market Prices For the Company's Securities May Affect Its Ability to Access New Capital Through Sales of Shares of Its Common Stock or Issuance Of Indebtedness, Which May Materially Harm Its Liquidity, Limit Its Ability to Grow Its Business, Pursue Acquisitions or Improve Its Operating Infrastructure and Restrict Its Ability to Compete in Its Markets</w:t>
      </w:r>
      <w:r>
        <w:rPr>
          <w:rFonts w:ascii="Times New Roman" w:cs="Times New Roman" w:eastAsia="Times New Roman" w:hAnsi="Times New Roman"/>
          <w:sz w:val="18"/>
          <w:szCs w:val="18"/>
          <w:b w:val="1"/>
          <w:bCs w:val="1"/>
          <w:i w:val="1"/>
          <w:iCs w:val="1"/>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consume substantial amounts of cash, and it intends to continue to make significant investments to support its business growth, respond to business challenges or opportunities, develop new solutions, retain or expand its current levels of personnel, improve its existing solutions, enhance its operating infrastructure, and potentially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complementary businesses and technologies. The Company's future capital requirements may be significantly different from its current estimates and will depend on many factors, including the need to:</w:t>
      </w:r>
    </w:p>
    <w:p>
      <w:pPr>
        <w:spacing w:after="0" w:line="54" w:lineRule="exact"/>
        <w:rPr>
          <w:sz w:val="20"/>
          <w:szCs w:val="20"/>
          <w:color w:val="auto"/>
        </w:rPr>
      </w:pPr>
    </w:p>
    <w:p>
      <w:pPr>
        <w:ind w:left="2100" w:hanging="958"/>
        <w:spacing w:after="0"/>
        <w:tabs>
          <w:tab w:leader="none" w:pos="2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its technological infrastructure and its existing solutions;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the Company may need to pursue equity or debt financing to meet its capital needs. With uncertainty in the capital markets and other factors, such financing may not be available on terms favorable to the Company or at all. If the Company raises additional funds through further issuances of equity or convertible debt securities, its existing stockholders could suffer significant dilution, and any new equity securities the Company issues could have rights, preferences, and privileges superior to those of holders of its common stock. Any debt financing secured by the Company in the future could involve additional restrictive covenants relating to its capital-raising activities and other financial and operational matters, which may make it more difficult for it to obtain additional capital and to pursue business opportunities, including potential acquisitions. If the Company is unable to obtain adequate financing or financing on terms satisfactory to it, the Company could face significant limitations on its ability to invest in its operations and otherwise suffer harm to its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Rising Inflation Rates Could Negatively Impact the Company's Revenues and Profitability if Increases in the Prices of Its Products or a Decrease in Consumer Spending Results in Lower Sales. In Addition, if the Company's Costs Increase and the Company Is Not Able to Pass Along These Price Increases to Its Customers, Its Net Income Would Be Adversely Affected, and the Adverse Impact May Be Material.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 rates, particularly in the United States, increased in recent years and continue to be subject to volatility. Increased inflation may result in decreased demand for the Company's products and services, increased operating costs (including the Company's labor costs), reduced liquidity, and limitations on its ability to access credit or otherwise raise debt and equity capital. In addition, the United States Federal Reserve previously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the Company may be unable to raise the sales prices of its products at or above the rate at which its costs increase, which could/would reduce its profit margins and have a material adverse effect on its financial results and net income. The Company may also experience lower than expected sales and potential adverse impacts on its competitive position if there is a decrease in consumer spending or a negative reaction to its pricing. A reduction in the Company's revenue would be detrimental to its profitability and financial condition and could also have an adverse impact on its future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Geopolitical and Economic Risk and Tariffs Could Negatively Affect Our Ability to Maintain Sales at Existing Levels</w:t>
      </w:r>
    </w:p>
    <w:p>
      <w:pPr>
        <w:spacing w:after="0" w:line="256"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Geopolitical and macroeconomic developments, including the imposition or expansion of tariffs, non-tariff barriers and trade restrictions, or other protectionist measures have contributed to increased uncertainty and volatility in global markets. These actions could increase the cost of materials, components, or finished goods, make it more difficult for us to attract new customers, retain existing customers, continue to produce and source in an optimal manner, maintain our supply chain, or maintain sales at existing levels, both in the United States and in other countries. Trade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measures have in the past, and may in the future change with limited notice and could be accompanied by retaliatory actions by other countries. Geopolitical and economic risks, together with trade protectionism have increased over the past few years in many regions of the world, including in the United States. Any of these risks, ensuing retaliation, or the further deterioration of trade relations between countries could make our offerings more expensive or non-competitive in the affected countries.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business results, cash flows, financial condition, or prospects. Changes in political leadership, statutory frameworks, or regulatory policy in the United States and abroad may further affect the interpretation, implementation, or enforcement of laws and regulations applicable to our business. If regulatory disruptions, staffing constraints, funding limitations, or trade actions continue or intensify, our business, financial condition, results of operations, and prospects could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Impairment of Goodwill and Intangible Assets Could Reduce the Company's Earnings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2025, the Company's consolidated balance sheet reflected approximately $43.4 million of goodwill and approximately $19.0 million of intangible assets. Goodwill is recorded when the purchase price of a business exceeds the fair value of the tangible and separately measurable intangible net assets. U.S. generally accepted accounting principles (“U.S. GAAP”) require the Company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The impairment review often cannot be done at the level of the individual asset and it must instead be applied to a group of assets. For the purpose of the Company's annual goodwill impairment testing based on the current circumstances of how the Company manages or business, this group of assets is the Company as a whole. If the Company determines that any of its goodwill or intangible assets were impaired, it will be required to take an immediate charge to earnings and its results of operations could be adversely affected. The Company recognized a pre-tax impairment charge of $8.5 million related to intangible assets during the year ended December 31, 2023, which is reported in loss on impairments in the Company's consolidated statement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Could Negatively Affect the Company's Operating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statements are stated in U.S. dollars and, historically, most of its international sales have also been denominated in U.S. dollars. As a result, in the past the Company's exposure to foreign currency exchange rate risk has not been material. Nonetheless, these sales are subject to currency risks since changes in the values of foreign currencies relative to the value of the U.S. dollar can render the Company's products comparatively more expensive. These exchange rate fluctuations could negatively impact international sales of the Company's products, as could changes in the general economic conditions in those markets.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revenues and expenses of the Company's subsidiary, DNAG, are recorded in Canadian dollar. Revenues and expenses denominated in foreign currencies are translated into U.S. dollars for purposes of reporting consolidated financial results. The Company's expectation is that the businesses of its foreign subsidiary will continue to grow and its exposure to foreign currency exchange rates may be more significant than in past years.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Exchange rate fluctuations may affect the revenues and expenses of the Company's foreign subsidiary and the translation of those financial results into U.S. dollars. Favorable movement in exchange rates have benefited the Company in prior periods. However, where there are unfavorable currency exchange rate fluctuations, the Company's consolidated financial statements including its balance sheet, revenues and results of operations, could be negatively affected. In addition, fluctuations in exchange rates could affect year-to-year comparability of operating results. In the past, the Company has not generally entered into hedging instruments to manage its currency exchange rate risk, but it may need to do so in the future. However, the Company's attempts to hedge against these risks may not be successful. If the Company is unable to successfully hedge against unfavorable foreign currency exchange rate movements, its consolidated financial results may be adversely impacted.</w:t>
      </w:r>
    </w:p>
    <w:p>
      <w:pPr>
        <w:spacing w:after="0" w:line="18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Risks Relating to the Company's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Stock Price Could Continue to be Volatile.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 price has been volatile, has fluctuated substantially in the past, may be volatile in the future and could experience substantial declines. The following factors, among others, could have a significant impact on the market for the Company's Common Stock:</w:t>
      </w:r>
    </w:p>
    <w:p>
      <w:pPr>
        <w:spacing w:after="0" w:line="50" w:lineRule="exact"/>
        <w:rPr>
          <w:sz w:val="20"/>
          <w:szCs w:val="20"/>
          <w:color w:val="auto"/>
        </w:rPr>
      </w:pPr>
    </w:p>
    <w:p>
      <w:pPr>
        <w:ind w:left="2120" w:hanging="978"/>
        <w:spacing w:after="0" w:line="237"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business, including its efforts to increase sales of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HCV and sample management solutions and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w:t>
      </w:r>
    </w:p>
    <w:p>
      <w:pPr>
        <w:spacing w:after="0" w:line="20"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the Company and its products or services, including with respect to significant acquisitions, strategic collaborations and joint ventures;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the expected benefits, enhanced revenue growth and synergies from strategic acquisitions, including the Company's recent acquisition of Sherlock;</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results with respect to the Company's products or services or those of its competitors;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clinical studies and pending submissions for required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regulatory or enforcement actions by the FDA or other agencies against the Company, its products or services, or one or more of its customers;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contracts and availability of funding for the purchase of the Company's products and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regulatory approval or commercialization of new or enhanced products or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 and industry or competitive trends;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Biological or medical discoveries;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developments with key customers, distributors or suppliers;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threatened litigation;</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Complaints or concerns about the performance or safety of the Company's products and publicity about those issues, including publicity expressed through social media or otherwise over the internet;</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or changes in, financial estimates by securities analysts and comments or opinions about the Company by securities analysts or major stockholders;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competition;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declines in sales to major distributors or customers or changes in the mix of products sold;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the Company's operating results;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those related to inflation, interest rates, tariffs and foreign currency exchange rates; and</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civil unrest, war and national disasters, including pandemics.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has experienced extreme price and volume fluctuations that have affected the market price of the Company's Common Stock, as well as the stock of many companies in the diagnostics and life sciences industries. Often, price fluctuations are unrelated to the operating performance of the specific companies whose stock is affected.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stock, securities class action litigation has occurred against the issuing company. If the Company were subject to this type of litigation in the future, it could incur substantial costs and experience a subsequent diversion of management’s attention and resources, each of which could have a material adverse effect on the Company's revenue and earnings. Any adverse determination in this type of litigation could also subject the Company to significant liabilities.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Share Repurchases Could Increase the Volatility of the Trading Price of Our Common Stock and Diminish Our Cash Reserves, and We Cannot Guarantee That Our Stock Repurchase Program Will Enhance Long-Term Stockholder Value.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21, 2025, our Board authorized the repurchase of up to $40.0 million in shares of our common stock pursuant to a stock repurchase program (the “Repurchase Program”). The Repurchase Program does not obligate us to repurchase any minimum dollar amount or number of shares, and can be modified, terminated or suspended at any time. Repurchases of shares of our common stock could affect the trading price of our common stock and increase volatility of such securities. Similarly, the future announcement of the modification, suspension or termination of the Repurchase Program, or our decision not to utilize the full authorized repurchase amount under the Repurchase Program, could result in a decrease in the trading price of our common stock. In addition, the Repurchase Program could have the impact of reducing our cash reserves, which may impact our ability to finance our growth, fund working capital, strategic acquisitions or business opportunities, and other general corporate purposes and execute our strategic plan. Although the Repurchase Program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intended to enhance long-term stockholder value, there can be no assurance that it will do so because the trading price of our common stock may decline below the levels at which we repurchased our shares and short-term stock price fluctuations could reduce the effectiveness of the Repurchase Program.</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the Company's Common Stock by Existing Stockholders, Executive Officers or Directors Could Depress the Market Price of Its Common Stock and Make It More Difficult for the Company to Sell Stock in the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the Company's Common Stock in the public market, or the perception that such sales may occur, could negatively impact the market price of its Common Stock. The Company is unable to estimate the number of shares of its Common Stock that may actually be resold in the public market since this will depend on the market price for its Common Stock, the individual circumstances of the sellers and other factors.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number of institutional stockholders that own significant blocks of its Common Stock. If one or more of these stockholders sell large portions of their holdings in a relatively short time, for liquidity or other reasons, the prevailing market price of the Company's Common Stock could be negatively affected. In addition, it is possible that one or more of the Company's executive officers or non-employee members of its Board of Directors could sell shares of its Common Stock during an open trading window or pursuant to a 10b5-1 sales plan under the Company's Insider Trading Policy. These transactions and the perceived reasons for these transactions could have a negative effect on the prevailing market price of the Company's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the Company Does Not Intend to Pay Cash Dividends on Its Common Stock, an Investor in the Company's Common Stock Will Benefit Only if the Its Common Stock Appreciates in Value.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intends to retain its current earnings and future earnings, if any, to finance the expansion of its business and does not expect to pay any cash dividends on its Common Stock in the foreseeable future. As a result, the success of an investment in the Company's Common Stock will depend entirely upon any future appreciation. There is no guarantee that OraSure's Common Stock will appreciate in value or even maintain the price at which investors purchased their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Provisions in the Company's Certificate of Incorporation and Bylaws and Under Delaware Law Could Make a Third-Party Acquisition of the Company Difficult.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and Bylaws contain provisions that could make it more difficult for a third party to acquire it, even if doing so would be beneficial to the Company's stockholders. The Company is also subject to certain provisions of Delaware law that could delay, deter or prevent a change in control of it. These provisions could limit the price investors might be willing to pay in the future for shares of the Company's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Negatively Affected as a Result of Actions of Activist Stockholders.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value open dialogue and input from our stockholders, activist stockholders could take actions that could adversely affect our business. Specifically, responding to common actions of an activist stockholder, such as requests for potential nominations of candidates for election to our Board of Directors, requests to pursue a strategic combination, or other transaction or other special requests, could disrupt our operations, be costly and time-consuming, or divert the attention of our management and employees. In addition, perceived uncertainties as to our future direction in relation to the actions of an activist stockholder may result in the loss of potential business opportunities or the perception that we are unstable as a company, which may make it more difficult to attract and retain qualified employees. Our ability to continue to commit to our mission, guiding principles, and culture may also be questioned, which could impact our ability to attract and retain business. Actions of an activist stockholder may also cause fluctuations in our stock price based on speculative market perceptions or other factors that do not necessarily reflect the underlying fundamentals and prospects of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Face Product Liability Claims for Injuries Resulting From the Use of Its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held liable if any of its products, or any product which is made with the use or incorporation of any of its technologies, causes injury of any type or is found otherwise unsuitable during product testing,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marketing, sale or usage. There is no assurance that the Company would be successful in defending any product liability lawsuits brought against it. Moreover, there is no assurance that the Company's products will not be included in unethical, illegal or inappropriate research or applications, which may in turn put the Company at risk of litigation. Regardless of merit or eventual outcome, product liability claims could result in:</w:t>
      </w:r>
    </w:p>
    <w:p>
      <w:pPr>
        <w:spacing w:after="0" w:line="68" w:lineRule="exact"/>
        <w:rPr>
          <w:sz w:val="20"/>
          <w:szCs w:val="20"/>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revenues;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image or reputation;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litigation;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liability insurance costs;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damages payable to plaintiffs.</w:t>
      </w:r>
    </w:p>
    <w:p>
      <w:pPr>
        <w:spacing w:after="0" w:line="2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is selling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the United States OTC market, and it offers HIV Self-Tests to consumers internationally. The Company believes the sale of products for use by consumers increases its potential exposure to product liability and other claims.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of the Company's Products May Affect Its Revenues, Stock Price and Reputation.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products are generally sold with labeling that contains performance claims approved or cleared by the FDA or other regulators. However, the Company's products may not perform as expected. For example, a defect in one of the Company's diagnostic or specimen collection products or a failure by a customer to follow proper testing procedures, may cause the product to report inaccurate information such as a false positive result or a false negative result. A false positive or negative result can also occur even when there is no apparent product defect and the customer has apparently used the Company's product properly. Identifying the root cause of a product performance or quality issue can be difficult and time consuming.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Company's products fail to perform in accordance with the applicable label claims or otherwise in accordance with the expectations or needs of its customers, customers may switch to a competing product or otherwise stop using the Company's products, and the Company's revenues could be adversely affected. Under such circumstances, the Company may be required to implement shipment holds or product recalls and incur warranty obligations, which would increase its costs. In addition, poor performance by one or more of the Company's products and publicity surrounding such performance could have an adverse effect on the Company's reputation, its continuing ability to sell products and the prevailing market price of its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the Company's Financial and Strategic Objectives Could Have a Material Adverse Impact on Its Business Prospects.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any number of risk factors identified in this Annual Report, no assurance can be given that the Company will be successful in implementing its financial and strategic objectives, including its efforts to increase sales of its products and services or continue growing its business. In addition, the funds for research, clinical development and other projects have in the past come primarily from the Company's business operations. If the Company's business slows and it has less money available to fund research and development and clinical programs, it will have to decide at that time which programs to cut, and by how much. Similarly, if adequate financial, personnel, equipment or other resources are not available, the Company may be required to delay or scale back its business. The Company's operations will be adversely affected if its total revenue and gross profits do not correspondingly increase or if its technology, product, service, clinical and market development efforts are unsuccessful or delayed. Furthermore, the Company's failure to successfully introduce new or enhanced products and services and develop new markets could have a material adverse effect on its business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Fails To Establish and Maintain Proper And Effective Internal Control Over Financial Reporting, Its Operating Results and Its Ability to Operate Its Business Could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Ensuring that the Company has adequate internal financial and accounting controls and procedures in place so that it can produce accurate financial statements on a timely basis is a costly and time-consuming effort that needs to be re-evaluated frequently. The Company is required to comply with the requirements of the Sarbanes-Oxley Act of 2002, or SOX, which requires that it maintain effective internal control over financial reporting and disclosure controls and procedures.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particular, the Company must perform system and process evaluation, document its controls and perform testing of its key controls over financial reporting to allow management and its independent public accounting firm to report on the effectiveness of its internal control over financial reporting, as required by Section 404 of SOX. The Company's testing, or the subsequent testing by its independent public accounting firm, may reveal deficiencies in its internal control over financial reporting that are deemed to be material weaknesses. For instance, management identified a material weakness in the Company's internal control over financial reporting related to customer pricing in the revenue recognition process and concluded that its disclosure controls and procedures were not effective due to the existence of the material weakness as of September 30, 2023, which has since been remediated.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Company Loses Key Personnel or Is Unable to Attract and Retain Qualified Personnel as Necessary, Its Business Could be Harmed.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success depends to a large extent upon the contributions of its executive officers, management and sales, marketing, operations and scientific staff. The Company's business may be harmed by the loss of a significant number of its executive officers or senior managers. It may not be able to attract or retain a sufficient number of qualified employees in the future due to the intense competition for qualified personnel among medical products, laboratory services and other life science businesses. The Company's ability to recruit such employees will depend on a number of factors, including compensation, benefits, work location, the prospects of the Company, and the possibility for advancement within the organization. The Company generally does not enter into employment agreements requiring its employees to work for it for any specified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not able to attract and retain the necessary personnel to accomplish its business objectives, it may experience constraints that will adversely affect its ability to effectively produce, market and sell its products and services, to meet the demands of its strategic partners in a timely fashion, or to support research, development and clinical programs. Although the Company believes it will be successful in attracting and retaining qualified personnel, competition for experienced scientists and other qualified personnel from numerous companies and academic and other research institutions may limit its ability to do so on acceptable terms.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a number of significant changes in its senior leadership in recent years and faces risks related to losses of key personnel and to any such changes that occur in key senior leadership positions. Although the Company has endeavored to implement any management and director transition in a non-disruptive manner, such transitions might impact its business, and give rise to uncertainty among its customers, investors, vendors, employees and others concerning its future direction and performance, which may materially and adversely affect its business, financial condition, results of operations and cash flows, and its ability to execute its business model. The Company can provide no assurance that it will find suitable successors to key roles as transitions occur or that any identified successor will be successfully integrated into the management team.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because certain members of the Company's management and board of directors have served in their respective capacities for only limited durations, the Company faces the additional risks that these persons have limited familiarity with the Company's past practices, its business and its industry and lack established track records in managing its business strategy.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Increases in Demand for the Company's Products and Services Could Require It to Expend Considerable Resources or Harm Its Customer Relationships if It Is Unable to Meet That Demand.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experiences significant or unexpected increases in the demand for its products and services, the Company and its suppliers may not be able to meet that demand without expending additional capital resources. These capital resources could involve the cost of new products, machinery or new manufacturing or laboratory facilities. This would increase the Company's capital costs, which could adversely affect its earnings. The Company's suppliers may be unable or unwilling to expend the necessary capital resources or otherwise expand their capacity. In addition, new manufacturing or laboratory equipment and facilities may require FDA approval or government or industry certification before they can be used to manufacture the Company's products or provide laboratory services. To the extent the Company is unable to obtain or is delayed in obtaining such approvals, its ability to meet the demand for its products and services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develop necessary manufacturing or laboratory capabilities in a timely manner, its sales could be adversely affected. If the Company fails to increase these capabilities in a cost effective manner or if it experiences lower than anticipated yields or production or performance problems as a result of changes that it makes in its manufacturing or laboratory processes to meet increased demand, it could experience delays or interruptions and increased costs, which could also have a material adverse effect on its revenues and profitability.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Unexpected increases in demand for the Company's products may require it to obtain additional raw materials in order to manufacture products to meet the demand. Some raw materials require significant ordering lead time and some are currently obtained from a sole supplier or a limited group of suppliers. The Company has long-term supply agreements with certain of these suppliers, but these long-term agreements involve risks for the Company, such as its potential inability to obtain an adequate supply of raw materials and components and its reduced control over pricing, quality and timely delivery. It is also possible that one or more of these suppliers may become unwilling or unable to deliver materials to the Company. Any shortfall in the Company's supply of raw materials and components, or its inability to quickly and cost-effectively obtain alternative sources for this supply, could have a material adverse effect on its ability to meet increased demand for its products. This could negatively affect the Company's total revenues or cost of sales and related profits.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inability to meet customer demand for its products and services could also harm its customer relationships and impair its reputation within the industry. This, in turn, could have a material adverse effect on the Company's business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Relies on Information Technology in Its Operations and Any Material Failure, Inadequacy, Interruption or Security Breach of that Technology Could Harm Its Ability to Efficiently Operate Its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relies heavily on enterprise resource planning and other complex information technology systems across its operations and on the internet, including for management of inventory, purchase orders, invoices, shipping, revenue and expense accounting, online business, consumer call support, and various other processes and transactions. The Company's ability to effectively manage its business, coordinate the production, distribution and sale of its products, process and analyze specimens in its laboratories, respond to customer inquiries, and ensure the timely and accurate recording and disclosure of financial information depends significantly on the reliability and capacity of these systems and the internet.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any of the foregoing systems to operate effectively, problems with transitioning to upgraded or replacement systems, or disruptions in the operation of the internet, could cause delays in product sales and reduced efficiency of the Company's operations. Significant expenditures could be required to remediate any such problem.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Cybersecurity Incidents and Other Disruptions Could Compromise the Company's Information, Expose It to Liability and Harm Its Reputation and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collects and stores sensitive and confidential data, including intellectual property, personal information, its proprietary business information and that of its customers, suppliers and business partners, and personally identifiable information of its employees in its data centers and on its networks. Secure maintenance and transmission of this information is critical to the Company's operations business strategy. It generally relies on commercially available systems, software, tools and domestically available monitoring to provide security for processing, transmitting and storing this sensitive and confidential data.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Cyber-attacks and other cybersecurity incidents such as ransomware, phishing, and social engineering attacks could result in unauthorized access to the Company's computer systems or its third-party IT service providers' systems and, if successful, misappropriate personal, sensitive, or confidential information. As previously disclosed, the Company has, like others in its industry, in the past and may in the future experience cybersecurity incidents. If successful, these attacks could lead to service interruptions, extortion, theft of confidential, personal or proprietary information, the compromise of data integrity or unauthorized information disclosure. Any technology service interruption or breach of the Company's systems could adversely affect its business operations and/or result in the loss or compromise of personal, sensitive, or confidential information or intellectual property. The Company maintains cyber liability insurance; however, this insurance may not be sufficient to cover the financial, legal, business or reputational losses that may result from an interruption or breach of the Company's systems.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outsourced significant elements of its IT infrastructure and, as a result, it manages relationships with third-party providers who may or could have access to the Company's sensitive and confidential information. The Company relies on technology developed, supplied and/or maintained by third-parties that may make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vulnerable to “supply chain” style cyber-attacks. Further, technology and security vulnerabilities of acquisitions, business partners or third-party providers may not be identified during due diligence or soon enough to mitigate exploitation. The size and complexity of the Company's IT and information security systems, and those of its third-party providers (and the amount of confidential information that is present on them), make such systems potentially vulnerable to service interruptions or to security incidents from inadvertent or intentional actions by, but not limited to, Company employees, service providers, business partners, customers or malicious attackers. In addition, a contractor or other third party with whom the Company does business may attempt to circumvent its security measures or obtain such information, and may purposefully or inadvertently cause an incident involving sensitive information. While the Company will continue to evaluate and implement additional protective measures to reduce the risk and detect cybersecurity incidents, cyberattacks are becoming more sophisticated and frequent and the techniques used in such attacks change rapidly. Despite the Company's cybersecurity measures, its information technology networks and infrastructure may still be vulnerable to damage, disruptions or shutdowns due to cybersecurity incidents, compromises, or malfeasance.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the most well protected IT networks, systems and facilities remain potentially vulnerable because the techniques used in attempted cybersecurity incidents are continually evolving and generally are not recognized until launched against a target or, in some cases, are designed not to be detected and, in fact, may not be detected. Any such compromise of the Company's or its third party’s IT service providers’ data security and access, public disclosure, or loss of personal, sensitive, or confidential business information, could result in legal claims and proceedings, liability under laws to protect privacy of personal information, and regulatory penalties, and could disrupt the Company's operations, require significant management attention and resources to remedy any damages that result, and damage the Company's reputation and customers willingness to transact business with it, any of which could adversely affect its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Company's activities continue to evolve and expand, it may be subject to additional laws which impose further restrictions on the transfer, access, use, and disclosure of health and other personal information which may impact its business either directly or indirectly. The Company's failure to comply with applicable privacy or security laws or significant changes in these laws could significantly impact its business and future business plans.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Federal and State Laws Pertaining to Healthcare Fraud and Abuse Could Adversely Affect the Company's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various federal and state laws targeting fraud and abuse in the healthcare industry, including anti-kickback laws, false claims laws, laws constraining the sales, marketing and promotion of medical devices by limiting the kinds of financial arrangements that manufacturers of these products may enter into with physicians, hospitals, laboratories and other potential purchasers of medical devices, and laws requiring the reporting of certain transactions between manufacturers and healthcare professionals. Violations of these laws are punishable by criminal or civil sanctions, including substantial fines, imprisonment and exclusion from participation in government healthcare programs such as Medicare and Medicaid. Many of the existing requirements have not been definitively interpreted by state authorities or courts, and available guidance is limited. Unless and until the Company is in full compliance with these laws, it could face enforcement action and fines and other penalties, and could receive adverse publicity, all of which could materially harm its business. In addition, changes in or evolving interpretations of these laws, regulations, or administrative or judicial interpretations, may require the Company to change its business practices or subject its business practices to legal challenges, which could have a material adverse effect on its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Experience Fluctuations in Its Financial Results or Fail to Meet Its Financial Projections.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results can fluctuate from quarter to quarter and year to year, which could cause its growth or financial performance to fall below the expectations of investors and securities analysts. The Company's financial projections for future periods are based on a number of assumptions, including estimated demand for its products. However, sales to its distributors and other customers may fall short of expectations because of lower than estimated demand or other factors, including continued volatility and disruption in economic conditions, increasing competition, seasonal fluctuations, changes in ordering patterns or business strategy, reduced governmental funding and other circumstances described elsewhere in this Annual Report. Infrequent, unusual or unexpected changes in revenues or costs could also contribute to the variability of the Company's financial results.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in certain of the markets the Company serves often submit a high percentage of purchase orders in the third month of a calendar quarter. Although this can vary from quarter to quarter, many customers make purchase decisions late in a quarter due to budgetary or financial requirements. In addition, certain governmental customers must fully spend budgeted funds by the end of their fiscal year or risk losing these funds, which can contribute to fluctuations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Company's sales from year-to-year. This can make it difficult to accurately forecast whether the Company will achieve its quarterly sales forecasts and can cause variability in its operating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Company's products provide different contributions to its gross margin. Accordingly, its operating results could also fluctuate and be affected by the mix of products sold and the relative prices and gross margin contribution of those products. Failure to achieve operating results consistent with the expectations of investors and securities analysts could adversely affect the Company's reputation and the price of its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Require Future Additional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future liquidity and ability to meet its future capital requirements will depend on numerous factors, including, but not limited to, the following:</w:t>
      </w:r>
    </w:p>
    <w:p>
      <w:pPr>
        <w:spacing w:after="0" w:line="54" w:lineRule="exact"/>
        <w:rPr>
          <w:sz w:val="20"/>
          <w:szCs w:val="20"/>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scope and timing of strategic acquisitions;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expansion of sales and marketing activities;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commercial launch of new products or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Company gains or expands market acceptance for existing, new or enhanced products and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the expansion of the Company's manufacturing and laboratory capacity;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Company's research and product development efforts;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cost and degree of success of conducting clinical trials and obtaining regulatory approvals;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capital expenditures;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and potential relationships with distributors and other business partners;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and enforcing patents, proprietary rights and necessary licenses;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liability associated with patent infringement or other types of litigation;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additional financing is needed, the Company may seek to raise funds through the sale of equity or other securities or through bank borrowings. There can be no assurance that financing through the sale of securities, bank borrowings or otherwise will be available to the Company on satisfactory terms, or at all.</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Conditions in the Banking System and Financial Markets, Including the Failure of Banks and Financial Institutions, Could Have an Adverse Effect on the Company's Operations and Financial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does not maintain any deposit accounts, credit agreements or letters of credit with any financial institution currently in receivership, it is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the Company's ability to access its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the Company's business in particular, the failure of other banks and financial institutions and the measures taken by governments, businesses and other organizations in response to these events could adversely impact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Terrorist Attacks, Natural Disasters, Public Health Crises, Political Unrest or Other Catastrophic Events Outside of the Company's Control May Adversely Affect Its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Terrorist attacks, natural disasters, including disasters attributable to climate change impacts, public health crises, political unrest or other catastrophic events outside of the Company's control, including pandemics, and subsequent governmental responses to these events, could cause economic instability. These actions could adversely affect economic conditions both within and outside the United States and reduce demand for the Company's products. For example, the COVID-19 pandemic has caused disruptions in local, regional, national and global markets and economies, including the United States. These events disrupted the Company's normal operation and the operations of its customers and suppliers.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impacts of political unrest, including as a result geopolitical tension, such as a deterioration in the relationship between the United States and China, escalation of tensions between China and Taiwan, or escalation in conflict between Russia and Ukraine or the conflict in Iran, including any resulting sanctions, export controls or other restrictive actions that may be imposed by the United States and/or other countries against governmental or other entities in, for example, Russia, also could lead to disruption, instability and volatility in the global markets, which may have an adverse impact on the Company's business or ability to access the capital markets. As a result of the ongoing military conflict between Russia and Ukraine, the United States and other countries have imposed significant sanctions on Russia and could impose even wider sanctions. Such sanctions could damage or disrupt international commerce and the global economy. The Company cannot predict the broader or longer-term consequences of the conflict in Ukraine or Iran, or of the sanctions imposed to date, which could include embargoes, regional instability, geopolitical shifts, exchange rate fluctuations, financial market disruptions and economic recession. Further, the conflict in Ukraine or Iran could exacerbate supply chain challenges, lead to an increase in cyberattacks, affect the global price and availability of key commodities, reduce the Company’s sales and earnings or otherwise have an adverse effect on its business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types of disasters, including earthquakes, fires, floods, riots, acts of terrorism and pandemics, may also affect the Company's manufacturing facilities and computer systems, and increase its cybersecurity risks. Although the Company has business interruption insurance, its facilities, including some pieces of manufacturing equipment and its computer systems, may be difficult to replace and could require substantial replacement lead-time. In the event the Company's existing manufacturing facilities or computer systems are affected by man-made or natural disasters, including pandemics, it may have difficulty operating its business and may be unable to manufacture products for sale or meet customer demands or sales projections. If the Company's manufacturing operations were curtailed or shut down entirely, it would seriously harm its business. Moreover, the Company may incur incremental costs following an unforeseen event which could adversely affect its results of operation.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Shares of the Company's Common Stock Could Adversely Affect the Trading Price of Its Common Stock and Its Ability to Raise Funds in New Equity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sales of a substantial number of the Company's shares of Common Stock or equity-related securities in the public market or privately, or the perception that such sales may occur, could adversely affect prevailing trading prices of the Company's Common Stock, and could impair its ability to raise capital through future offerings of equity or equity-related securities. No prediction can be made as to the effect, if any, that future sales of shares of Common Stock or the availability of shares of Common Stock for future sale will have on the trading price of the Company's Common Stock.</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IC.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Our management recognizes the impact that cybersecurity threats could have on our business operations, our compliance with regulations, and our reputation. We have identified cybersecurity as a critical business risk as part of our overall risk management strategy, which our board of directors oversees.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implemented an information security management system in accordance with our risk profile and business that is designed to protect the Company, our employees, and our customers from cybersecurity threats. This system,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informed by the National Institute of Standards and Technology (NIST) Cybersecurity Framework, includes, among other things, written policies, technical controls, and employee training. We have also developed an incident response policy and procedure designed to facilitate the handling of cybersecurity incidents.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which is part of our enterprise risk management program, aims to identify risks from cybersecurity threats. Our cybersecurity risk management program includes a number of components, including informal self-assessments, penetration testing, and vulnerability assessments. Our managed security services provider helps us implement additional security controls, including malware protection and network security tools.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a risk-based approach to the evaluation of third-party vendors, and apply mitigations and processes based on our evaluation of the sensitivity of the data accessed by the vendor and the maturity of the vendor’s programs. Where our risk-based evaluation indicates the need, we use a third-party tool to assess the degree of risk posed by the vendor and use a vendor security questionnaire as part of our assessment of third-parties.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subject to cybersecurity incidents in the past, including the publicly disclosed April 2024 security incident. We do not believe that risks from cybersecurity threats, including as a result of any previous cybersecurity incidents have materially affected our operations, financial systems, or financial condition. However, there is no guarantee that past security incidents and any future incidents will not have a material impact on our operations, financial systems, or financial condition in the future. For more information, see Item 1A. Risk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vice president of information technology (“VP of IT”) is responsible for the strategic leadership and direction of the Company’s information security management system. Our VP of IT has over 25 years experience managing IT teams, including 10 years managing IT security teams. Led by the VP of IT, along with our Director of IT Security, the IT leadership team reviews the Company’s cybersecurity objectives at least annually, and more frequently as needed, and takes steps to further the suitability and effectiveness of the Company’s information security program. The output from these reviews are reported periodically to senior management. We have also established a cybersecurity management committee comprised of IT, communications, finance, legal and product personnel.</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and Audit Committee oversee the management of risks by the Company’s executives. The Audit Committee, pursuant to its charter, is responsible for reviewing the Company’s cybersecurity program and risks, as identified by Company management, and the steps that Company management has taken to protect against threats to the Company’s assets including information systems and data security. The VP of IT provides updates to the Audit Committee approximately annually, which include, as appropriate, a description of risks from cybersecurity threats.</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owns a 31,700 square foot facility that houses its primary corporate office, sales and marketing, research and development, human resources, and regulatory and quality offices. The Company also owns a 48,000 square foot facility and a 33,500 square foot facility which are used for manufacturing activities. The Company also leases a 139,000 square foot manufacturing facility. Each of these facilities is located in Bethlehem, Pennsylvania. The Company's subsidiary, DNAG, also leases a 36,000 square foot facility in Ottawa, Canada, which is used as its primary corporate office and houses sales and marketing, manufacturing, distribution, research and development, and regulatory and quality operations. The Company's subsidiary, Sherlock, leases various facilities in the United Kingdom totaling approximately 37,600 square feet, as well as outside Boston, Massachusetts, totaling approximately 5,000 square feet. These facilities house Sherlock's corporate offices, production, and research and development activities. The Company's subsidiary, BioMedomics, leases a building in North Carolina totaling approximately 2,000 square feet. The facility houses BioMedomics' corporate offices, production, and research and development activities.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facilities described above are adequate for its current requirements.</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Discussion of legal matters is incorporated by reference from Note 14, Commitments and Contingencies, to the Consolidated Financial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6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Common Stock is listed for trading on the Global Select Market tier of The Nasdaq Stock Market LLC (“Nasdaq”) under the symbol “OSUR”. On February 23, 2025, there were 241 holders of record and approximately 19,647 holders in street name of the Company's Common Stock, and the closing price of its Common Stock was $2.75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never paid any cash dividends and its Board of Directors does not anticipate paying cash dividends in the foreseeable future. The Company intends to retain any future earnings to provide funds for the operation and expansion of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Security by the Issuer and Affiliated Purchasers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Maximum number (or</w:t>
            </w:r>
          </w:p>
        </w:tc>
      </w:t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purchased</w:t>
            </w: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approximate dollar value)</w:t>
            </w: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as part of publicly</w:t>
            </w:r>
          </w:p>
        </w:tc>
        <w:tc>
          <w:tcPr>
            <w:tcW w:w="1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 shares that may yet be</w:t>
            </w:r>
          </w:p>
        </w:tc>
      </w:tr>
      <w:tr>
        <w:trPr>
          <w:trHeight w:val="148"/>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440" w:type="dxa"/>
            <w:vAlign w:val="bottom"/>
          </w:tcPr>
          <w:p>
            <w:pPr>
              <w:spacing w:after="0"/>
              <w:rPr>
                <w:sz w:val="12"/>
                <w:szCs w:val="12"/>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Average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repurchased under the plans</w:t>
            </w:r>
          </w:p>
        </w:tc>
      </w:tr>
      <w:tr>
        <w:trPr>
          <w:trHeight w:val="196"/>
        </w:trPr>
        <w:tc>
          <w:tcPr>
            <w:tcW w:w="31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4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 programs</w:t>
            </w:r>
          </w:p>
        </w:tc>
        <w:tc>
          <w:tcPr>
            <w:tcW w:w="10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 xml:space="preserve">or programs </w:t>
            </w:r>
            <w:r>
              <w:rPr>
                <w:rFonts w:ascii="Times New Roman" w:cs="Times New Roman" w:eastAsia="Times New Roman" w:hAnsi="Times New Roman"/>
                <w:sz w:val="16"/>
                <w:szCs w:val="16"/>
                <w:b w:val="1"/>
                <w:bCs w:val="1"/>
                <w:color w:val="auto"/>
                <w:w w:val="91"/>
                <w:vertAlign w:val="superscript"/>
              </w:rPr>
              <w:t>(1)</w:t>
            </w:r>
          </w:p>
        </w:tc>
      </w:tr>
      <w:tr>
        <w:trPr>
          <w:trHeight w:val="20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2025 - October 31, 2025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551,044</w:t>
            </w:r>
          </w:p>
        </w:tc>
        <w:tc>
          <w:tcPr>
            <w:tcW w:w="44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93"/>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531,201</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$28,459,997</w:t>
            </w: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2025 - November 30,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144,162</w:t>
            </w:r>
          </w:p>
        </w:tc>
        <w:tc>
          <w:tcPr>
            <w:tcW w:w="4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144,162</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$28,106,600</w:t>
            </w:r>
          </w:p>
        </w:tc>
      </w:tr>
      <w:tr>
        <w:trPr>
          <w:trHeight w:val="37"/>
        </w:trPr>
        <w:tc>
          <w:tcPr>
            <w:tcW w:w="3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29"/>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2025 - December 31, 2025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1,262,230</w:t>
            </w:r>
          </w:p>
        </w:tc>
        <w:tc>
          <w:tcPr>
            <w:tcW w:w="4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1,262,230</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$24,960,000</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1,957,436</w:t>
            </w: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1,937,593</w:t>
            </w: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37"/>
        </w:trPr>
        <w:tc>
          <w:tcPr>
            <w:tcW w:w="3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jc w:val="both"/>
        <w:ind w:hanging="11"/>
        <w:spacing w:after="0" w:line="254" w:lineRule="auto"/>
        <w:rPr>
          <w:sz w:val="20"/>
          <w:szCs w:val="20"/>
          <w:color w:val="auto"/>
        </w:rPr>
      </w:pPr>
      <w:r>
        <w:rPr>
          <w:rFonts w:ascii="Times New Roman" w:cs="Times New Roman" w:eastAsia="Times New Roman" w:hAnsi="Times New Roman"/>
          <w:sz w:val="18"/>
          <w:szCs w:val="18"/>
          <w:color w:val="auto"/>
        </w:rPr>
        <w:t>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management through various methods in compliance with applicable state and federal securities laws, including through the use of trading plans intended to qualify under Rule 10b5-1 under the Exchange Act, in accordance with applicable securities laws and regulations.</w:t>
      </w:r>
    </w:p>
    <w:p>
      <w:pPr>
        <w:spacing w:after="0" w:line="3" w:lineRule="exact"/>
        <w:rPr>
          <w:sz w:val="20"/>
          <w:szCs w:val="20"/>
          <w:color w:val="auto"/>
        </w:rPr>
      </w:pPr>
    </w:p>
    <w:p>
      <w:pPr>
        <w:jc w:val="both"/>
        <w:ind w:hanging="11"/>
        <w:spacing w:after="0" w:line="260" w:lineRule="auto"/>
        <w:rPr>
          <w:sz w:val="20"/>
          <w:szCs w:val="20"/>
          <w:color w:val="auto"/>
        </w:rPr>
      </w:pPr>
      <w:r>
        <w:rPr>
          <w:rFonts w:ascii="Times New Roman" w:cs="Times New Roman" w:eastAsia="Times New Roman" w:hAnsi="Times New Roman"/>
          <w:sz w:val="18"/>
          <w:szCs w:val="18"/>
          <w:color w:val="auto"/>
        </w:rPr>
        <w:t>Includes shares retired to satisfy minimum tax withholdings, in connection with the vesting of restricted and performance shares, pursuant to the OraSure Technologies Inc. Stock Award Plan.</w:t>
      </w:r>
    </w:p>
    <w:p>
      <w:pPr>
        <w:spacing w:after="0" w:line="177" w:lineRule="exact"/>
        <w:rPr>
          <w:sz w:val="20"/>
          <w:szCs w:val="20"/>
          <w:color w:val="auto"/>
        </w:rPr>
      </w:pPr>
    </w:p>
    <w:p>
      <w:pPr>
        <w:sectPr>
          <w:pgSz w:w="11900" w:h="16838" w:orient="portrait"/>
          <w:cols w:equalWidth="0" w:num="2">
            <w:col w:w="420" w:space="720"/>
            <w:col w:w="101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performance graph set forth below shall not be deemed “soliciting material” or “filed” for purposes of Section 18 of the Securities Exchange Act of 1934, as amended (the “Exchange Act”), or otherwise subject to liability under that Section. This graph will not be deemed “incorporated by reference” into any filing under the Securities Act of 1933, as amended, or the Exchange Act, whether such filing occurs before or after the date hereof, regardless of any general incorporation language in such filing</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returns to investors in the Company’s Common Stock, the Nasdaq Composite Index, and the Nasdaq Health Care Index for the period from December 31, 2020 through December 31, 2025. The graph assumes that $100 was invested on December 31, 2020 in the Company’s Common Stock and in each of the above-mentioned indices, and that all dividends, if any, were reinvested.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Nasdaq Composite Index was chosen because it is a broad index of companies whose equity securities are traded on Nasdaq. The Nasdaq Health Care Index was chosen as it includes companies relevant to the Company's current business, it utilizes this index as a benchmark for compensation decisions, and many healthcare investors look to this index as an appropriate benchmark for stock performance. Stockholders are cautioned that the graph shows the returns to investors only as of the dates noted and may not be representative of the returns for any other past or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5657850" cy="4543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33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33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3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OraSure Technologies, Inc.</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22.86</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NASDAQ Composite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122.18</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119.22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154.48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187.14</w:t>
            </w:r>
          </w:p>
        </w:tc>
      </w:tr>
      <w:tr>
        <w:trPr>
          <w:trHeight w:val="27"/>
        </w:trPr>
        <w:tc>
          <w:tcPr>
            <w:tcW w:w="3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NASDAQ Health Care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89.96</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68.20</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81.27</w:t>
            </w:r>
          </w:p>
        </w:tc>
      </w:tr>
      <w:tr>
        <w:trPr>
          <w:trHeight w:val="27"/>
        </w:trPr>
        <w:tc>
          <w:tcPr>
            <w:tcW w:w="3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certain information concerning securities authorized for issuance under the Company's equity compensation plan, see Item 12, “Security Ownership of Certain Beneficial Owners and Management and Related Stockholder Matters.”</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Statements below regarding future events or performance are “forward-looking statements” within the meaning of the Private Securities Litigation Reform Act of 1995. The Company's actual results could be quite different from those expressed or implied by the forward-looking statements. Factors that could affect results are discussed more fully under the Item 1A, entitled “Risk Factors,” and elsewhere in this Annual Report. Although forward-looking statements help to provide complete information about the Company, readers should keep in mind that forward-looking statements may not be reliable. Readers are cautioned not to place undue reliance on the forward-looking statements. The Company undertakes no duty to update any forward-looking statements made herein after the date of this Annual Report.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contained herein and the notes thereto, along with the Section entitled “Critical Accounting Policies and Estimates,” set forth below. This section of this Annual Report on Form 10-K for the year ended December 31, 2025 (this "Annual Report") generally discusses 2025 and 2024 items and year-to-year comparisons between 2025 and 2024. Discussion of 2023 items and year-to-year comparisons between 2024 and 2023 that are not included in this Annual Report can be found in “Management’s Discussion and Analysis of Financial Condition and Results of Operations” in Part II, Item 7 of the Company’s Annual Report on Form 10-K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sale and distribution of simple, easy to use diagnostic products and specimen collection devices using its proprietary technologies, as well as other diagnostic products including immunoassays and other in vitro diagnostic tests that are used on other specimen types. Our diagnostic products include tests for diseases including HIV, Hepatitis C, Syphilis, Sickle Cell and COVID-19 that are performed on a rapid basis at the point of care.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HIV and COVID-19 products are also sold in a consumer-friendly format in the OTC market in the U.S. and, in the case of the HIV and HCV products, as a self-test to individuals in a number of other countries, including, for the HIV products, as an oral swab in-home test for HIV-1 and HIV-2 in Europe, and for the HCV products, as an OTC test. In December 2025, the Company submitted a 510(k) to the FDA for clearance of its rapid molecular self-test for CT/NG, which is currently under review.</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and companion animal market segments.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Initial sales of this product for research use only are occurring primarily through distributors and collaborations in the liquid biopsy and sexually transmitted disease markets. In December 2025, the Company also submitted a 510(k) to the FDA for clearance of its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at-home urine collection device for sexually transmitted infections, which is currently under review.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Testing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2024, the Company announced the discontinuance of sales of its risk assessment product line which was completed in the second quarter of 2025. Sales of its risk assessment products contributed $1.9 million and $8.4 million to revenues during the twelve months ended December 31, 2025 and 2024, respectively. During the first quarter of 2025, the Company sold certain assets that made up the risk assessment product line including certain intellectual property, contracts, permits, and equipment.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BioMedomics, Inc.</w:t>
      </w:r>
    </w:p>
    <w:p>
      <w:pPr>
        <w:spacing w:after="0" w:line="11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November 2025, the Company acquired BioMedomics, Inc. (“BioMedomics”), pursuant to which BioMedomics became a wholly-owned subsidiary of the Company. The BioMedomics acquisition expands the Company's diagnostic portfolio by adding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rapid, point-of-need test for sickle cell disease that is sold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The Company's consolidated net loss for the year ended December 31, 2025 was $68.7 million, or $0.94 per share on a fully diluted basis, compared to consolidated net loss of $19.5 million, or $0.26 per share on a fully diluted basis, for the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 summary of total consolidated net revenues (dollars in thousands) for the years ended December 31, 2025 and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0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2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products and services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1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184,611</w:t>
            </w:r>
          </w:p>
        </w:tc>
        <w:tc>
          <w:tcPr>
            <w:tcW w:w="1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80" w:type="dxa"/>
            <w:vAlign w:val="bottom"/>
            <w:tcBorders>
              <w:bottom w:val="single" w:sz="8" w:color="CCEEFF"/>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8"/>
        </w:trPr>
        <w:tc>
          <w:tcPr>
            <w:tcW w:w="4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240" w:hanging="232"/>
        <w:spacing w:after="0"/>
        <w:tabs>
          <w:tab w:leader="none" w:pos="24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HCV, Syphilis, and SureQuick</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spacing w:after="0" w:line="14" w:lineRule="exact"/>
        <w:rPr>
          <w:rFonts w:ascii="Times New Roman" w:cs="Times New Roman" w:eastAsia="Times New Roman" w:hAnsi="Times New Roman"/>
          <w:sz w:val="19"/>
          <w:szCs w:val="19"/>
          <w:color w:val="auto"/>
          <w:vertAlign w:val="superscript"/>
        </w:rPr>
      </w:pPr>
    </w:p>
    <w:p>
      <w:pPr>
        <w:ind w:left="240" w:hanging="232"/>
        <w:spacing w:after="0" w:line="187" w:lineRule="auto"/>
        <w:tabs>
          <w:tab w:leader="none" w:pos="24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Genomics, Microbiome, and Colli-Pee</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ind w:left="240" w:hanging="232"/>
        <w:spacing w:after="0"/>
        <w:tabs>
          <w:tab w:leader="none" w:pos="2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substance abuse testing product revenues.</w:t>
      </w:r>
    </w:p>
    <w:p>
      <w:pPr>
        <w:spacing w:after="0" w:line="11"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COVID-19 Sample Management Solutions product revenues.</w:t>
      </w:r>
    </w:p>
    <w:p>
      <w:pPr>
        <w:spacing w:after="0" w:line="14"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revenues decreased 38% to $115.0 million for the year ended December 31, 2025 from $185.8 million for the year ended December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Company's Diagnostics products decreased 12% to $66.5 million for the year ended December 31, 2025 from $75.9 million for the year ended December 31, 2024. This decrease in revenues is largely due to lower international HIV revenues primarily driven by a decrease in funding and customer ordering patterns in Africa and Asia. Lower sales of the Company's HIV domestic products due to a decrease in overall funding impacting HIV programs also contributed to the decline in diagnostic revenues. Offsetting these decreases in revenues is an increase in Syphilis revenue resulting from the launch in the second quarter of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Sample Management Solutions revenues decreased by 25% to $38.4 million for the year ended December 31, 2025 compared to $51.0 million for the year ended December 31, 2024. Sales of the Company's Sample Management Solutions are being impacted by a large customer's bankruptcy.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Assessment testing revenues decreased 78% to $1.9 million for the year ended December 31, 2025 from $8.4 million for the year ended December 31, 2024. The Company discontinued this line of business at the end of 2024 and the business wound down in early 2025.</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COVID-19 Diagnostics revenues decreased 99% to $0.6 million for the year ended December 31, 2025 from $45.1 million for the year ended December 31, 2024 due to decreased sales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through its U.S. government procurement contracts. The Company experienced a significant decline in COVID-19 revenues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fulfillment of these contracts and lower overall demand for COVID-19 testing and anticipates that this trend will continue into the foreseeable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Molecular Services revenues, which were largely derived from the Company's microbiome molecular sequencing services, were nil for the year ended December 31, 2025 compared to $1.7 million for the year ended December 31, 2024. The decrease in services revenues was due to the decision to exit this line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Non-product and services revenues increased 391% to $6.0 million for the year ended December 31, 2025 from $1.2 million for the year ended December 31, 2024 primarily due to the recognition of revenue under funded R&amp;D contracts that were assumed by the Company as a result of the Sherlock acquisition at the end of 2024 as well as an increase in funded R&amp;D under other BARDA contracts.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gross profit margin decreased to 41.9% for the year ended December 31, 2025 from 42.7% for the year ended December 31, 2024. The largest driver of the margin decline was a negative product mix driven by lower InteliSwab® sales that generate higher gross margins and lower genomics sales that also generate higher gross margins. Also contributing to the decline in margins was lower absorption of fixed overhead costs due to lower revenues and production. The termination of the microbiome molecular sequencing services business which historically dragged down the gross margin rate helped to improve the gross margin rate during the period along with the higher non-product revenues which contribute 100% to gross margin.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operating loss for the year ended December 31, 2025 was $72.0 million, compared to a $28.3 million operating loss reported for the year ended December 31, 2024. Results for the year ended December 31, 2025 were negatively impacted by the decrease in revenues, lower gross margins earned on the revenues and by higher operating expenses. Results for the year ended December 31, 2025 included change in the estimated fair value of acquisition-related contingent consideration of $4.6 million offset by gain on sale of assets of $0.7 million. Results for the year ended December 31, 2024 included impairment charges of $4.4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63% to $42.5 million for the year ended December 31, 2025 from $26.0 million for the year ended December 31, 2024 largely due to higher spend incurred for clinical trials for the CT/NG device and additional research and development operational expense layered in from the acquired Sherlock companies.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16% to $26.1 million for the year ended December 31, 2025 from $31.0 million for the year ended December 31, 2024 primarily due to decreased employee costs associated with a reduction in headcount, and lower market research and advertising spend.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3% to $47.7 million for the year ended December 31, 2025 from $46.2 million for the year ended December 31, 2024 largely due to higher legal fees relating to the NowDx litigation (discussed further in Note 14, Commitments and Contingencies, to the consolidated financial statements included herein) and costs associated with the Sherlock acquisition. Also contributing to the increase were additional general and administrative expenses layered in from the acquired Sherlock companies which occurred in December 2024. Lower stock compensation expense, consulting fees, and decreased employee costs partially offset the increase in general and administrative spend.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$72.0 million for the year ended December 31, 2025, which included non-cash charges of $10.2 million for depreciation and amortization, $10.1 million for stock-based compensation, and $4.6 million for change in the estimated fair value of acquisition-related contingent consideration. The Company's operating loss of $28.3 million for the year ended December 31, 2024 included a non-cash charge of $11.9 million for stock-based compensation, $10.9 million for depreciation and amortization, and impairment charges of $4.4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OTHER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year ended December 31, 2025 was $7.4 million compared to $12.2 million for the year ended December 31, 2024. The decrease in other income is primarily due to lower interest income and lower foreign currency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The Company has not achieved U.S. cumulative pre-tax earnings based on a rolling three year window as the Company has not achieved a level of sustained profitability that would, in its judgment, support the release of the valuation allowance. For the years ended December 31, 2025 and 2024, the Company recorded income tax expense of $1.8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5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gridSpan w:val="3"/>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3"/>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267,763</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222,113</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299,737</w:t>
            </w: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decreased to $199.3 million at December 31, 2025 from $267.8 million at December 31, 2024. The Company has $86.9 million, or 44% of its $199.3 million of cash, cash equivalents and available-for-sale securities held by DNAG, the Company's Canadian subsidiary.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working capital decreased to $222.1 million at December 31, 2025 from $299.7 million at December 31, 2024. Working capital is primarily a function of sales, purchase volumes, inventory requirements, and vendor payment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of the Company's 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net cash used in operating activities was $49.0 million. Cash flows from operations can be significantly impacted by factors such as timing of receipts from customers, inventory purchases, and payments to vendors. The Company's net loss of $68.7 million included non-cash charges of depreciation and amortization expense of $10.2 million, stock-based compensation expense of $10.1 million, change in estimated fair value of acquisition-related contingent consideration of $4.6 million, a loss on equity investment of $2.3 million, and other non-cash charges aggregating to $1.2 million.</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Cash used by the Company's working capital accounts included a decrease in accrued expenses and other liabilities of $8.7 million largely attributable to lower bonus accruals, an increase in prepaid expenses and other assets of $2.4 million associated with an increase in the Company's Canadian income tax receivable and increased prepayment of costs associated with the Company's efforts to prepare for production of the CT/NG device, a decrease of $1.7 million in accounts payable, and a decrease in deferred revenue of $1.5 million as work on grant projects is completed and earned. Offsetting these uses of cash is a decrease in inventory balances of $3.6 million related to the discontinuance of sales of the Company's Risk Assessment products and lower demand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and a decrease in accounts receivable of $1.9 million as the Company experienced a decline in overall sales.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Net cash used in investing activities was $6.8 million for the year ended December 31, 2025, associated with proceeds from sale of property and equipment offset by the acquisition of new property and equipment. Investing activities also includes $3.6 million of cash used for the acquisition of BioMedomics</w:t>
      </w:r>
      <w:r>
        <w:rPr>
          <w:rFonts w:ascii="Times New Roman" w:cs="Times New Roman" w:eastAsia="Times New Roman" w:hAnsi="Times New Roman"/>
          <w:sz w:val="21"/>
          <w:szCs w:val="21"/>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$16.9 million for the year ended December 31, 2025, which was largely comprised of $15.0 million to repurchase common stock pursuant to the Company's stock repurchase plan and $1.8 million used for the repurchase of common stock to satisfy withholding taxes related to the vesting of restricted stock awarded to the Company's employees.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contractual obligations are included in Note 14 of its consolidated financial statements. 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the Company's consolidated financial statements, which have been prepared in accordance with accounting principles generally accepted in the United States of America. The preparation of these financial statements requires that the Company make judgments and estimates that affect the reported amounts of assets and liabilities, the disclosure of contingent assets and liabilities at the date of the financial statements, and the reported amounts of revenues and expenses during the reporting period. The Company bases its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of the notes to the consolidated financial statements included in Item 15 of this Annual Report. The Company considers the following accounting policies, which have been discussed with its Audit Committee, to be most critical in understanding the more complex judgments that are involved in preparing its financial statements and the uncertainties that could impact its results of operations, financial condition,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recognized upon transfer of control of a product to a customer based on an amount that reflects the consideration the Company is entitled to, net of allowances for any discounts or rebates.</w:t>
      </w:r>
    </w:p>
    <w:p>
      <w:pPr>
        <w:spacing w:after="0" w:line="15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Company generally does not grant product return rights to its customers, except for warranty returns and return rights on sales of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to the retail trade, and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to the retail trade and certain other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returns arising from warranty issues have been infrequent and immaterial. Accordingly, the Company expenses warranty returns as incurred.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shipping and handling charges billed to the Company's customers as product revenue and the related expense as cost of products sold.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revenues represent microbiome laboratory testing and analytical services. The Company recognizes revenues when it satisfies its performance obligations for services rendered. Service revenue was discontinued with the closure of the molecular services line of business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Arrangements with multiple-performance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which largely applies to the Company's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under the arrangement is then allocated to each separate distinct performance obligation based on each respective relative stand-alone selling price. The estimated selling price of each deliverable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inventories are stated at the lower of cost or net realizable value, with cost determined on an average cost method, and include the cost of raw materials, labor and overhead. The majority of the Company's inventories are subject to expiration dating, which can be extended in certain circumstances. The Company continually evaluates quantities on hand and the carrying value of its inventories to determine the need for net realizable value adjustments for excess and obsolete inventories, based primarily on prior experience with consideration of expected changes in the business and estimated forecasts of product sales. The Company reserves for inventory expiring within ninety days, with the exception of inventory that will be consumed or will have expiration dates extended. It also considers items identified through specific identification procedures in assessing the adequacy of its reserve. Although the Company makes every effort to ensure the accuracy of its forecasts of future product demand, any significant unanticipated changes in demand could have a significant impact on the carrying value of its inventories and reported 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not amortized, but rather is tested annually for impairment or more frequently if the Company believes that indicators of impairment exist. Current generally accepted accounting principles permit the Company to make a qualitative evaluation about the likelihood of goodwill impairment and if it is determined that it is more likely than not that the fair value does not exceed the carrying amount, then a quantitative test is performed. The quantitative goodwill impairment test involves a comparison of the estimated fair value of the reporting unit to the respective carrying amount. An impairment charge is recognized in the amount by which the carrying amount exceeds the reporting unit’s fair value, provided the impairment charge does not exceed the total amount of goodwill allocated to the reporting unit.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evaluating the potential impairment of goodwill is highly subjective and requires significant judgment, including the identification of reporting units, qualitative evaluation of events and circumstances to determine if it is more likely than not that an impairment exists, and, if necessary, the estimation of the fair value of the applicable reporting unit.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performed its annual goodwill impairment analysis and noted there were impairment indicators. A quantitative impairment test was performed on both reporting units. Both reporting units showed fair value exceeded carrying value. The diagnostic reporting unit impairment results reflected a fair value with a narrower margin to its carrying value. As of November 30, 2025, the annual impairment testing date, the diagnostic reporting unit fair value exceeded the carrying value by 13%. As of December 31, 2025, the diagnostic reporting unit had $8.2 million of goodwill. The diagnostic reporting unit goodwill impairment analysis used both an income and market approach. These two approaches were weighted and the income approach was weighed more than the market approach. Key assumptions included estimates of revenues increasing each year as new products are launched and a weighted-average cost of capital based on guideline companies. The revenue and cashflows forecasts assume products are passed by regulatory bodies on a set timeline and market competition of future products is low. The revenues assume market growth will accelerate each year. If there are delays to attaining regulatory approval or successfully launching products, this could have a negative outcome on the goodwill impairment analysis. In addition, if the Company's weighted-average cost of capital is not aligned with guideline companies, this could negatively affect the goodwill impairment outcome.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 and Contingent Consideration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businesses are accounted for using the acquisition method of accounting, which requires that the purchase price be allocated to the net assets acquired at their respective fair values. Any excess of the purchase price over the estimated fair values of the net assets acquired is recorded as goodwill. Amounts allocated to contingent consideration are recorded to the balance sheet at the date of acquisition based on their relative fair values. The purchase price allocation requires us to make significant estimates and assumptions, especially at the acquisition date, with respect to intangible assets. Although we believe the assumptions and estimates we have made are reasonable, they are based in part on historical experience and information obtained from the management of the acquired companies and are inherently uncertain.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contingent consideration in accordance with applicable guidance provided within the business combination accounting guidance. As part of our consideration for the Sherlock acquisition, we are contractually obligated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consideration resulting from the outcome of future events. Therefore, we are required to update our underlying assumptions each reporting period, based on new developments, and record such contingent consideration liabilities at fair value until the contingency is resolved. Changes in the fair value of the contingent consideration liabilities are recognized each reporting period and included in our consolidated statements of operations. Our estimates of fair value are based on assumptions we believe to be reasonable, but the assumptions are uncertain and involve significant judgment by management. Updates to these assumptions could have a significant impact on our results of operations in any given period and any updates to the fair value of the contingent consideration could differ materially from the previous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critical estimates used in valuing the intangible asset and contingent consideration include:</w:t>
      </w:r>
    </w:p>
    <w:p>
      <w:pPr>
        <w:spacing w:after="0" w:line="252" w:lineRule="exact"/>
        <w:rPr>
          <w:sz w:val="20"/>
          <w:szCs w:val="20"/>
          <w:color w:val="auto"/>
        </w:rPr>
      </w:pPr>
    </w:p>
    <w:p>
      <w:pPr>
        <w:ind w:left="120" w:hanging="112"/>
        <w:spacing w:after="0"/>
        <w:tabs>
          <w:tab w:leader="none" w:pos="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sales and acquired in-process and research developed technologies;</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meeting the future events; and</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used to determine the present value of estimated future cash flows.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with respect to forward-looking statements within “Management’s Discussion and Analysis of Financial Condition and Results of Operations” of this Annual Report is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hold any amounts of derivative financial instruments or derivative commodity instruments and, accordingly, has no material derivative risk to report under this Item.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did not have any foreign currency exchange contracts or purchase currency options to hedge local currency cash flows. Sales denominated in foreign currencies comprised 5% of the Company's total revenues for the year ended December 31, 2025. The Company does have foreign currency exchange risk related to its operating subsidiary in Canada. The principal foreign currency in which the subsidiary conducts business is the Canadian dollar. Fluctuations in the exchange rate between the U.S. dollar and the Canadian dollar could affect year-to-year comparability of operating results and cash flows. The Company's Canadian foreign subsidiary had net assets, subject to translation, of $112.1 million in U.S. dollars, which are included in the Company’s consolidated balance sheet as of December 31, 2025. A 10% unfavorable change in the Canadian-to-U.S. dollar exchange rate would have increased the Company's comprehensive loss by approximately $11.2 million as of December 31, 2025.</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this Item is contained in the Company's Consolidated Financial Statements included under Item 15 of this Annual Report.</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Chief Financial Officer (CFO) and Chief Accounting Officer (CAO), has evaluated the effectiveness of the Company’s disclosure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procedures (as defined in Rules 13a-15(e) and 15d-15(e) of the Securities Exchange Act of 1934) as of December 31, 2025. Based on that evaluation, the Company’s management, including such officers, concluded that as of December 31, 2025 the Company’s disclosure controls and procedures were effective to provide reasonable assurance that information required to be disclosed by the Company in the reports that it files or submits under the Securities Exchange Act of 1934 is accumulated and communicated to the Company’s management, including the Chief Executive Officer, Chief Financial Officer and Chief Accounting Officer, to allow timely decisions regarding required disclosure and is recorded, processed, summarized, and reported within the time periods specified in the rules and forms of the Securities and Exchange Commission.</w:t>
      </w:r>
    </w:p>
    <w:p>
      <w:pPr>
        <w:spacing w:after="0" w:line="187"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such term is defined in Rule 13a-15(f) and 15d-15(f) under the Securities Exchange Act of 1934. Under the supervision and with the participation of the Company’s management, including the Company's principal executive officer and principal financial officer, the Company conducted an evaluation of the effectiveness of its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the Company's evaluation under the framework, management concluded that the Company's internal control over financial reporting was effective to provide reasonable assurance regarding the reliability of financial reporting and the preparation of financial statements for external purposes in accordance with generally accepted accounting principles as of December 31,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GRANT THORNTON LLP, an independent registered public accounting firm, as stated in their report, which is included below.</w:t>
      </w:r>
    </w:p>
    <w:p>
      <w:pPr>
        <w:spacing w:after="0" w:line="162"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of Independent Registered Public Accounting Firm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OraSure Technologies, Inc. (a Delaware corporation) and subsidiaries (the “Company”) as of December 31,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2025, and our report dated March 9, 2026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pacing w:after="0" w:line="31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56"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660" w:right="160" w:hanging="328"/>
        <w:spacing w:after="0" w:line="25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discloses any director or “officer” as defined in Rule 16a-1(f) under the Exchange Act who adopted or terminated any Rule 10b5-1 trading plan or arrangements or any non-Rule 10b5-1 trading plan or arrangements, in both cases as defined in Item 408(a) of Regulation S-K during the fourth quarter of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5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Action Taken (Date</w:t>
            </w:r>
          </w:p>
        </w:tc>
        <w:tc>
          <w:tcPr>
            <w:tcW w:w="1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Type of Trading</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Nature of Trading</w:t>
            </w:r>
          </w:p>
        </w:tc>
        <w:tc>
          <w:tcPr>
            <w:tcW w:w="15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Duration or End</w:t>
            </w:r>
          </w:p>
        </w:tc>
        <w:tc>
          <w:tcPr>
            <w:tcW w:w="1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Number</w:t>
            </w:r>
          </w:p>
        </w:tc>
      </w:tr>
      <w:tr>
        <w:trPr>
          <w:trHeight w:val="238"/>
        </w:trPr>
        <w:tc>
          <w:tcPr>
            <w:tcW w:w="158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 Action)</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 Securities</w:t>
            </w: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16"/>
        </w:trPr>
        <w:tc>
          <w:tcPr>
            <w:tcW w:w="1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Carrie Eglinton</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plan</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of the</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 through</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$165,000 of</w:t>
            </w:r>
          </w:p>
        </w:tc>
      </w:tr>
      <w:tr>
        <w:trPr>
          <w:trHeight w:val="216"/>
        </w:trPr>
        <w:tc>
          <w:tcPr>
            <w:tcW w:w="1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Manner </w:t>
            </w:r>
            <w:r>
              <w:rPr>
                <w:rFonts w:ascii="Times New Roman" w:cs="Times New Roman" w:eastAsia="Times New Roman" w:hAnsi="Times New Roman"/>
                <w:sz w:val="18"/>
                <w:szCs w:val="18"/>
                <w:i w:val="1"/>
                <w:iCs w:val="1"/>
                <w:color w:val="auto"/>
              </w:rPr>
              <w:t>President,</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29,</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intended to satisfy</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Company’s common</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28, 2026</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of the</w:t>
            </w:r>
          </w:p>
        </w:tc>
      </w:tr>
      <w:tr>
        <w:trPr>
          <w:trHeight w:val="216"/>
        </w:trPr>
        <w:tc>
          <w:tcPr>
            <w:tcW w:w="1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affirmative</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pursuant to the</w:t>
            </w: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Company’s common</w:t>
            </w:r>
          </w:p>
        </w:tc>
      </w:tr>
      <w:tr>
        <w:trPr>
          <w:trHeight w:val="218"/>
        </w:trPr>
        <w:tc>
          <w:tcPr>
            <w:tcW w:w="1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Officer and Director</w:t>
            </w: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defense conditions of</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terms of the plan.</w:t>
            </w: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Exchange</w:t>
            </w:r>
          </w:p>
        </w:tc>
        <w:tc>
          <w:tcPr>
            <w:tcW w:w="15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 Rule 10b5-1(c).</w:t>
            </w:r>
          </w:p>
        </w:tc>
        <w:tc>
          <w:tcPr>
            <w:tcW w:w="15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16"/>
        </w:trPr>
        <w:tc>
          <w:tcPr>
            <w:tcW w:w="1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Kenneth McGrath</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plan</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of the</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 through</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$165,000 of</w:t>
            </w:r>
          </w:p>
        </w:tc>
      </w:tr>
      <w:tr>
        <w:trPr>
          <w:trHeight w:val="216"/>
        </w:trPr>
        <w:tc>
          <w:tcPr>
            <w:tcW w:w="1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28,</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intended to satisfy</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Company’s common</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28, 2026</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of the</w:t>
            </w:r>
          </w:p>
        </w:tc>
      </w:tr>
      <w:tr>
        <w:trPr>
          <w:trHeight w:val="218"/>
        </w:trPr>
        <w:tc>
          <w:tcPr>
            <w:tcW w:w="1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affirmative</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pursuant to the</w:t>
            </w: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Company’s common</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defense conditions of</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terms of the plan.</w:t>
            </w: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Exchange</w:t>
            </w:r>
          </w:p>
        </w:tc>
        <w:tc>
          <w:tcPr>
            <w:tcW w:w="15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 Rule 10b5-1(c).</w:t>
            </w:r>
          </w:p>
        </w:tc>
        <w:tc>
          <w:tcPr>
            <w:tcW w:w="15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disclosed above, no other director or officer adopted or terminated any Rule 10b5-1 trading plan or arrangements or any non-Rule 10b5-1 trading plan or arrangements, in both cases as defined in Item 408(a) of Regulation S-K during the fourth quarter of the fiscal year ended December 31,</w:t>
      </w:r>
    </w:p>
    <w:p>
      <w:pPr>
        <w:spacing w:after="0"/>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omitted from Part III the information that will appear in its Definitive Proxy Statement for its 2026 Annual Meeting of Stockholders (the “2026 Proxy Statement”), which will be filed within 120 days after the end of its fiscal year pursuant to Regulation 14A.</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10 will be included in the Company's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adopted a Code of Business Conduct and Ethics that applies to the Company's principal executive officer, principal financial officer and principal accounting officer, as well as to the members of its Board of Directors and its other officers and employees. This Code of Business Conduct and Ethics is available on the Company's website at </w:t>
      </w:r>
      <w:r>
        <w:rPr>
          <w:rFonts w:ascii="Times New Roman" w:cs="Times New Roman" w:eastAsia="Times New Roman" w:hAnsi="Times New Roman"/>
          <w:sz w:val="18"/>
          <w:szCs w:val="18"/>
          <w:u w:val="single" w:color="auto"/>
          <w:color w:val="auto"/>
        </w:rPr>
        <w:t>www.orasure.com</w:t>
      </w:r>
      <w:r>
        <w:rPr>
          <w:rFonts w:ascii="Times New Roman" w:cs="Times New Roman" w:eastAsia="Times New Roman" w:hAnsi="Times New Roman"/>
          <w:sz w:val="18"/>
          <w:szCs w:val="18"/>
          <w:color w:val="auto"/>
        </w:rPr>
        <w:t>. The Company intends to satisfy the amendment and waiver disclosure requirements under applicable securities regulations by posting any amendments of, or waivers to, the Code of Business Conduct and Ethics on its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has adopted insider trading policies and procedures governing the purchase, sale, and other dispositions of securities of OraSure by directors, officers, and employees that the Company believes are reasonably designed to promote compliance with insider trading laws, rules and regulations, and applicable Nasdaq listing standards. The Company’s insider trading policy states, among other things, that its directors, officers, and employees are prohibited from trading in such securities while in possession of material, nonpublic information. In addition, with regard to trading in the Company’s own securities, it is the Company’s policy to comply with the federal securities laws and the applicable exchange listing requirements. The foregoing summary of the Company’s insider trading policies and procedures does not purport to be complete and is qualified by reference to the insider trading policy attached hereto as Exhibit 19.1 and incorporated herein.</w:t>
      </w:r>
    </w:p>
    <w:p>
      <w:pPr>
        <w:spacing w:after="0" w:line="2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the Company's 2026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the Company's 2026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the Company's 2026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the Company's 2026 Proxy Statement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Consolidated Financial Statement Schedules.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(a)(1) and (a)(2). </w:t>
      </w:r>
      <w:r>
        <w:rPr>
          <w:rFonts w:ascii="Times New Roman" w:cs="Times New Roman" w:eastAsia="Times New Roman" w:hAnsi="Times New Roman"/>
          <w:sz w:val="18"/>
          <w:szCs w:val="18"/>
          <w:u w:val="single" w:color="auto"/>
          <w:color w:val="auto"/>
        </w:rPr>
        <w:t>Consolidated Financial Statements and Schedules</w:t>
      </w:r>
      <w:r>
        <w:rPr>
          <w:rFonts w:ascii="Times New Roman" w:cs="Times New Roman" w:eastAsia="Times New Roman" w:hAnsi="Times New Roman"/>
          <w:sz w:val="18"/>
          <w:szCs w:val="18"/>
          <w:color w:val="auto"/>
        </w:rPr>
        <w:t>. For a list of the consolidated financial statements filed herewith, see the Index to Consolidated Financial Statements following the signature page to this Annual Report. No schedules are included with the consolidated financial statements because the required information is inapplicable or is presented in the consolidated financial statements or related notes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60" w:type="dxa"/>
            <w:vAlign w:val="bottom"/>
            <w:gridSpan w:val="13"/>
          </w:tcPr>
          <w:p>
            <w:pPr>
              <w:ind w:left="260"/>
              <w:spacing w:after="0"/>
              <w:rPr>
                <w:sz w:val="20"/>
                <w:szCs w:val="20"/>
                <w:color w:val="auto"/>
              </w:rPr>
            </w:pPr>
            <w:r>
              <w:rPr>
                <w:rFonts w:ascii="Times New Roman" w:cs="Times New Roman" w:eastAsia="Times New Roman" w:hAnsi="Times New Roman"/>
                <w:sz w:val="14"/>
                <w:szCs w:val="14"/>
                <w:color w:val="auto"/>
              </w:rPr>
              <w:t>Exhibit</w:t>
            </w:r>
          </w:p>
        </w:tc>
      </w:tr>
      <w:tr>
        <w:trPr>
          <w:trHeight w:val="37"/>
        </w:trPr>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2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Agreement and Plan of Merger, dated December 19, 2024 by and among OraSure Technologies, Inc., Project Watson Merger Sub, Inc.,</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Sherlock Biosciences, Inc. and Mr. Paul Meister, solely in his capacity as representative of the securityholders of Sherlock Biosciences,</w:t>
              </w:r>
            </w:hyperlink>
          </w:p>
        </w:tc>
        <w:tc>
          <w:tcPr>
            <w:tcW w:w="20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 xml:space="preserve">Inc. </w:t>
              </w:r>
              <w:r>
                <w:rPr>
                  <w:rFonts w:ascii="Times New Roman" w:cs="Times New Roman" w:eastAsia="Times New Roman" w:hAnsi="Times New Roman"/>
                  <w:sz w:val="18"/>
                  <w:szCs w:val="18"/>
                  <w:color w:val="000000"/>
                </w:rPr>
                <w:t>is incorporated by reference to Exhibit 2.1 to the Company’s Annual Report on form 10-K for the year ended December 31, 2024.</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Certificate of Incorporation of OraSure Technologies, Inc. is incorporated by reference to Exhibit 3.1 to the Company’s Registration</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Statement on Form S-4 (No. 333-39210), filed June 14, 2000.</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Certificate of Amendment to Certificate of Incorporation dated May 23, 2000 is incorporated by reference to Exhibit 3.1.1 to the</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Company’s Registration Statement on Form S-4 (No. 333-39210), filed June 14, 2000.</w:t>
              </w:r>
            </w:hyperlink>
          </w:p>
        </w:tc>
        <w:tc>
          <w:tcPr>
            <w:tcW w:w="368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Amendment to Certificate of Incorporation of OraSure Technologies Inc. dated May 16, 2024 is incorporated by reference</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to Exhibit 3.1 to the Company’s Periodic Report on Form 8-K filed on May 17, 2024.</w:t>
              </w:r>
            </w:hyperlink>
          </w:p>
        </w:tc>
        <w:tc>
          <w:tcPr>
            <w:tcW w:w="3640" w:type="dxa"/>
            <w:vAlign w:val="bottom"/>
            <w:tcBorders>
              <w:top w:val="single" w:sz="8" w:color="0000FF"/>
            </w:tcBorders>
            <w:gridSpan w:val="9"/>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Third Amended and Restated Bylaws of OraSure Technologies, effective as of August 5, 2025, is incorporated by referenced to Exhibit</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Quarterly Report on Form 10-Q for the quarter ended June 30, 2025.</w:t>
              </w:r>
            </w:hyperlink>
          </w:p>
        </w:tc>
        <w:tc>
          <w:tcPr>
            <w:tcW w:w="220" w:type="dxa"/>
            <w:vAlign w:val="bottom"/>
            <w:gridSpan w:val="5"/>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Description of Securities is incorporated by reference to Exhibit 4.1 to the Company’s Annual Report on Form 10-K for the year-ended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December 31, 2019.</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Employment Agreement, dated as of January 1, 2019, between Kathleen G. Weber, DNA Genotek, Inc. and OraSure Technologies, Inc. is</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incorporated by reference to Exhibit 10.21 to the Company’s Annual Report on Form 10-K for the year ended December 31,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No. 1 to Employment Agreement, dated as of December 20, 2021, between Kathleen G. Weber, DNA Genotek, Inc. and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OraSure Technologies, Inc. is incorporated by reference to exhibit 10.10 to the Company's Annual Report on form 10-K for the year</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ended December 31, 2021*</w:t>
              </w:r>
            </w:hyperlink>
          </w:p>
        </w:tc>
        <w:tc>
          <w:tcPr>
            <w:tcW w:w="7980" w:type="dxa"/>
            <w:vAlign w:val="bottom"/>
            <w:gridSpan w:val="16"/>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Amendment No. 2 to Employment Agreement, dated as of November 7, 2022, between Kathleen G. Weber, DNA Genotek, Inc. and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OraSure Technologies, Inc. is incorporated by reference to Exhibit 10.5 of the Company's Annual Report on form 10-K for the year</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97">
              <w:r>
                <w:rPr>
                  <w:rFonts w:ascii="Times New Roman" w:cs="Times New Roman" w:eastAsia="Times New Roman" w:hAnsi="Times New Roman"/>
                  <w:sz w:val="18"/>
                  <w:szCs w:val="18"/>
                  <w:color w:val="0000FF"/>
                  <w:w w:val="98"/>
                </w:rPr>
                <w:t>ended December 31, 2022*</w:t>
              </w:r>
            </w:hyperlink>
          </w:p>
        </w:tc>
        <w:tc>
          <w:tcPr>
            <w:tcW w:w="7940" w:type="dxa"/>
            <w:vAlign w:val="bottom"/>
            <w:tcBorders>
              <w:top w:val="single" w:sz="8" w:color="0000FF"/>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Employment Agreement, dated as of May 20, 2022, between OraSure Technologies, Inc. and Carrie Eglinton-Manner is incorporated by</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reference to exhibit 10.1 to the company's Current Report on Form 8-K filed on May 26, 2022.*</w:t>
              </w:r>
            </w:hyperlink>
          </w:p>
        </w:tc>
        <w:tc>
          <w:tcPr>
            <w:tcW w:w="3040" w:type="dxa"/>
            <w:vAlign w:val="bottom"/>
            <w:gridSpan w:val="9"/>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Employment Agreement dated August 8, 2022, between OraSure Technologies, Inc. and Kenneth J. McGrath is incorporated by reference</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to Exhibit 10.1 to the Company's Current Report on Form 8-K filed on August 12, 2022.*</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Severance Letter Agreement, dated August 25, 2021, between OraSure Technologies, Inc. and Michele M. Miller is incorporated by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reference to Exhibit 10.13 to the Company's Annual Report on Form 10-K for the year ended December 31, 2021.*</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Description of Non-Employee Director Compensation Policy, as amended, is incorporated by reference to Item 5.02 to the Company’s</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Current Report on form 8-K filed August 14, 2019.*</w:t>
              </w:r>
            </w:hyperlink>
          </w:p>
        </w:tc>
        <w:tc>
          <w:tcPr>
            <w:tcW w:w="6140" w:type="dxa"/>
            <w:vAlign w:val="bottom"/>
            <w:tcBorders>
              <w:top w:val="single" w:sz="8" w:color="0000FF"/>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Amended and Restated Epitope, Inc. 1991 Stock Award Plan is incorporated by reference to Exhibit 10.9 to the Company’s Annual</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Report on Form 10-K for the year ended December 31, 2002.*</w:t>
              </w:r>
            </w:hyperlink>
          </w:p>
        </w:tc>
      </w:tr>
      <w:tr>
        <w:trPr>
          <w:trHeight w:val="1067"/>
        </w:trPr>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80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10.90</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OraSure Technologies, Inc. Employee Incentive and Non-Qualified Stock Option Plan, as amended and restated effective September 29,</w:t>
              </w:r>
            </w:hyperlink>
          </w:p>
        </w:tc>
        <w:tc>
          <w:tcPr>
            <w:tcW w:w="12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7"/>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2000, is incorporated by reference to Exhibit 10.12 to the Company’s Annual Report on Form 10-K for the year ended December 31,</w:t>
              </w:r>
            </w:hyperlink>
          </w:p>
        </w:tc>
      </w:tr>
      <w:tr>
        <w:trPr>
          <w:trHeight w:val="196"/>
        </w:trPr>
        <w:tc>
          <w:tcPr>
            <w:tcW w:w="1300" w:type="dxa"/>
            <w:vAlign w:val="bottom"/>
          </w:tcPr>
          <w:p>
            <w:pPr>
              <w:spacing w:after="0"/>
              <w:rPr>
                <w:sz w:val="17"/>
                <w:szCs w:val="17"/>
                <w:color w:val="auto"/>
              </w:rPr>
            </w:pPr>
          </w:p>
        </w:tc>
        <w:tc>
          <w:tcPr>
            <w:tcW w:w="4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2"/>
              </w:rPr>
            </w:pPr>
            <w:hyperlink r:id="rId105">
              <w:r>
                <w:rPr>
                  <w:rFonts w:ascii="Times New Roman" w:cs="Times New Roman" w:eastAsia="Times New Roman" w:hAnsi="Times New Roman"/>
                  <w:sz w:val="18"/>
                  <w:szCs w:val="18"/>
                  <w:color w:val="0000FF"/>
                  <w:w w:val="92"/>
                </w:rPr>
                <w:t>2000.*</w:t>
              </w:r>
            </w:hyperlink>
          </w:p>
        </w:tc>
        <w:tc>
          <w:tcPr>
            <w:tcW w:w="9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OraSure Technologies, Inc. Stock Award Plan, effective April 4, 2020, is incorporated by reference to Exhibit A</w:t>
              </w:r>
            </w:hyperlink>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74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to the Company’s Proxy Statement, filed April 9, 2020, for the 2020 Annual Meeting of Stockholders.*</w:t>
              </w:r>
            </w:hyperlink>
          </w:p>
        </w:tc>
        <w:tc>
          <w:tcPr>
            <w:tcW w:w="2500" w:type="dxa"/>
            <w:vAlign w:val="bottom"/>
            <w:gridSpan w:val="9"/>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Amended and Restated OraSure Technologies, Inc. 2000 Stock Award Plan, Effective March 31, 2023, is incorporated by reference to</w:t>
              </w:r>
            </w:hyperlink>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8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Exhibit 10.1 to the Company's Current Report on Form 8-K filed May 16, 2023.*</w:t>
              </w:r>
            </w:hyperlink>
          </w:p>
        </w:tc>
        <w:tc>
          <w:tcPr>
            <w:tcW w:w="4080" w:type="dxa"/>
            <w:vAlign w:val="bottom"/>
            <w:gridSpan w:val="14"/>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96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Amended and Restated OraSure Technologies, Inc. 2000 Stock Award Plan, Effective March 25, 2024, is incorporated by reference to</w:t>
              </w:r>
            </w:hyperlink>
          </w:p>
        </w:tc>
        <w:tc>
          <w:tcPr>
            <w:tcW w:w="280" w:type="dxa"/>
            <w:vAlign w:val="bottom"/>
            <w:gridSpan w:val="5"/>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8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Exhibit 10.1 to the Company's Current Report on Form 8-K filed May 17, 2024.*</w:t>
              </w:r>
            </w:hyperlink>
          </w:p>
        </w:tc>
        <w:tc>
          <w:tcPr>
            <w:tcW w:w="4080" w:type="dxa"/>
            <w:vAlign w:val="bottom"/>
            <w:gridSpan w:val="14"/>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9940" w:type="dxa"/>
            <w:vAlign w:val="bottom"/>
            <w:gridSpan w:val="2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Amended and Restated OraSure Technologies, Inc. 2000 Stock Award Plan, Effective March 24, 2025, is incorporated by reference to</w:t>
              </w:r>
            </w:hyperlink>
          </w:p>
        </w:tc>
      </w:tr>
      <w:tr>
        <w:trPr>
          <w:trHeight w:val="196"/>
        </w:trPr>
        <w:tc>
          <w:tcPr>
            <w:tcW w:w="1300" w:type="dxa"/>
            <w:vAlign w:val="bottom"/>
          </w:tcPr>
          <w:p>
            <w:pPr>
              <w:spacing w:after="0"/>
              <w:rPr>
                <w:sz w:val="17"/>
                <w:szCs w:val="17"/>
                <w:color w:val="auto"/>
              </w:rPr>
            </w:pPr>
          </w:p>
        </w:tc>
        <w:tc>
          <w:tcPr>
            <w:tcW w:w="964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Exhibit 10.1 to the Company's Current Report on Form 8-K filed May 14, 2025.</w:t>
              </w:r>
              <w:r>
                <w:rPr>
                  <w:rFonts w:ascii="Times New Roman" w:cs="Times New Roman" w:eastAsia="Times New Roman" w:hAnsi="Times New Roman"/>
                  <w:sz w:val="18"/>
                  <w:szCs w:val="18"/>
                  <w:color w:val="000000"/>
                </w:rPr>
                <w:t>*</w:t>
              </w:r>
            </w:hyperlink>
          </w:p>
        </w:tc>
        <w:tc>
          <w:tcPr>
            <w:tcW w:w="300" w:type="dxa"/>
            <w:vAlign w:val="bottom"/>
            <w:gridSpan w:val="6"/>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9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Restricted Share Award Agreement (Executive Officers – Employment Agreements) is incorporated by reference to Exhibit</w:t>
              </w:r>
            </w:hyperlink>
          </w:p>
        </w:tc>
      </w:tr>
      <w:tr>
        <w:trPr>
          <w:trHeight w:val="196"/>
        </w:trPr>
        <w:tc>
          <w:tcPr>
            <w:tcW w:w="1300" w:type="dxa"/>
            <w:vAlign w:val="bottom"/>
          </w:tcPr>
          <w:p>
            <w:pPr>
              <w:spacing w:after="0"/>
              <w:rPr>
                <w:sz w:val="17"/>
                <w:szCs w:val="17"/>
                <w:color w:val="auto"/>
              </w:rPr>
            </w:pPr>
          </w:p>
        </w:tc>
        <w:tc>
          <w:tcPr>
            <w:tcW w:w="68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24</w:t>
              </w:r>
              <w:r>
                <w:rPr>
                  <w:rFonts w:ascii="Times New Roman" w:cs="Times New Roman" w:eastAsia="Times New Roman" w:hAnsi="Times New Roman"/>
                  <w:sz w:val="18"/>
                  <w:szCs w:val="18"/>
                  <w:color w:val="0000FF"/>
                  <w:w w:val="99"/>
                </w:rPr>
                <w:t xml:space="preserve"> to the Company’s Annual Report on Form 10-K for the year ended December 31, 2015.*</w:t>
              </w:r>
            </w:hyperlink>
          </w:p>
        </w:tc>
        <w:tc>
          <w:tcPr>
            <w:tcW w:w="3080" w:type="dxa"/>
            <w:vAlign w:val="bottom"/>
            <w:gridSpan w:val="10"/>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9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Restricted Unit Award Agreement (Executive Officers – Employment Agreements) is incorporated by reference to Exhibit 10.27</w:t>
              </w:r>
            </w:hyperlink>
          </w:p>
        </w:tc>
      </w:tr>
      <w:tr>
        <w:trPr>
          <w:trHeight w:val="196"/>
        </w:trPr>
        <w:tc>
          <w:tcPr>
            <w:tcW w:w="1300" w:type="dxa"/>
            <w:vAlign w:val="bottom"/>
          </w:tcPr>
          <w:p>
            <w:pPr>
              <w:spacing w:after="0"/>
              <w:rPr>
                <w:sz w:val="17"/>
                <w:szCs w:val="17"/>
                <w:color w:val="auto"/>
              </w:rPr>
            </w:pPr>
          </w:p>
        </w:tc>
        <w:tc>
          <w:tcPr>
            <w:tcW w:w="64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to the Company’s Annual Report on Form 10-K for the year ended December 31, 2016. *</w:t>
              </w:r>
            </w:hyperlink>
          </w:p>
        </w:tc>
        <w:tc>
          <w:tcPr>
            <w:tcW w:w="3500" w:type="dxa"/>
            <w:vAlign w:val="bottom"/>
            <w:gridSpan w:val="12"/>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9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Restricted Unit Award Agreement (Executive Officers-Employment Agreements) for 2021 awards is incorporated by reference</w:t>
              </w:r>
            </w:hyperlink>
          </w:p>
        </w:tc>
      </w:tr>
      <w:tr>
        <w:trPr>
          <w:trHeight w:val="196"/>
        </w:trPr>
        <w:tc>
          <w:tcPr>
            <w:tcW w:w="1300" w:type="dxa"/>
            <w:vAlign w:val="bottom"/>
          </w:tcPr>
          <w:p>
            <w:pPr>
              <w:spacing w:after="0"/>
              <w:rPr>
                <w:sz w:val="17"/>
                <w:szCs w:val="17"/>
                <w:color w:val="auto"/>
              </w:rPr>
            </w:pPr>
          </w:p>
        </w:tc>
        <w:tc>
          <w:tcPr>
            <w:tcW w:w="9940" w:type="dxa"/>
            <w:vAlign w:val="bottom"/>
            <w:gridSpan w:val="27"/>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to Exhibit 10.20 to the Company's Annual Report on Form 10-K for the year ended December 31, 2021.*</w:t>
              </w:r>
            </w:hyperlink>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Restricted Share Grant Agreement (Non-Employee Directors) is incorporated by reference to Exhibit 10.24 to the Company’s</w:t>
              </w:r>
            </w:hyperlink>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7"/>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Annual Report on Form 10-K for the year ended December 31, 2011.*</w:t>
              </w:r>
            </w:hyperlink>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9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Nonqualified Stock Option Award General Terms and Conditions (Executive Officers) is incorporated by reference to Exhibit 10.25 to</w:t>
              </w:r>
            </w:hyperlink>
          </w:p>
        </w:tc>
      </w:tr>
      <w:tr>
        <w:trPr>
          <w:trHeight w:val="196"/>
        </w:trPr>
        <w:tc>
          <w:tcPr>
            <w:tcW w:w="1300" w:type="dxa"/>
            <w:vAlign w:val="bottom"/>
          </w:tcPr>
          <w:p>
            <w:pPr>
              <w:spacing w:after="0"/>
              <w:rPr>
                <w:sz w:val="17"/>
                <w:szCs w:val="17"/>
                <w:color w:val="auto"/>
              </w:rPr>
            </w:pPr>
          </w:p>
        </w:tc>
        <w:tc>
          <w:tcPr>
            <w:tcW w:w="62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the Company’s Annual Report on Form 10-K for the year ended December 31, 2011.*</w:t>
              </w:r>
            </w:hyperlink>
          </w:p>
        </w:tc>
        <w:tc>
          <w:tcPr>
            <w:tcW w:w="3740" w:type="dxa"/>
            <w:vAlign w:val="bottom"/>
            <w:gridSpan w:val="13"/>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9940" w:type="dxa"/>
            <w:vAlign w:val="bottom"/>
            <w:gridSpan w:val="2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Nonqualified Stock Option Award General Terms and Conditions (Non-Employee Directors) is incorporated by reference to Exhibit</w:t>
              </w:r>
            </w:hyperlink>
          </w:p>
        </w:tc>
      </w:tr>
      <w:tr>
        <w:trPr>
          <w:trHeight w:val="196"/>
        </w:trPr>
        <w:tc>
          <w:tcPr>
            <w:tcW w:w="1300" w:type="dxa"/>
            <w:vAlign w:val="bottom"/>
          </w:tcPr>
          <w:p>
            <w:pPr>
              <w:spacing w:after="0"/>
              <w:rPr>
                <w:sz w:val="17"/>
                <w:szCs w:val="17"/>
                <w:color w:val="auto"/>
              </w:rPr>
            </w:pPr>
          </w:p>
        </w:tc>
        <w:tc>
          <w:tcPr>
            <w:tcW w:w="684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26</w:t>
              </w:r>
              <w:r>
                <w:rPr>
                  <w:rFonts w:ascii="Times New Roman" w:cs="Times New Roman" w:eastAsia="Times New Roman" w:hAnsi="Times New Roman"/>
                  <w:sz w:val="18"/>
                  <w:szCs w:val="18"/>
                  <w:color w:val="0000FF"/>
                  <w:w w:val="99"/>
                </w:rPr>
                <w:t xml:space="preserve"> to the Company’s Annual Report on Form 10-K for the year ended December 31, 2011.*</w:t>
              </w:r>
            </w:hyperlink>
          </w:p>
        </w:tc>
        <w:tc>
          <w:tcPr>
            <w:tcW w:w="306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9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OraSure Technologies, Inc. Deferred Compensation Plan is incorporated by reference to Exhibit 99.1 to the Company’s Current Report</w:t>
              </w:r>
            </w:hyperlink>
          </w:p>
        </w:tc>
      </w:tr>
      <w:tr>
        <w:trPr>
          <w:trHeight w:val="196"/>
        </w:trPr>
        <w:tc>
          <w:tcPr>
            <w:tcW w:w="1300" w:type="dxa"/>
            <w:vAlign w:val="bottom"/>
          </w:tcPr>
          <w:p>
            <w:pPr>
              <w:spacing w:after="0"/>
              <w:rPr>
                <w:sz w:val="17"/>
                <w:szCs w:val="17"/>
                <w:color w:val="auto"/>
              </w:rPr>
            </w:pPr>
          </w:p>
        </w:tc>
        <w:tc>
          <w:tcPr>
            <w:tcW w:w="29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on Form 8-K filed December 21, 2011.*</w:t>
              </w:r>
            </w:hyperlink>
          </w:p>
        </w:tc>
        <w:tc>
          <w:tcPr>
            <w:tcW w:w="7040" w:type="dxa"/>
            <w:vAlign w:val="bottom"/>
            <w:gridSpan w:val="19"/>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9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Adoption Agreement related to OraSure Technologies, Inc. Deferred Compensation Plan is incorporated by reference to Exhibit 99.2 to</w:t>
              </w:r>
            </w:hyperlink>
          </w:p>
        </w:tc>
      </w:tr>
      <w:tr>
        <w:trPr>
          <w:trHeight w:val="196"/>
        </w:trPr>
        <w:tc>
          <w:tcPr>
            <w:tcW w:w="1300" w:type="dxa"/>
            <w:vAlign w:val="bottom"/>
          </w:tcPr>
          <w:p>
            <w:pPr>
              <w:spacing w:after="0"/>
              <w:rPr>
                <w:sz w:val="17"/>
                <w:szCs w:val="17"/>
                <w:color w:val="auto"/>
              </w:rPr>
            </w:pPr>
          </w:p>
        </w:tc>
        <w:tc>
          <w:tcPr>
            <w:tcW w:w="51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the Company’s Current Report on Form 8-K filed December 21, 2011.*</w:t>
              </w:r>
            </w:hyperlink>
          </w:p>
        </w:tc>
        <w:tc>
          <w:tcPr>
            <w:tcW w:w="4780" w:type="dxa"/>
            <w:vAlign w:val="bottom"/>
            <w:gridSpan w:val="16"/>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9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109 Million Capital Funding Agreement with the U.S. Department of Defense, in coordination with the Department of Health and</w:t>
              </w:r>
            </w:hyperlink>
          </w:p>
        </w:tc>
      </w:tr>
      <w:tr>
        <w:trPr>
          <w:trHeight w:val="196"/>
        </w:trPr>
        <w:tc>
          <w:tcPr>
            <w:tcW w:w="1300" w:type="dxa"/>
            <w:vAlign w:val="bottom"/>
          </w:tcPr>
          <w:p>
            <w:pPr>
              <w:spacing w:after="0"/>
              <w:rPr>
                <w:sz w:val="17"/>
                <w:szCs w:val="17"/>
                <w:color w:val="auto"/>
              </w:rPr>
            </w:pPr>
          </w:p>
        </w:tc>
        <w:tc>
          <w:tcPr>
            <w:tcW w:w="99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Human Services is incorporated by reference to Exhibit 10.2 to the Company's Quarterly Report on From 10-Q for the period ended</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September 30, 2021, filed November 4, 2021.</w:t>
              </w:r>
            </w:hyperlink>
          </w:p>
        </w:tc>
        <w:tc>
          <w:tcPr>
            <w:tcW w:w="6640" w:type="dxa"/>
            <w:vAlign w:val="bottom"/>
            <w:gridSpan w:val="18"/>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9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Industrial Lease between Core5 at Laughman Farms Phase 1, LLC as Landlord and OraSure Technologies, Inc. as Tenant, dated January</w:t>
              </w:r>
            </w:hyperlink>
          </w:p>
        </w:tc>
        <w:tc>
          <w:tcPr>
            <w:tcW w:w="120" w:type="dxa"/>
            <w:vAlign w:val="bottom"/>
            <w:gridSpan w:val="3"/>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7"/>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3, 2022 is incorporated by reference to Exhibit 10.30 to the Company's Annual Report on Form 10-K for the year ended December 31,</w:t>
              </w:r>
            </w:hyperlink>
          </w:p>
        </w:tc>
      </w:tr>
      <w:tr>
        <w:trPr>
          <w:trHeight w:val="196"/>
        </w:trPr>
        <w:tc>
          <w:tcPr>
            <w:tcW w:w="130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19">
              <w:r>
                <w:rPr>
                  <w:rFonts w:ascii="Times New Roman" w:cs="Times New Roman" w:eastAsia="Times New Roman" w:hAnsi="Times New Roman"/>
                  <w:sz w:val="18"/>
                  <w:szCs w:val="18"/>
                  <w:color w:val="0000FF"/>
                  <w:w w:val="93"/>
                </w:rPr>
                <w:t>2021.</w:t>
              </w:r>
            </w:hyperlink>
          </w:p>
        </w:tc>
        <w:tc>
          <w:tcPr>
            <w:tcW w:w="8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9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30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20" w:type="dxa"/>
            <w:vAlign w:val="bottom"/>
            <w:gridSpan w:val="20"/>
          </w:tcPr>
          <w:p>
            <w:pPr>
              <w:spacing w:after="0" w:line="20" w:lineRule="exact"/>
              <w:rPr>
                <w:sz w:val="1"/>
                <w:szCs w:val="1"/>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2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Subsidiaries of the Company</w:t>
            </w:r>
          </w:p>
        </w:tc>
        <w:tc>
          <w:tcPr>
            <w:tcW w:w="7860" w:type="dxa"/>
            <w:vAlign w:val="bottom"/>
            <w:gridSpan w:val="21"/>
          </w:tcPr>
          <w:p>
            <w:pPr>
              <w:spacing w:after="0"/>
              <w:rPr>
                <w:sz w:val="24"/>
                <w:szCs w:val="24"/>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23"/>
                <w:szCs w:val="23"/>
                <w:color w:val="auto"/>
                <w:vertAlign w:val="superscript"/>
              </w:rPr>
              <w:t>+</w:t>
            </w:r>
          </w:p>
        </w:tc>
        <w:tc>
          <w:tcPr>
            <w:tcW w:w="1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Consent of KPMG LLP.</w:t>
            </w:r>
          </w:p>
        </w:tc>
        <w:tc>
          <w:tcPr>
            <w:tcW w:w="8200" w:type="dxa"/>
            <w:vAlign w:val="bottom"/>
            <w:gridSpan w:val="22"/>
          </w:tcPr>
          <w:p>
            <w:pPr>
              <w:spacing w:after="0"/>
              <w:rPr>
                <w:sz w:val="24"/>
                <w:szCs w:val="24"/>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23.2+</w:t>
            </w: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Grant Thornton LLP</w:t>
            </w:r>
          </w:p>
        </w:tc>
        <w:tc>
          <w:tcPr>
            <w:tcW w:w="7620" w:type="dxa"/>
            <w:vAlign w:val="bottom"/>
            <w:gridSpan w:val="20"/>
          </w:tcPr>
          <w:p>
            <w:pPr>
              <w:spacing w:after="0"/>
              <w:rPr>
                <w:sz w:val="24"/>
                <w:szCs w:val="24"/>
                <w:color w:val="auto"/>
              </w:rPr>
            </w:pPr>
          </w:p>
        </w:tc>
      </w:tr>
      <w:tr>
        <w:trPr>
          <w:trHeight w:val="304"/>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23"/>
                <w:szCs w:val="23"/>
                <w:color w:val="auto"/>
                <w:vertAlign w:val="superscript"/>
              </w:rPr>
              <w:t>+</w:t>
            </w:r>
          </w:p>
        </w:tc>
        <w:tc>
          <w:tcPr>
            <w:tcW w:w="99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Powers of Attorney.</w:t>
            </w:r>
          </w:p>
        </w:tc>
      </w:tr>
      <w:tr>
        <w:trPr>
          <w:trHeight w:val="1121"/>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9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40" w:type="dxa"/>
        <w:tblCellMar>
          <w:top w:w="0" w:type="dxa"/>
          <w:left w:w="0" w:type="dxa"/>
          <w:bottom w:w="0" w:type="dxa"/>
          <w:right w:w="0" w:type="dxa"/>
        </w:tblCellMar>
      </w:tblP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3"/>
                <w:szCs w:val="23"/>
                <w:color w:val="auto"/>
                <w:vertAlign w:val="superscript"/>
              </w:rPr>
              <w:t>+</w:t>
            </w:r>
          </w:p>
        </w:tc>
        <w:tc>
          <w:tcPr>
            <w:tcW w:w="9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Carrie Eglinton Manner. required by Rule 13a-14(a) or Rule 15d-14(a) under the Securities Exchange Act of 1934, as</w:t>
            </w:r>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40" w:type="dxa"/>
            <w:vAlign w:val="bottom"/>
            <w:gridSpan w:val="5"/>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3"/>
                <w:szCs w:val="23"/>
                <w:color w:val="auto"/>
                <w:vertAlign w:val="superscript"/>
              </w:rPr>
              <w:t>+</w:t>
            </w:r>
          </w:p>
        </w:tc>
        <w:tc>
          <w:tcPr>
            <w:tcW w:w="9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13a-14(a) or Rule 15d-14(a) under the Securities Exchange Act of 1934, as</w:t>
            </w:r>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40" w:type="dxa"/>
            <w:vAlign w:val="bottom"/>
            <w:gridSpan w:val="5"/>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Carrie Eglinton Manner. required by Rule 13a-14(b) or Rule 15a-14(b) under the Securities Exchange Act of 1934, as</w:t>
            </w:r>
          </w:p>
        </w:tc>
      </w:tr>
      <w:tr>
        <w:trPr>
          <w:trHeight w:val="196"/>
        </w:trPr>
        <w:tc>
          <w:tcPr>
            <w:tcW w:w="1140" w:type="dxa"/>
            <w:vAlign w:val="bottom"/>
          </w:tcPr>
          <w:p>
            <w:pPr>
              <w:spacing w:after="0"/>
              <w:rPr>
                <w:sz w:val="17"/>
                <w:szCs w:val="17"/>
                <w:color w:val="auto"/>
              </w:rPr>
            </w:pPr>
          </w:p>
        </w:tc>
        <w:tc>
          <w:tcPr>
            <w:tcW w:w="80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amended, and 18 U.S.C. Section 1350, as Adopted Pursuant to Section 906 of the Sarbanes-Oxley Act of 2002.</w:t>
            </w:r>
          </w:p>
        </w:tc>
        <w:tc>
          <w:tcPr>
            <w:tcW w:w="1900" w:type="dxa"/>
            <w:vAlign w:val="bottom"/>
            <w:gridSpan w:val="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13a-14(b) or Rule 15a-14(b) under the Securities Exchange Act of 1934, as</w:t>
            </w:r>
          </w:p>
        </w:tc>
      </w:tr>
      <w:tr>
        <w:trPr>
          <w:trHeight w:val="196"/>
        </w:trPr>
        <w:tc>
          <w:tcPr>
            <w:tcW w:w="1140" w:type="dxa"/>
            <w:vAlign w:val="bottom"/>
          </w:tcPr>
          <w:p>
            <w:pPr>
              <w:spacing w:after="0"/>
              <w:rPr>
                <w:sz w:val="17"/>
                <w:szCs w:val="17"/>
                <w:color w:val="auto"/>
              </w:rPr>
            </w:pPr>
          </w:p>
        </w:tc>
        <w:tc>
          <w:tcPr>
            <w:tcW w:w="80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amended, and 18 U.S.C. Section 1350, as Adopted Pursuant to Section 906 of the Sarbanes-Oxley Act of 2002.</w:t>
            </w:r>
          </w:p>
        </w:tc>
        <w:tc>
          <w:tcPr>
            <w:tcW w:w="1920" w:type="dxa"/>
            <w:vAlign w:val="bottom"/>
            <w:gridSpan w:val="3"/>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97.10</w:t>
            </w:r>
          </w:p>
        </w:tc>
        <w:tc>
          <w:tcPr>
            <w:tcW w:w="9940" w:type="dxa"/>
            <w:vAlign w:val="bottom"/>
            <w:gridSpan w:val="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OraSure Technologies Inc. Compensation Recovery Policy is incorporated by reference to Exhibit 97.1 to the Company's Annual Report</w:t>
              </w:r>
            </w:hyperlink>
          </w:p>
        </w:tc>
      </w:tr>
      <w:tr>
        <w:trPr>
          <w:trHeight w:val="196"/>
        </w:trPr>
        <w:tc>
          <w:tcPr>
            <w:tcW w:w="1140" w:type="dxa"/>
            <w:vAlign w:val="bottom"/>
          </w:tcPr>
          <w:p>
            <w:pPr>
              <w:spacing w:after="0"/>
              <w:rPr>
                <w:sz w:val="17"/>
                <w:szCs w:val="17"/>
                <w:color w:val="auto"/>
              </w:rPr>
            </w:pPr>
          </w:p>
        </w:tc>
        <w:tc>
          <w:tcPr>
            <w:tcW w:w="982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on Form 10-K for the year ended December 31, 2023.</w:t>
              </w:r>
            </w:hyperlink>
          </w:p>
        </w:tc>
        <w:tc>
          <w:tcPr>
            <w:tcW w:w="120" w:type="dxa"/>
            <w:vAlign w:val="bottom"/>
          </w:tcPr>
          <w:p>
            <w:pPr>
              <w:spacing w:after="0"/>
              <w:rPr>
                <w:sz w:val="17"/>
                <w:szCs w:val="17"/>
                <w:color w:val="auto"/>
              </w:rPr>
            </w:pPr>
          </w:p>
        </w:tc>
      </w:tr>
      <w:tr>
        <w:trPr>
          <w:trHeight w:val="34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60" w:type="dxa"/>
            <w:vAlign w:val="bottom"/>
            <w:gridSpan w:val="4"/>
          </w:tcPr>
          <w:p>
            <w:pPr>
              <w:spacing w:after="0"/>
              <w:rPr>
                <w:sz w:val="24"/>
                <w:szCs w:val="24"/>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1280" w:right="200" w:hanging="1146"/>
        <w:spacing w:after="0" w:line="282" w:lineRule="auto"/>
        <w:tabs>
          <w:tab w:leader="none" w:pos="1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2020, has been formatted in Inline XBRL.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340" w:right="300" w:hanging="332"/>
        <w:spacing w:after="0" w:line="250" w:lineRule="auto"/>
        <w:tabs>
          <w:tab w:leader="none" w:pos="1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filings under the Securities Act or the Exchange Act.</w:t>
      </w:r>
    </w:p>
    <w:p>
      <w:pPr>
        <w:spacing w:after="0" w:line="1"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34" w:lineRule="exact"/>
        <w:rPr>
          <w:sz w:val="20"/>
          <w:szCs w:val="20"/>
          <w:color w:val="auto"/>
        </w:rPr>
      </w:pPr>
    </w:p>
    <w:p>
      <w:pPr>
        <w:ind w:left="340" w:right="840" w:hanging="323"/>
        <w:spacing w:after="0" w:line="261" w:lineRule="auto"/>
        <w:rPr>
          <w:sz w:val="20"/>
          <w:szCs w:val="20"/>
          <w:color w:val="auto"/>
        </w:rPr>
      </w:pPr>
      <w:r>
        <w:rPr>
          <w:rFonts w:ascii="Times New Roman" w:cs="Times New Roman" w:eastAsia="Times New Roman" w:hAnsi="Times New Roman"/>
          <w:sz w:val="18"/>
          <w:szCs w:val="18"/>
          <w:color w:val="auto"/>
        </w:rPr>
        <w:t>† Certain portions of this Exhibit have been redacted pursuant to Item 601(b)(10)(iv) of Regulation S-K. The Company hereby agrees to furnish supplementally an unredacted copy of the exhibit to the SEC upon its request.</w:t>
      </w:r>
    </w:p>
    <w:p>
      <w:pPr>
        <w:ind w:left="340" w:right="960" w:hanging="323"/>
        <w:spacing w:after="0" w:line="250" w:lineRule="auto"/>
        <w:rPr>
          <w:sz w:val="20"/>
          <w:szCs w:val="20"/>
          <w:color w:val="auto"/>
        </w:rPr>
      </w:pPr>
      <w:r>
        <w:rPr>
          <w:rFonts w:ascii="Times New Roman" w:cs="Times New Roman" w:eastAsia="Times New Roman" w:hAnsi="Times New Roman"/>
          <w:sz w:val="18"/>
          <w:szCs w:val="18"/>
          <w:color w:val="auto"/>
        </w:rPr>
        <w:t>● Certain schedules, annexes or exhibits have been omitted pursuant to Item 601(a)(5) of Regulation S-K, but will be</w:t>
      </w:r>
      <w:r>
        <w:rPr>
          <w:sz w:val="20"/>
          <w:szCs w:val="20"/>
          <w:color w:val="auto"/>
        </w:rPr>
        <w:t xml:space="preserve"> </w:t>
      </w:r>
      <w:r>
        <w:rPr>
          <w:rFonts w:ascii="Times New Roman" w:cs="Times New Roman" w:eastAsia="Times New Roman" w:hAnsi="Times New Roman"/>
          <w:sz w:val="18"/>
          <w:szCs w:val="18"/>
          <w:color w:val="auto"/>
        </w:rPr>
        <w:t>furnished supplementally to the SEC upon request.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9, 2026.</w:t>
      </w:r>
    </w:p>
    <w:p>
      <w:pPr>
        <w:spacing w:after="0" w:line="17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331" w:lineRule="exact"/>
        <w:rPr>
          <w:sz w:val="20"/>
          <w:szCs w:val="20"/>
          <w:color w:val="auto"/>
        </w:rPr>
      </w:pPr>
    </w:p>
    <w:p>
      <w:pPr>
        <w:ind w:left="6300"/>
        <w:spacing w:after="0"/>
        <w:tabs>
          <w:tab w:leader="none" w:pos="6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35560</wp:posOffset>
            </wp:positionV>
            <wp:extent cx="27514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on March 9, 2026, by the following persons on behalf of the Registrant and in the capacities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22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SIGNATURE</w:t>
            </w:r>
          </w:p>
        </w:tc>
        <w:tc>
          <w:tcPr>
            <w:tcW w:w="8380" w:type="dxa"/>
            <w:vAlign w:val="bottom"/>
          </w:tcPr>
          <w:p>
            <w:pPr>
              <w:ind w:left="5300"/>
              <w:spacing w:after="0"/>
              <w:rPr>
                <w:sz w:val="20"/>
                <w:szCs w:val="20"/>
                <w:color w:val="auto"/>
              </w:rPr>
            </w:pPr>
            <w:r>
              <w:rPr>
                <w:rFonts w:ascii="Times New Roman" w:cs="Times New Roman" w:eastAsia="Times New Roman" w:hAnsi="Times New Roman"/>
                <w:sz w:val="14"/>
                <w:szCs w:val="14"/>
                <w:color w:val="auto"/>
              </w:rPr>
              <w:t>TITLE</w:t>
            </w:r>
          </w:p>
        </w:tc>
        <w:tc>
          <w:tcPr>
            <w:tcW w:w="0" w:type="dxa"/>
            <w:vAlign w:val="bottom"/>
          </w:tcPr>
          <w:p>
            <w:pPr>
              <w:spacing w:after="0"/>
              <w:rPr>
                <w:sz w:val="1"/>
                <w:szCs w:val="1"/>
                <w:color w:val="auto"/>
              </w:rPr>
            </w:pPr>
          </w:p>
        </w:tc>
      </w:tr>
      <w:tr>
        <w:trPr>
          <w:trHeight w:val="31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Carrie Eglinton Manner</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838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Carrie Eglinton Manner</w:t>
            </w: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Kenneth J. McGrath</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838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Kenneth J. McGrath</w:t>
            </w: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Michele Anthony</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Senior Vice President, Controller &amp; Chief Accounting Officer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838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Michele Anthony</w:t>
            </w: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K. BOYD</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K. Boyd</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*NANCY J. GAGLIANO, M.D.</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860" w:type="dxa"/>
            <w:vAlign w:val="bottom"/>
            <w:gridSpan w:val="2"/>
            <w:vMerge w:val="continue"/>
          </w:tcPr>
          <w:p>
            <w:pPr>
              <w:spacing w:after="0"/>
              <w:rPr>
                <w:sz w:val="18"/>
                <w:szCs w:val="18"/>
                <w:color w:val="auto"/>
              </w:rPr>
            </w:pPr>
          </w:p>
        </w:tc>
        <w:tc>
          <w:tcPr>
            <w:tcW w:w="8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J. Gagliano, M.D.</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P. KENNY</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P. Kenny</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*LELIO MARMORA</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Lelio Marmora</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MCMAHON</w:t>
            </w:r>
          </w:p>
        </w:tc>
        <w:tc>
          <w:tcPr>
            <w:tcW w:w="83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McMahon</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/s/Stefano Taucer</w:t>
            </w:r>
          </w:p>
        </w:tc>
        <w:tc>
          <w:tcPr>
            <w:tcW w:w="8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Stefano Taucer</w:t>
            </w:r>
          </w:p>
        </w:tc>
        <w:tc>
          <w:tcPr>
            <w:tcW w:w="8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8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7"/>
        </w:trPr>
        <w:tc>
          <w:tcPr>
            <w:tcW w:w="6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Page</w:t>
            </w:r>
          </w:p>
        </w:tc>
      </w:tr>
      <w:tr>
        <w:trPr>
          <w:trHeight w:val="37"/>
        </w:trPr>
        <w:tc>
          <w:tcPr>
            <w:tcW w:w="2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3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77"/>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(GRANT THORNTON LLP, Philadelphia, PA, Auditor Firm ID:248)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Philadelphia, PA, Auditor Firm ID: 185)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52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40" w:type="dxa"/>
            <w:vAlign w:val="bottom"/>
            <w:tcBorders>
              <w:top w:val="single" w:sz="8" w:color="0000FF"/>
            </w:tcBorders>
            <w:gridSpan w:val="5"/>
          </w:tcPr>
          <w:p>
            <w:pPr>
              <w:spacing w:after="0"/>
              <w:rPr>
                <w:sz w:val="24"/>
                <w:szCs w:val="24"/>
                <w:color w:val="auto"/>
              </w:rPr>
            </w:pPr>
          </w:p>
        </w:tc>
        <w:tc>
          <w:tcPr>
            <w:tcW w:w="6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31"/>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7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31"/>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31"/>
        </w:trPr>
        <w:tc>
          <w:tcPr>
            <w:tcW w:w="3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80" w:type="dxa"/>
            <w:vAlign w:val="bottom"/>
            <w:tcBorders>
              <w:top w:val="single" w:sz="8" w:color="0000FF"/>
            </w:tcBorders>
          </w:tcPr>
          <w:p>
            <w:pPr>
              <w:spacing w:after="0"/>
              <w:rPr>
                <w:sz w:val="24"/>
                <w:szCs w:val="24"/>
                <w:color w:val="auto"/>
              </w:rPr>
            </w:pPr>
          </w:p>
        </w:tc>
        <w:tc>
          <w:tcPr>
            <w:tcW w:w="6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331"/>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70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331"/>
        </w:trPr>
        <w:tc>
          <w:tcPr>
            <w:tcW w:w="3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16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OraSure Technologies, Inc. (a Delaware corporation) and subsidiaries (the “Company”) as of December 31, 2025 and 2024, the related consolidated statements of operations, comprehensive (loss) income,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9, 2026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the royalty based contingent consideration from the Sherlock Biosciences, Inc. acquisition</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further described in Notes 2 and 13 to the consolidated financial statements, on December 19, 2024, the Company acquired Sherlock Biosciences, Inc. ("Sherlock"), pursuant to the terms of a merger agreement. The purchase consideration transferred in this transaction included, in part, contingent consideration related to royalty payments through December 31, 2034, representing a mid-single digit percentage of future revenues associated with the acquired in-process research and development technology intangible asset. The royalty based contingent consideration is adjusted to fair value at each reporting period. The estimated fair value of the royalty based contingent consideration as of December 31, 2025 was $9.1 million. We identified the fair value determinations of the royalty based contingent consideration as a critical audit matter.</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fair value of the royalty based contingent consideration is a critical audit matter is that the inputs and assumptions utilized by management require significant judgment and result in a high degree of estimation uncertainty. The subjectivity of the estimate increases the level of auditor judgment and effort to</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evaluate management’s significant assumptions, including (i) future expected revenues and (ii) discount rates. Further, changes in these assumptions and judgments could have a significant impact on the recorded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fair value of the royalty based contingent consideration included the following, among others:</w:t>
      </w:r>
    </w:p>
    <w:p>
      <w:pPr>
        <w:spacing w:after="0" w:line="252" w:lineRule="exact"/>
        <w:rPr>
          <w:sz w:val="20"/>
          <w:szCs w:val="20"/>
          <w:color w:val="auto"/>
        </w:rPr>
      </w:pPr>
    </w:p>
    <w:p>
      <w:pPr>
        <w:ind w:left="660" w:right="3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design and operating effectiveness of key controls related to management’s processes over the development of the fair value estimates and related key inputs and assumptions, and over the evaluation of the competency and objectivity of management's third-party valuation specialist.</w:t>
      </w:r>
    </w:p>
    <w:p>
      <w:pPr>
        <w:spacing w:after="0" w:line="20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the valuation models utilized and the completeness, accuracy and relevance of underlying data used in the model.</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reasonableness of management’s estimated revenues by obtaining an understanding of management’s processes for developing projected financial information, including inspection of relevant market data and other supporting documentation.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valuation specialists to evaluate the reasonableness of the methodology and discount rates used in the valuation.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sensitivity analyses around the future expected revenues and discount rate assumptions utilized by management.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(loss) income, stockholders’ equity, and cash flows of OraSure Technologies, Inc. and subsidiaries (the Company) for the year ended December 31, 2023, and the related notes (collectively, the consolidated financial statements). In our opinion, the consolidated financial statements present fairly, in all material respects, the results of operations of the Company and its cash flows for the year ended December 31, 2023, in conformity with U.S. generally accepted accounting principles.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2002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 except for Note 12, as to which the date is March 7, 2025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199,278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267,763</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$188 and $774</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22,203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31,060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34,197</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5,221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w:t>
            </w: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261,908</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333,220</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 of accumulated depreciation</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39,179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45,105</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right-of-use assets, net</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11,996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13,442</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right-of-use assets, net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19,046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17,435</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43,363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40,330</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equity method investee</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25,956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asset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noncurrent assets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141,260</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146,439</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403,168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479,659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6,521</w:t>
            </w:r>
          </w:p>
        </w:tc>
        <w:tc>
          <w:tcPr>
            <w:tcW w:w="14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8,173</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1,518</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11,149</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20,179</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2,164</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Acquisition-related contingent consideration obligation</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18,380</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39,795</w:t>
            </w: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33,483</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10,870</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12,321</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Acquisition-related contingent consideration obligation</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9,333</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22,910</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2,243</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6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22,546</w:t>
            </w: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35,838</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62,341</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69,321</w:t>
            </w:r>
          </w:p>
        </w:tc>
        <w:tc>
          <w:tcPr>
            <w:tcW w:w="0" w:type="dxa"/>
            <w:vAlign w:val="bottom"/>
          </w:tcPr>
          <w:p>
            <w:pPr>
              <w:spacing w:after="0"/>
              <w:rPr>
                <w:sz w:val="1"/>
                <w:szCs w:val="1"/>
                <w:color w:val="auto"/>
              </w:rPr>
            </w:pPr>
          </w:p>
        </w:tc>
      </w:tr>
      <w:tr>
        <w:trPr>
          <w:trHeight w:val="17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6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par value $0.000001, 25,000 shares authorized, none issued</w:t>
            </w:r>
          </w:p>
        </w:tc>
        <w:tc>
          <w:tcPr>
            <w:tcW w:w="6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par value $0.000001, 120,000 shares authorized, 70,391 and 74,598 shares issued and outstanding</w:t>
            </w:r>
          </w:p>
        </w:tc>
        <w:tc>
          <w:tcPr>
            <w:tcW w:w="6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531,393</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538,129</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(18,404)</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(24,360)</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6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(172,162)</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(103,431)</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340,827</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410,338</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403,168</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479,659</w:t>
            </w: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Products and services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184,611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233,820</w:t>
            </w:r>
          </w:p>
        </w:tc>
        <w:tc>
          <w:tcPr>
            <w:tcW w:w="0" w:type="dxa"/>
            <w:vAlign w:val="bottom"/>
          </w:tcPr>
          <w:p>
            <w:pPr>
              <w:spacing w:after="0"/>
              <w:rPr>
                <w:sz w:val="1"/>
                <w:szCs w:val="1"/>
                <w:color w:val="auto"/>
              </w:rPr>
            </w:pP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138,968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income before income taxes and equity investment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EQUITY INVESTMENT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(LOSS) INCOME PER SHARE: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ORASURE TECHNOLOGIES, INC. AND SUBSIDIARIES CONSOLIDATED STATEMENTS OF COMPREHENSIVE (LOSS) INCOME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43"/>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1860" w:type="dxa"/>
            <w:vAlign w:val="bottom"/>
            <w:gridSpan w:val="3"/>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96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9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7"/>
                <w:szCs w:val="17"/>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364,425</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430,671</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410,338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 and retired in satisfaction of</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tax withholding for vested restricted 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performance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repurchased and retired in connection with</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repurchase program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(68,731)</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340,827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Pr>
          <w:p>
            <w:pPr>
              <w:spacing w:after="0"/>
              <w:rPr>
                <w:sz w:val="16"/>
                <w:szCs w:val="16"/>
                <w:color w:val="auto"/>
              </w:rPr>
            </w:pPr>
          </w:p>
        </w:tc>
      </w:tr>
      <w:tr>
        <w:trPr>
          <w:trHeight w:val="37"/>
        </w:trPr>
        <w:tc>
          <w:tcPr>
            <w:tcW w:w="74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6"/>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4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(68,731)</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53,655</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20,936</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impairments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10,829</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non-cash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9"/>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Unrealized foreign currency loss (gain)</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expense on finance leases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9"/>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on equity investment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(Gain) loss on sale of fixed assets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the estimated fair value of acquisition-related contingent consideration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 of acquisition-related contingent consideration</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9"/>
        </w:trPr>
        <w:tc>
          <w:tcPr>
            <w:tcW w:w="7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31,116</w:t>
            </w:r>
          </w:p>
        </w:tc>
      </w:tr>
      <w:tr>
        <w:trPr>
          <w:trHeight w:val="193"/>
        </w:trPr>
        <w:tc>
          <w:tcPr>
            <w:tcW w:w="7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48,228</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r>
      <w:tr>
        <w:trPr>
          <w:trHeight w:val="193"/>
        </w:trPr>
        <w:tc>
          <w:tcPr>
            <w:tcW w:w="7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(26,976)</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r>
      <w:tr>
        <w:trPr>
          <w:trHeight w:val="193"/>
        </w:trPr>
        <w:tc>
          <w:tcPr>
            <w:tcW w:w="7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(3,384)</w:t>
            </w:r>
          </w:p>
        </w:tc>
      </w:tr>
      <w:tr>
        <w:trPr>
          <w:trHeight w:val="37"/>
        </w:trPr>
        <w:tc>
          <w:tcPr>
            <w:tcW w:w="74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3"/>
        </w:trPr>
        <w:tc>
          <w:tcPr>
            <w:tcW w:w="74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141,583</w:t>
            </w: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(74,652)</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maturities and redemptions of investments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102,440</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 of equity method investee</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(5,802)</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 of property and equipment under government contracts</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funding under government contracts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48,669</w:t>
            </w:r>
          </w:p>
        </w:tc>
      </w:tr>
      <w:tr>
        <w:trPr>
          <w:trHeight w:val="37"/>
        </w:trPr>
        <w:tc>
          <w:tcPr>
            <w:tcW w:w="74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3"/>
        </w:trPr>
        <w:tc>
          <w:tcPr>
            <w:tcW w:w="7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66,154</w:t>
            </w: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payments for 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 of acquisition-related contingent consideration</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0"/>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 of taxes related to net share settlement of equity awards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r>
      <w:tr>
        <w:trPr>
          <w:trHeight w:val="186"/>
        </w:trPr>
        <w:tc>
          <w:tcPr>
            <w:tcW w:w="74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(16,944)</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(3,023)</w:t>
            </w:r>
          </w:p>
        </w:tc>
      </w:tr>
      <w:tr>
        <w:trPr>
          <w:trHeight w:val="37"/>
        </w:trPr>
        <w:tc>
          <w:tcPr>
            <w:tcW w:w="74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(68,485)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206,427</w:t>
            </w:r>
          </w:p>
        </w:tc>
      </w:tr>
      <w:tr>
        <w:trPr>
          <w:trHeight w:val="37"/>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267,763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290,407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83,980</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199,278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267,763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290,407</w:t>
            </w:r>
          </w:p>
        </w:tc>
      </w:tr>
      <w:tr>
        <w:trPr>
          <w:trHeight w:val="26"/>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tabular amounts in thousands)</w:t>
      </w:r>
    </w:p>
    <w:p>
      <w:pPr>
        <w:spacing w:after="0" w:line="3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THE COMPANY: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OraSure Technologies transforms health through actionable insight and decentralizes diagnostics to connect people to healthcare wherever they are. In February 2023, the Company announced a corporate restructuring to combine the commercial and innovation teams across two segments, being the “Diagnostics” segment and the “Molecular Solutions” segment, into one business unit with sales, marketing, product development, and research teams covering multiple product lines. This change is intended to accelerate innovation, enhance customer experience and result in operational synergies. As a result, all products and services reside under one reporting hierarchy.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product portfolio is broadly divided into diagnostics products and sample management solutions. The Company's business consists of the development, manufacture, marketing and sale of simple, easy to use specimen collection devices and diagnostic products designed to detect certain infectious diseases including HIV, Hepatitis C, Syphilis and Sickle Cell that are performed on a rapid basis at the point of care. The Company's business also includes sample management solutions and molecular services that are used by clinical laboratories, direct-to-consumer laboratories, researchers, pharmaceutical companies, and animal health service and product providers. During 2024, the Company exited the molecular services business. In October 2024, the Company announced the discontinuance of the sales of its risk assessment product line which was completed in the first half of 2025.</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OraSure Technologies, Inc. (“OraSure”) and its wholly-owned subsidiaries, DNA Genotek Inc. ("DNAG"), Diversigen, Inc. ("Diversigen"), Novosanis NV ("Novosanis"), BioMedomics, Inc. ("BioMedomics") and Sherlock Biosciences, Inc. ("Sherlock"). Novosanis was legally dissolved in June 2025. All intercompany transactions and balances have been eliminated. References herein to “we”, “us”, “our”, or the “Company” mean OraSure and its consolidated subsidiaries, unless otherwise indicated.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2025, the Company changed its methodology for valuing certain inventories to the average cost method from the first-in, first-out ("FIFO") cost method. The change was applicable to all inventories. The Company concluded that the average cost basis of accounting is preferable as it results in greater precision in the calculation of acquisition cost of inventory on the balance sheet. The effect of this change in accounting principle was immaterial. Therefore, retroactive application was not determined to be necessary and a cumulative adjustment of $0.1 million was recorded in the statement of operations for the twelve months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about future events. These estimates and underlying assumptions affect the amounts of assets and liabilities reported, disclosures about contingent assets and liabilities, and reported amounts of revenues and expenses. Such estimates include the fair value of assets acquired and liabilities assumed for business combinations, the valuation of accounts receivable and inventories and assumptions utilized in impairment testing for property, plant and equipment, intangible assets and goodwill, as well as estimates related to accruals, taxes, contingent consideration, and performance-based compensation expense. These estimates and assumptions are based on management’s best estimates and judgment. Management evaluates its estimates and assumptions on an ongoing basis, using historical experience and other factors, which management believes to be reasonable under the circumstances, including the current economic environment. As future events and their effects cannot be determined with precision, actual results could differ significantly from these estimates. Changes in those estimates resulting from continuing changes in the economic environment and other factors will be reflected in the financial statements in those future periods.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income taxes of $1.8 million and $1.8 million in 2025 and 2024, respectively, and received income tax refunds of $4.9 million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account receivable write-offs of $0.5 million, $0.5 million, and $0.7 million in 2025, 2024, and 2023,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the Company had accruals for purchases of property and equipment of $0.5 million, $0.5 million and $0.2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BioMedomics which included contingent consideration of $0.3 million 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Sherlock which included contingent consideration of $22.9 million for the year ended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&amp; Short-Term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investments in debt securities to be available-for-sale securities. These securities consist of guaranteed investment certificates purchased with maturities greater than ninety days.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available-for-sale securities as of December 31, 2025 and December 31,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the United States in excess of the federally insured limits. The Company periodically evaluates financial institutions and believes the risk of loss to be remote due to this evaluation.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carrying values of cash and cash equivalents, accounts receivable, accounts payable, and accrued expenses approximate their respective fair values based on their short-term nature.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unobservable in the market, determining fair value requires more judgment. Because of the inherent uncertainty of valuation, estimated values may be materially higher or lower than the values that would have been used had a ready market for the investments existed. Therefore, the degree of judgment exercised in determining fair value is greatest for assets or liabilities categorized in Level 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594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5940" w:type="dxa"/>
            <w:vAlign w:val="bottom"/>
          </w:tcPr>
          <w:p>
            <w:pPr>
              <w:spacing w:after="0"/>
              <w:rPr>
                <w:sz w:val="16"/>
                <w:szCs w:val="16"/>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280" w:type="dxa"/>
            <w:vAlign w:val="bottom"/>
          </w:tcPr>
          <w:p>
            <w:pPr>
              <w:spacing w:after="0"/>
              <w:rPr>
                <w:sz w:val="16"/>
                <w:szCs w:val="16"/>
                <w:color w:val="auto"/>
              </w:rPr>
            </w:pPr>
          </w:p>
        </w:tc>
        <w:tc>
          <w:tcPr>
            <w:tcW w:w="14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94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Trading securities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7"/>
        </w:trPr>
        <w:tc>
          <w:tcPr>
            <w:tcW w:w="5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portion</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37"/>
        </w:trPr>
        <w:tc>
          <w:tcPr>
            <w:tcW w:w="5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7"/>
        </w:trPr>
        <w:tc>
          <w:tcPr>
            <w:tcW w:w="5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5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December 31, 2025 and 2024 was $13.1 million and $66.6 million, respectively, invested in guaranteed investment certificates.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December 31, 2025 and 2024, was $68.4 million and $118.5 million, respectively, invested in government money market funds. These funds have investments in U.S. government securities and are measured as Level 1 instruments.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for certain eligible employees and members of the Company's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December 31, 2025 and 2024 was $0.5 million and $0.7 million, respectively, and was calculated using the quoted market prices of the assets as of those dates. All investments in the plan are classified as trading securities and measured as Level 1 instruments. The fair value of plan assets is included in both current assets and other noncurrent assets with the same amounts included in accrued expenses and other noncurrent liabilities in the accompanying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further in Note 13, Business Combinations, the Company has identified its contingent consideration obligations as Level 3 liabilities due to significant inputs that are required to measure the fair value of these obligations. The contingent consideration is comprised of three different tranches: milestone payments, royalty payments, and earnout payments. The significant quantitative unobservable inputs for the milestone payments are the discount rate and probability achievement of a milestone of a regulatory approval.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methodology for royalty payments is based on a discounted cash flow model. Significant quantitative unobservable inputs are internally developed future expected cash flows, discount rate and probability achievement of a milestone of a regulatory approval. The royalty payments represent a mid-single digit percentage of the net sales through 2034 associated with the acquired in-process and research and development intangible asset.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methodology for earnout payments is based on a Monte Carlo model. Significant quantitative unobservable inputs are future expected cash flows, discount rate and volatility rate.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an increase of $4.6 million in the fair value of the Company's contingent consideration from date of acquisition to December 31, 2025 for the milestone and royalty payments.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20" w:type="dxa"/>
            <w:vAlign w:val="bottom"/>
          </w:tcPr>
          <w:p>
            <w:pPr>
              <w:jc w:val="right"/>
              <w:ind w:right="14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3900" w:type="dxa"/>
            <w:vAlign w:val="bottom"/>
            <w:tcBorders>
              <w:bottom w:val="single" w:sz="8" w:color="CCEEFF"/>
            </w:tcBorders>
          </w:tcPr>
          <w:p>
            <w:pPr>
              <w:spacing w:after="0"/>
              <w:rPr>
                <w:sz w:val="3"/>
                <w:szCs w:val="3"/>
                <w:color w:val="auto"/>
              </w:rPr>
            </w:pPr>
          </w:p>
        </w:tc>
        <w:tc>
          <w:tcPr>
            <w:tcW w:w="35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420" w:type="dxa"/>
            <w:vAlign w:val="bottom"/>
            <w:tcBorders>
              <w:bottom w:val="single" w:sz="8" w:color="CCEEFF"/>
            </w:tcBorders>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39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5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6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5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27,713</w:t>
            </w:r>
          </w:p>
        </w:tc>
      </w:tr>
      <w:tr>
        <w:trPr>
          <w:trHeight w:val="20"/>
        </w:trPr>
        <w:tc>
          <w:tcPr>
            <w:tcW w:w="3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r>
        <w:trPr>
          <w:trHeight w:val="884"/>
        </w:trPr>
        <w:tc>
          <w:tcPr>
            <w:tcW w:w="3900" w:type="dxa"/>
            <w:vAlign w:val="bottom"/>
          </w:tcPr>
          <w:p>
            <w:pPr>
              <w:spacing w:after="0"/>
              <w:rPr>
                <w:sz w:val="24"/>
                <w:szCs w:val="24"/>
                <w:color w:val="auto"/>
              </w:rPr>
            </w:pPr>
          </w:p>
        </w:tc>
        <w:tc>
          <w:tcPr>
            <w:tcW w:w="442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F-12</w:t>
            </w:r>
          </w:p>
        </w:tc>
        <w:tc>
          <w:tcPr>
            <w:tcW w:w="29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Investee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January 2024, the Company led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molecular sample management solutions to the Company's customers globally. As of December 31, 2025, the Company had funded $30.0 million for its interest in Sapphiros. The Company recorded the investment using the equity method in accordance with Accounting Standards Codification ("ASC") Topic 323, </w:t>
      </w:r>
      <w:r>
        <w:rPr>
          <w:rFonts w:ascii="Times New Roman" w:cs="Times New Roman" w:eastAsia="Times New Roman" w:hAnsi="Times New Roman"/>
          <w:sz w:val="18"/>
          <w:szCs w:val="18"/>
          <w:i w:val="1"/>
          <w:iCs w:val="1"/>
          <w:color w:val="auto"/>
        </w:rPr>
        <w:t>Investments—Equity Method and Joint Ventures—Overall.</w:t>
      </w:r>
      <w:r>
        <w:rPr>
          <w:rFonts w:ascii="Times New Roman" w:cs="Times New Roman" w:eastAsia="Times New Roman" w:hAnsi="Times New Roman"/>
          <w:sz w:val="18"/>
          <w:szCs w:val="18"/>
          <w:color w:val="auto"/>
        </w:rPr>
        <w:t xml:space="preserve"> In accordance with the equity method, the Company's equity investment is presented net of its share of any gains or losses of the investee. The Company has elected as its accounting policy to recognize its share of any income or loss in Sapphiros on a three-month lag. The investment in Sapphiros of $26.0 million as of December 31, 2025 is included in the investment in equity method investee line of the Company's balance sheet. The Company has no unconditional obligations or guarantees to, or in support of, its equity method investee and its operations. In conjunction with the preparation of the Company's December 31, 2025 financial statements, the Company evaluated the investment in Sapphiros for impairment and concluded there was no such impairment. The Company's investment in Sapphiros was valued at $28.3 million as of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loaned Sapphiros $0.3 million during the year ended December 31, 2025. The loan plus interest is due in December 2026. During the year ended December 31, 2025, the Company entered into an agreement with Sapphiros to develop certain products for Sapphiros. A total of $0.2 million of revenue was recognized from this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has been reduced by an estimated allowance for amounts that may become uncollectible in the future. This estimated allowance is based primarily on management’s evaluation of specific balances as they become past due, the financial condition of the Company's customers and the Company's historical experience related to write-offs.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47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7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40,171</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an average cost method, and include the cost of raw materials, labor and overhead. The majority of the Company's inventories are subject to expiration dating, which can be extended in certain circumstances. The Company continually evaluates quantities on hand and the carrying value of the Company's inventories to determine the need for net realizable value adjustments for excess and obsolete inventories, based primarily on prior experience with consideration of expected changes in the business and estimated forecasts of product sales. The Company reserves for inventory expiring within ninety days, with the exception of inventory that will be consumed or will have expiration dates extended. The Company also considers items identified through specific identification procedures in assessing the adequacy of the Company's reserve. Although the Company makes every effort to ensure the accuracy of expected changes in the business and of its forecasts of future product demand, any significant unanticipated changes in demand could have a significant impact on the carrying value of its inventories and reported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stated at cost. Additions or improvements are capitalized, while repairs and maintenance are charged to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are provided using the straight-line method over the estimated useful lives of the related assets as follows:</w:t>
      </w:r>
    </w:p>
    <w:p>
      <w:pPr>
        <w:spacing w:after="0" w:line="20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twenty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the lesser of the useful life of the improvement or the remaining life of the building or lease;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and software three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and equipment five years;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fixtures seven years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assets are sold, retired, or discarded, the related property amounts are relieved from the accounts, and any gain or loss is recorded in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customer relationships, patents and product rights, acquired technology, in-process research and development technology and trade names. Patents and product rights consist of costs associated with the acquisition of patents, licenses and product distribution rights. Intangible assets are amortized using the straight-line method over their estimated useful lives of five to fifteen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and definite-lived intangible assets, are tested for recoverability whenever events or changes in business circumstances indicate that the carrying amount of the assets may not be fully recoverable. The Company assesses the recoverability of the Company's long-lived assets by determining whether the carrying value of such assets can be recovered through the sum of the undiscounted future cash flows generated from the use and eventual disposition of the asset. If indicators of impairment exist, the Company measures the amount of such impairment by comparing the carrying value of the assets to the fair value of the assets, which is generally determined based on the present value of the expected future cash flows associated with the use of the assets. Expected future cash flows reflect the Company's assumptions about selling prices, volumes, costs and market conditions over a reasonable period of time. See Note 5 for discussion of property, plant and equipment impairments, recorded for the year ended December 31, 2024. See Note 6 for discussion of definite-lived intangible asset impairments, recorded for the year ended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Goodwill is not amortized but rather is tested annually for impairment or more frequently if the Company believes that indicators of impairment exist. Current generally accepted accounting principles permit the Company to make a qualitative evaluation about the likelihood of goodwill impairment. If the Company concludes that it is more likely than not that the carrying value of a reporting unit is greater than its fair value, then the Company would be required to recognize an impairment charge for the amount by which the carrying amount exceeds the reporting unit’s fair value, provided the impairment charge does not exceed the total amount of goodwill allocated to the reporting unit.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historically performed an annual goodwill impairment assessment as of July 31. During the three months ended December 31, 2023, the Company changed the date of the annual impairment assessment to November 30, to better align with the Company's annual forecasting process. On November 30, 2025, the Company performed a quantitative goodwill impairment test which concluded that the carrying value of the Company's goodwill for both the diagnostic and collection devices reporting units was below its fair value indicating there was no impairment.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November 30, 2025, the diagnostic reporting unit fair value exceeded its carrying value by 13%. As of December 31, 2025, the diagnostic reporting unit had $8.2 million of goodwill. The diagnostic reporting unit goodwill impairment analysis used both an income and market approach. These two approaches were weighted and the income approach was weighed more than the market approach. Key assumptions included revenues increasing each year as products are launched and a weighted-average cost of capital based on guideline companies. The revenue and cashflows assumes products are passed by regulatory bodies on a set timeline and market competition of future products is low. The revenues assume market growth will accelerate each year. If there are delays to attaining regulatory approval or successfully launching products, this could have a negative outcome on the goodwill impairment analysis. In addition, if the Company's weighted-average cost of capital is not aligned with guideline companies, this could negatively affect the goodwill impairment outcome.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below table illustrates the discount rate and exit multiple sensitivity to the fair value of the diagnostic reporting unit goodwill when performing the goodwill impairment analysis as of November 30, 2025. In the annual goodwill impairment analysis as of November 30, 2025, the diagnostic reporting unit utilized a 14% discount rate with an exit multiple of one.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Exit Multiple</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2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0.80</w:t>
            </w:r>
          </w:p>
        </w:tc>
        <w:tc>
          <w:tcPr>
            <w:tcW w:w="460" w:type="dxa"/>
            <w:vAlign w:val="bottom"/>
          </w:tcPr>
          <w:p>
            <w:pPr>
              <w:spacing w:after="0"/>
              <w:rPr>
                <w:sz w:val="16"/>
                <w:szCs w:val="16"/>
                <w:color w:val="auto"/>
              </w:rPr>
            </w:pPr>
          </w:p>
        </w:tc>
        <w:tc>
          <w:tcPr>
            <w:tcW w:w="11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0.90</w:t>
            </w:r>
          </w:p>
        </w:tc>
        <w:tc>
          <w:tcPr>
            <w:tcW w:w="32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1.00</w:t>
            </w:r>
          </w:p>
        </w:tc>
        <w:tc>
          <w:tcPr>
            <w:tcW w:w="460" w:type="dxa"/>
            <w:vAlign w:val="bottom"/>
          </w:tcPr>
          <w:p>
            <w:pPr>
              <w:spacing w:after="0"/>
              <w:rPr>
                <w:sz w:val="16"/>
                <w:szCs w:val="16"/>
                <w:color w:val="auto"/>
              </w:rPr>
            </w:pPr>
          </w:p>
        </w:tc>
        <w:tc>
          <w:tcPr>
            <w:tcW w:w="11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1.10</w:t>
            </w:r>
          </w:p>
        </w:tc>
        <w:tc>
          <w:tcPr>
            <w:tcW w:w="4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1.20</w:t>
            </w:r>
          </w:p>
        </w:tc>
        <w:tc>
          <w:tcPr>
            <w:tcW w:w="0" w:type="dxa"/>
            <w:vAlign w:val="bottom"/>
          </w:tcPr>
          <w:p>
            <w:pPr>
              <w:spacing w:after="0"/>
              <w:rPr>
                <w:sz w:val="1"/>
                <w:szCs w:val="1"/>
                <w:color w:val="auto"/>
              </w:rPr>
            </w:pPr>
          </w:p>
        </w:tc>
      </w:tr>
      <w:tr>
        <w:trPr>
          <w:trHeight w:val="37"/>
        </w:trPr>
        <w:tc>
          <w:tcPr>
            <w:tcW w:w="3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208,132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217,464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226,796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236,128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245,460</w:t>
            </w:r>
          </w:p>
        </w:tc>
        <w:tc>
          <w:tcPr>
            <w:tcW w:w="0" w:type="dxa"/>
            <w:vAlign w:val="bottom"/>
          </w:tcPr>
          <w:p>
            <w:pPr>
              <w:spacing w:after="0"/>
              <w:rPr>
                <w:sz w:val="1"/>
                <w:szCs w:val="1"/>
                <w:color w:val="auto"/>
              </w:rPr>
            </w:pPr>
          </w:p>
        </w:tc>
      </w:tr>
      <w:tr>
        <w:trPr>
          <w:trHeight w:val="243"/>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205,252</w:t>
            </w:r>
          </w:p>
        </w:tc>
        <w:tc>
          <w:tcPr>
            <w:tcW w:w="4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214,254</w:t>
            </w:r>
          </w:p>
        </w:tc>
        <w:tc>
          <w:tcPr>
            <w:tcW w:w="3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223,256</w:t>
            </w:r>
          </w:p>
        </w:tc>
        <w:tc>
          <w:tcPr>
            <w:tcW w:w="4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232,258</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241,259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202,501</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211,188</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219,875</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228,562</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237,249</w:t>
            </w:r>
          </w:p>
        </w:tc>
        <w:tc>
          <w:tcPr>
            <w:tcW w:w="0" w:type="dxa"/>
            <w:vAlign w:val="bottom"/>
          </w:tcPr>
          <w:p>
            <w:pPr>
              <w:spacing w:after="0"/>
              <w:rPr>
                <w:sz w:val="1"/>
                <w:szCs w:val="1"/>
                <w:color w:val="auto"/>
              </w:rPr>
            </w:pPr>
          </w:p>
        </w:tc>
      </w:tr>
      <w:tr>
        <w:trPr>
          <w:trHeight w:val="243"/>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199,868</w:t>
            </w:r>
          </w:p>
        </w:tc>
        <w:tc>
          <w:tcPr>
            <w:tcW w:w="4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208,254</w:t>
            </w:r>
          </w:p>
        </w:tc>
        <w:tc>
          <w:tcPr>
            <w:tcW w:w="3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216,640</w:t>
            </w:r>
          </w:p>
        </w:tc>
        <w:tc>
          <w:tcPr>
            <w:tcW w:w="4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225,025</w:t>
            </w: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233,411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197,339</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205,436</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213,533</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221,630</w:t>
            </w: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229,726</w:t>
            </w:r>
          </w:p>
        </w:tc>
        <w:tc>
          <w:tcPr>
            <w:tcW w:w="0" w:type="dxa"/>
            <w:vAlign w:val="bottom"/>
          </w:tcPr>
          <w:p>
            <w:pPr>
              <w:spacing w:after="0"/>
              <w:rPr>
                <w:sz w:val="1"/>
                <w:szCs w:val="1"/>
                <w:color w:val="auto"/>
              </w:rPr>
            </w:pPr>
          </w:p>
        </w:tc>
      </w:tr>
      <w:tr>
        <w:trPr>
          <w:trHeight w:val="27"/>
        </w:trPr>
        <w:tc>
          <w:tcPr>
            <w:tcW w:w="3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more frequent evaluation is performed if an event occurs or circumstances change between annual tests that could more likely than not reduce the fair value of a reporting unit below its carrying amount.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product sales is recognized upon transfer of control of a product to a customer based on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is entitled to, net of allowances for any discounts or rebates.</w:t>
      </w:r>
    </w:p>
    <w:p>
      <w:pPr>
        <w:spacing w:after="0" w:line="1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Company generally does not grant product return rights to its customers, except for warranty returns and return rights on sales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to retail trade customers, and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to retail trade and certain other customers.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returns arising from warranty issues have been infrequent and immaterial. Accordingly, the Company expenses warranty returns as incurred.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shipping and handling charges billed to the Company's customers as product revenue and the related expense as cost of products sold.</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Service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revenues represent microbiome laboratory testing and analytical services. The Company recognizes revenues when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satisfies its performance obligations for services rendered. Service revenues are associated with the Diversigen business, which was discontinued in 2024. There were zero service revenues for the year ended December 31, 2025.</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Arrangements with multiple performance obligations</w:t>
      </w:r>
      <w:r>
        <w:rPr>
          <w:rFonts w:ascii="Times New Roman" w:cs="Times New Roman" w:eastAsia="Times New Roman" w:hAnsi="Times New Roman"/>
          <w:sz w:val="18"/>
          <w:szCs w:val="18"/>
          <w:color w:val="auto"/>
        </w:rPr>
        <w:t>. In arrangements involving more than one performance obligation, which largely applies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their respective relative stand-alone selling price. The estimated selling price of each performance obligation is determined using an observable cost plus margin approach. The consideration allocated to each distinct performance obligation is recognized as revenue when control is transferred for the related goods or services or when the performance obligation has been satisfied. Arrangements with multiple performance obligations are associated with the Diversigen business, which was discontinued in 2024.</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Other revenues</w:t>
      </w:r>
      <w:r>
        <w:rPr>
          <w:rFonts w:ascii="Times New Roman" w:cs="Times New Roman" w:eastAsia="Times New Roman" w:hAnsi="Times New Roman"/>
          <w:sz w:val="18"/>
          <w:szCs w:val="18"/>
          <w:color w:val="auto"/>
        </w:rPr>
        <w:t>. Other revenues consist primarily of royalty income and funding from grants of research and development efforts. Royalties from licensees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based on third-party sales of licensed products and are recorded when the related third-party product sale occurs. The Company accounts for government grants by analogy to International Accounting Standard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("IAS 20"), </w:t>
      </w:r>
      <w:r>
        <w:rPr>
          <w:rFonts w:ascii="Times New Roman" w:cs="Times New Roman" w:eastAsia="Times New Roman" w:hAnsi="Times New Roman"/>
          <w:sz w:val="18"/>
          <w:szCs w:val="18"/>
          <w:color w:val="auto"/>
        </w:rPr>
        <w:t>as U.S. GAAP does not provide specific guidance. Grants are recognized when there is reasonable assurance that conditions will be met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will be received, and are recognized in earnings over the periods in which the related costs are incurred. The expenses are recorded in research and development expense and the reimbursements are recorded in other revenue. Funding of research and development efforts and charitable support reimbursements are recorded as the activities are performed in accordance with the respective agreements.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Financing and payment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payment terms vary by the type and location of the customer and products or services offered. Payment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 by jurisdiction and customer, but payment is generally required in a term ranging from 30 to 120 days from date of shipment or satisfaction of the performance obligation.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certain products or services and customer types, the Company may require payment before the products are delivered or services are rendered to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Practical expedients and exemptions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assessed by governmental authorities, such as sales or value-added taxes, are excluded from product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commissions are expensed when incurred if the amortization period is one year or less. These costs are recorded in sales and marketing expense in the consolidated statements of operations. If the amortization period exceeds one year, the Company defers the cost of the commission and expenses it over the life of the related sales contract.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represents total net revenues by product line: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80" w:type="dxa"/>
            <w:vAlign w:val="bottom"/>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19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4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w:t>
            </w:r>
          </w:p>
        </w:tc>
        <w:tc>
          <w:tcPr>
            <w:tcW w:w="0" w:type="dxa"/>
            <w:vAlign w:val="bottom"/>
          </w:tcPr>
          <w:p>
            <w:pPr>
              <w:spacing w:after="0"/>
              <w:rPr>
                <w:sz w:val="1"/>
                <w:szCs w:val="1"/>
                <w:color w:val="auto"/>
              </w:rPr>
            </w:pPr>
          </w:p>
        </w:tc>
      </w:tr>
      <w:tr>
        <w:trPr>
          <w:trHeight w:val="27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0" w:type="dxa"/>
            <w:vAlign w:val="bottom"/>
          </w:tcPr>
          <w:p>
            <w:pPr>
              <w:spacing w:after="0"/>
              <w:rPr>
                <w:sz w:val="1"/>
                <w:szCs w:val="1"/>
                <w:color w:val="auto"/>
              </w:rPr>
            </w:pPr>
          </w:p>
        </w:tc>
      </w:tr>
      <w:tr>
        <w:trPr>
          <w:trHeight w:val="27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 and services revenues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7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0" w:type="dxa"/>
            <w:vAlign w:val="bottom"/>
          </w:tcPr>
          <w:p>
            <w:pPr>
              <w:spacing w:after="0"/>
              <w:rPr>
                <w:sz w:val="1"/>
                <w:szCs w:val="1"/>
                <w:color w:val="auto"/>
              </w:rPr>
            </w:pPr>
          </w:p>
        </w:tc>
      </w:tr>
      <w:tr>
        <w:trPr>
          <w:trHeight w:val="27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257,779</w:t>
            </w:r>
          </w:p>
        </w:tc>
        <w:tc>
          <w:tcPr>
            <w:tcW w:w="0" w:type="dxa"/>
            <w:vAlign w:val="bottom"/>
          </w:tcPr>
          <w:p>
            <w:pPr>
              <w:spacing w:after="0"/>
              <w:rPr>
                <w:sz w:val="1"/>
                <w:szCs w:val="1"/>
                <w:color w:val="auto"/>
              </w:rPr>
            </w:pPr>
          </w:p>
        </w:tc>
      </w:tr>
      <w:tr>
        <w:trPr>
          <w:trHeight w:val="27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37"/>
        </w:trPr>
        <w:tc>
          <w:tcPr>
            <w:tcW w:w="6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63"/>
        </w:trPr>
        <w:tc>
          <w:tcPr>
            <w:tcW w:w="66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115,021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Genomics, Microbiome and Colli-Pee</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product revenues.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6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Includes Syphilis revenues.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3" w:lineRule="exact"/>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Includes substance abuse testing product revenues.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Includes COVID-19 Diagnostics and COVID-19 Sample Management Solutions revenues.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6600" w:type="dxa"/>
            <w:vAlign w:val="bottom"/>
            <w:gridSpan w:val="3"/>
          </w:tcPr>
          <w:p>
            <w:pPr>
              <w:spacing w:after="0"/>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Includes funded research and development contracts, royalty income and grant revenues.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9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1900" w:type="dxa"/>
            <w:vAlign w:val="bottom"/>
            <w:tcBorders>
              <w:bottom w:val="single" w:sz="8" w:color="CCEEFF"/>
            </w:tcBorders>
          </w:tcPr>
          <w:p>
            <w:pPr>
              <w:spacing w:after="0"/>
              <w:rPr>
                <w:sz w:val="3"/>
                <w:szCs w:val="3"/>
                <w:color w:val="auto"/>
              </w:rPr>
            </w:pPr>
          </w:p>
        </w:tc>
        <w:tc>
          <w:tcPr>
            <w:tcW w:w="4700" w:type="dxa"/>
            <w:vAlign w:val="bottom"/>
            <w:tcBorders>
              <w:bottom w:val="single" w:sz="8" w:color="CCEEFF"/>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361,660</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Africa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29,254</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9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4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 xml:space="preserve">Customer Concentrations. </w:t>
            </w:r>
            <w:r>
              <w:rPr>
                <w:rFonts w:ascii="Times New Roman" w:cs="Times New Roman" w:eastAsia="Times New Roman" w:hAnsi="Times New Roman"/>
                <w:sz w:val="18"/>
                <w:szCs w:val="18"/>
                <w:color w:val="auto"/>
              </w:rPr>
              <w:t>The following table represents customer concentration risk:</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6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9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37"/>
        </w:trPr>
        <w:tc>
          <w:tcPr>
            <w:tcW w:w="6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Revenues</w:t>
            </w: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gridSpan w:val="3"/>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Non-commercial customer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373"/>
              <w:spacing w:after="0"/>
              <w:rPr>
                <w:sz w:val="20"/>
                <w:szCs w:val="20"/>
                <w:color w:val="auto"/>
              </w:rPr>
            </w:pPr>
            <w:r>
              <w:rPr>
                <w:rFonts w:ascii="Times New Roman" w:cs="Times New Roman" w:eastAsia="Times New Roman" w:hAnsi="Times New Roman"/>
                <w:sz w:val="18"/>
                <w:szCs w:val="18"/>
                <w:color w:val="auto"/>
                <w:w w:val="96"/>
              </w:rPr>
              <w:t>24%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4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Accounts Receivable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gridSpan w:val="3"/>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customer</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ind w:right="195"/>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right="373"/>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7"/>
        </w:trPr>
        <w:tc>
          <w:tcPr>
            <w:tcW w:w="1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Vendor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currently purchases certain products and critical components of the Company's products from sole-supply vendors.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these vendors are unable or unwilling to supply the required components and products, the Company could be subject to increased costs and substantial delays in the delivery of the Company's products to its customers. Third-party suppliers also manufacture certain products. The Company's inability to have a timely supply of any of these components and products could have a material adverse effect on the Company's business, as well as the Company's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records deferred revenue when funds are received prior to the recognition of the associated revenue. Deferred revenue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2025, 2024, and 2023 was comprised of customer prepayments of $1.2 million, $3.0 million, and $1.2 million, respectively. Deferred revenue as of December 31, 2025 was also comprised of $0.4 million of unearned grant income. Deferred revenue as of December 31, 2023 also included $0.4 million associated with a long-term contract that has variable pricing based on volume. The average price over the life of the contract was determined and revenue was recognized at that average price. The $0.4 million associated with the long-term contract at December 31, 2023 met the criteria to be recognized as revenue during the year ended December 31, 2024, and as such there was no equivalent balance remaining in deferred revenue at December 31, 2025 or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9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represents deferred revenue recognized:</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9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37"/>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Revenue Recognized</w:t>
            </w: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at beginning of year</w:t>
            </w: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salaries and benefits, facilities expenses, overhead expenses, clinical trial and related clinical manufacturing expenses, contract services and other outside expenses. Research and development costs are charged to expense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charged to expense as incurred. During the years ended December 31, 2025, 2024, and 2023, the Company incurred $0.6 million, $0.5 million, and $1.6 million, respectively, in advertising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to employees and directors using the fair value method. The Company recognizes compensation expense for stock option and restricted stock awards issued to employees and directors on a straight-line basis over the requisite service period of the award. The Company recognizes compensation expense related to performance-based restricted stock units based on assumptions as to what percentage of each performance target will be achieved. The Company evaluates these target assumptions on a quarterly basis and adjusts compensation expense related to these awards, as appropriate. To satisfy the exercise of stock options, issuance of restricted stock, or redemption of performance-based restricted stock units, the Company issues new shares rather than purchase shares in the open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for accounting for income taxes. Under this method, deferred tax assets and liabilities are recognized for the future tax consequences attributable to differences between the financial statement carrying amounts of existing assets and liabilities and the respective tax basis of assets and liabilities, as well as operating loss and credit carryforwards. Deferred tax assets and liabilities are measured using enacted tax rates for the respective taxing jurisdiction that are expected to apply to taxable income in the years in which those temporary differences and operating loss and credit carryforwards are expected to be recovered, settled or utilized. The effect on deferred tax assets and liabilities of a change in tax rates is recognized in income in the period that includes the enactment date.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realizability of its net deferred tax assets on a quarterly basis. If, after considering all relevant positive and negative evidence, it is more likely than not that some portion or all of the net deferred tax assets will not be realized, the Company reduces its net deferred tax assets by a valuation allowance. The realization of the net deferred tax assets is dependent on several factors, including the generation of sufficient taxable income prior to the expiration of the Company's net operating loss carryforwards.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are established for uncertain tax positions taken or positions expected to be taken in income tax returns when such positions fail to meet the "more likely than not" threshold based on the technical merits of the positions. The Company assesses whether previously unrecognized tax benefits may be recognized when tax positions are (1) more likely than not of being sustained based on their technical merits, (2) effectively settled through examination, negotiation or litigation, or (3) settled through actual expiration of the relevant tax statutes. The assessment of an uncertain tax position requires significant judgment.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and liabilities of the Company's foreign operations are translated into U.S. dollars at current exchange rates as of the balance sheet date, and revenues and expenses are translated at average exchange rates for the period. Resulting translation adjustments are reflected in accumulated other comprehensive loss, which is a separate component of stockholders’ equity.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gains and losses resulting from exchange rate changes on transactions denominated in currencies other than functional currency are included in the Company's consolidated statements of operations in the period in which the change occurs. Net foreign exchange gains (losses) resulting from foreign currency transactions included in other income in the Company's consolidated statements of operations were $(0.9) million, $1.2 million, and $(0.1) million for the years ended December 31, 2025, 2024, and 2023,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73,348</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stock options, restricted stock, and performance stock units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5"/>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outstanding common stock options, unvested restricted stock, and unvested performance stock units representing 572 and 896 shares, respectively, were excluded from the computation of diluted loss per share. For the year ended December 31, 2023, outstanding common stock options, unvested restricted stock, and unvested performance stock units representing 1,778 shares were excluded from the computation of diluted earnings per share as their inclusion would have been antidilutive.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classifies items of other comprehensive income (loss) by their nature and discloses the accumulated balance of other comprehensive income (loss) separately from accumulated deficit and additional paid-in capital in the stockholders’ equity section of the Company's consolidated balance sheets.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defined the Canadian dollar as the functional currency of the Company's Canadian subsidiary, DNAG, and the Company has defined the Euro as the functional currency of the Company's Belgian subsidiary, Novosanis. The results of operations are translated into U.S. dollars, which is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accumulated other comprehensive loss by component is listed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900" w:type="dxa"/>
            <w:vAlign w:val="bottom"/>
            <w:tcBorders>
              <w:bottom w:val="single" w:sz="8" w:color="CCEEFF"/>
            </w:tcBorders>
          </w:tcPr>
          <w:p>
            <w:pPr>
              <w:spacing w:after="0"/>
              <w:rPr>
                <w:sz w:val="3"/>
                <w:szCs w:val="3"/>
                <w:color w:val="auto"/>
              </w:rPr>
            </w:pPr>
          </w:p>
        </w:tc>
        <w:tc>
          <w:tcPr>
            <w:tcW w:w="38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3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7"/>
        </w:trPr>
        <w:tc>
          <w:tcPr>
            <w:tcW w:w="390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4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879"/>
        </w:trPr>
        <w:tc>
          <w:tcPr>
            <w:tcW w:w="3900" w:type="dxa"/>
            <w:vAlign w:val="bottom"/>
          </w:tcPr>
          <w:p>
            <w:pPr>
              <w:spacing w:after="0"/>
              <w:rPr>
                <w:sz w:val="24"/>
                <w:szCs w:val="24"/>
                <w:color w:val="auto"/>
              </w:rPr>
            </w:pPr>
          </w:p>
        </w:tc>
        <w:tc>
          <w:tcPr>
            <w:tcW w:w="4040" w:type="dxa"/>
            <w:vAlign w:val="bottom"/>
            <w:gridSpan w:val="2"/>
          </w:tcPr>
          <w:p>
            <w:pPr>
              <w:jc w:val="right"/>
              <w:ind w:right="2140"/>
              <w:spacing w:after="0"/>
              <w:rPr>
                <w:sz w:val="20"/>
                <w:szCs w:val="20"/>
                <w:color w:val="auto"/>
              </w:rPr>
            </w:pPr>
            <w:r>
              <w:rPr>
                <w:rFonts w:ascii="Times New Roman" w:cs="Times New Roman" w:eastAsia="Times New Roman" w:hAnsi="Times New Roman"/>
                <w:sz w:val="18"/>
                <w:szCs w:val="18"/>
                <w:color w:val="auto"/>
              </w:rPr>
              <w:t>F-19</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purpose of the update was to address investor requests for more transparency about income tax information through improvements to income tax disclosures primarily related to the rate reconciliation and incomes taxes paid information. The amendments in this ASU are effective for annual periods beginning after December 15, 2024. The amendments may be applied prospectively or retrospectively, and early adoption is permitted. Management has implemented on a prospective basis for the year ended December 31, 2025.</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update was to require disclosure, in the notes to financial statements, of specified information about certain costs and expenses on a disaggregated basis. The amendments in the ASU are effective for all public business entities for annual periods beginning after December 15, 2026, and interim periods beginning after December 15, 2027, with early adoption permitted. The amendments are to be applied either prospectively to financial statements issued for reporting periods after the effective date of the update or retrospectively to any or all prior periods presented in the financial statements. Management is evaluating the impact on the Company's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2024-01, </w:t>
      </w:r>
      <w:r>
        <w:rPr>
          <w:rFonts w:ascii="Times New Roman" w:cs="Times New Roman" w:eastAsia="Times New Roman" w:hAnsi="Times New Roman"/>
          <w:sz w:val="18"/>
          <w:szCs w:val="18"/>
          <w:i w:val="1"/>
          <w:iCs w:val="1"/>
          <w:color w:val="auto"/>
        </w:rPr>
        <w:t>Compensation—Stock Compensation (Topic 718),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The purpose of this update was to provide illustrative examples to demonstrate how an entity should apply guidance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profits interests and similar awards should be accounted for in accordance with Topic 718. For public business entities, the amendments in this ASU are effective for fiscal years beginning after December 15, 2024, and interim periods within those fiscal periods. The amendments may be applied prospectively or retrospectively, and early adoption is permitted. Management does not expect an impact on the Company's consolidated financial statements.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purpose of this update was to address challenges encountered when applying the guidance in Topic 326, Financial Instruments—Credit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Losses, to current accounts receivable and current contract assets arising from transactions accounted for under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illustrative examples to demonstrate how an entity should apply guidance to determine whether profits interests and similar awards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in accordance with Topic 718. For all business entities, the amendments in this ASU are effective for fiscal years beginning after December 15, 2025, and interim periods within those fiscal periods. The amendments are applied prospectively, and early adoption is permitted. Management does not expect an impact on the Company's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purpose of this update was to modernize the accounting for software costs. For all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the amendments in this ASU are effective for fiscal years beginning after December 15, 2027, and interim periods within those fiscal periods. The amendments can be applied prospectively, a modified transition or retrospectively. Early adoption is permitted as of the beginning of an annual reporting period. Management does not expect an impact on the Company's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The purpose of this update was to improve US GAAP by establishing authoritative guidance on the accounting for government grants received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entities. For public business entities, the amendments in this ASU are effective for annual reporting periods beginning after December 15, 2028, and interim reporting periods within those annual reporting periods. Early adoption is permitted in both interim and annual reporting periods in which financial statements have not yet been issued or made available for issuance. The amendments can be applied under a modified prospective approach, a modified retrospective approach, or a retrospective approach. Management is evaluating the impact on the Company's consolidated financial statements.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purpose of this update was to improve the navigability of the required interim disclosures and clarifying when that guidance is applicable. The update also provides additional guidance on what disclosures should be provided in interim periods and adds a principal that requires entities to disclose events since the end of the last annual reporting period that have a material impact on the entity. For public business entities, the amendments in this ASU are effective for interim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reporting periods within annual reporting periods beginning after December 15, 2027. Early adoption is permitted. The amendments in this update can be applied either prospectively or retrospectively to any or all prior periods presented in the financial statements. Management is evaluating the impact on the Company's consolidated financial statements.</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GOVERNMENT CAPITAL CONTRACTS: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September 2021, the Company entered into an agreement for $109.0 million in funding from the U.S. Department of Defense (the "DOD"), in coordination with the Department of Health and Human Services, to build additional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as part of the nation’s pandemic preparedness plan. In accordance with the milestone payment schedule, 15% of the total was not billed and funded until the completion of the final validation testing, which occurred in October 2023. The Company began receiving funds from the DOD in January 2022 and received $109.0 million as of December 31, 2023. In connection with the completion of the contract in the fourth quarter of 2023, all funds were received.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Activity for these capital contracts is accounted for pursuant to International Accounting Standards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Government Assistance</w:t>
      </w:r>
      <w:r>
        <w:rPr>
          <w:rFonts w:ascii="Times New Roman" w:cs="Times New Roman" w:eastAsia="Times New Roman" w:hAnsi="Times New Roman"/>
          <w:sz w:val="18"/>
          <w:szCs w:val="18"/>
          <w:color w:val="auto"/>
        </w:rPr>
        <w:t>. Funding received in relation to capital-related costs incurred for government contracts is recorded as a reduction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Amounts earned for the Company's guaranteed profit which covered project management costs were recognized straight-line in other income over the term of the government contract. The Company recognized no such income during the years ended December 31, 2025 and 2024. The Company recognized $2.8</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of such income during the year ended December 31, 2023. Additionally, in connection with the completion of the contract, the Company recognized $12.8 million in excess of the guaranteed profit in other income in the Company's consolidated statement of operations during the year ended December 31, 2023, which reflects the difference in overall spend compared to the firm fixed price contract amount of $109.0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DOD also reimbursed the Company for certain engineering consulting costs. These expenses are reflected in research and development expenses as incurred with the corresponding amount presented in other income. The Company recognized no such costs during the years ended December 31, 2025 and 2024. The Company recognized $2.0 million of such costs during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corresponding to the government contracts included in the Company's consolidated statements of cash flows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assets, cumulative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for funding earned to date, not yet received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for funding received to date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writedowns to inventory which had a cost of $2.9 million, $2.6 million, and $8.9 million, respectively. Adjustments for the year ended December 31, 2025 were primarily driven by the write down of COVID-19 inventory and normal operating scrap. Adjustments for the year ended December 31, 2024 were primarily driven by the write down of inventory associated with the Company's exit of the Risk Assessment Testing business and normal operating scrap. Adjustments for the year ended December 31, 2023 were primarily related to reduction in COVID-19 demand and the need to reserve for excess inventory levels.</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(65,918)</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Company initiated a strategic plan to transition away from the microbiome molecular sequencing services business and to cease operations at its Belgium location. As a result of these decisions, the Company determined that the carrying values of all of associated property, plant, and equipment were not recoverable and recorded an aggregate pre-tax asset impairment charge of $1.8 million during the year ended December 31, 2024. All of these assets were disposed of as of December 31, 2024.</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determined a manufacturing line will no longer be utilized. As a result of this decision, the Company determined that the carrying value of the equipment was not recoverable and recorded an aggregate pre-tax impairment charge of $1.1 million during the year ended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several manufacturing lines would not be utilized due to changes in forecasted demand for the products the lines are intended to produce. Additionally, the Company elected not to proceed with certain leasehold improvements to its research and development laboratories. As a result of these decisions, the Company determined that the carrying values of the equipment and leasehold improvements were not recoverable and recorded aggregate pre-tax asset impairment charges of $2.3 million for the year ended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shortened the useful lives of machinery and equipment utilized for InteliSwab® production in Thailand. This reduction in useful lives resulted in $6.9 million of accelerated depreciation during 2023, recorded in cost of products and services sold. Also during 2023, the Company shortened the useful lives of leasehold improvements and equipment due a lease termination. This reduction in useful lives resulted in an additional $0.5 million of accelerated depreciation recorded in cost of products and services sold.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2025, 2024, and 2023 was $9.9 million, $9.8 million, and $17.9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goodwill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Reporting Unit</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Diagnostics</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Collection Devices</w:t>
            </w:r>
          </w:p>
        </w:tc>
        <w:tc>
          <w:tcPr>
            <w:tcW w:w="380" w:type="dxa"/>
            <w:vAlign w:val="bottom"/>
          </w:tcPr>
          <w:p>
            <w:pPr>
              <w:spacing w:after="0"/>
              <w:rPr>
                <w:sz w:val="16"/>
                <w:szCs w:val="16"/>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related to 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33,942</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40,330</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related to foreign currency translation</w:t>
            </w:r>
          </w:p>
        </w:tc>
        <w:tc>
          <w:tcPr>
            <w:tcW w:w="2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2025, the Company performed its quantitative annual goodwill impairment test. The Company utilizes a combination of the income approach and market approach in determining the fair value of its two reporting units. The test concluded that the carrying value of the Company's reporting units was below fair value indicating there was no impairment of goodwill.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3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7"/>
                <w:szCs w:val="17"/>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 Life Intangible Assets</w:t>
            </w: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product rights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 Life Intangible Assets</w:t>
            </w: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IPR&amp;D technology (Note 13)</w:t>
            </w:r>
          </w:p>
        </w:tc>
        <w:tc>
          <w:tcPr>
            <w:tcW w:w="15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34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 Life Intangible Assets</w:t>
            </w: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product rights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6"/>
        </w:trPr>
        <w:tc>
          <w:tcPr>
            <w:tcW w:w="5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 Life Intangible Assets</w:t>
            </w: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IPR&amp;D technology (Note 13)</w:t>
            </w:r>
          </w:p>
        </w:tc>
        <w:tc>
          <w:tcPr>
            <w:tcW w:w="15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2023, the Company identified a triggering event to test for the recoverability of intangible assets given the decline in the Company's market capitalization leading up to and as of its annual goodwill impairment testing date. The Company performed an undiscounted cash flow analysis and determined the carrying value of the developed technology, trade names, and customer relationships intangible assets could not be recovered through the sum of the undiscounted future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flows. The Company used an income approach to determine the fair value of the developed technology and customer relationships intangible assets and the relief from royalty method for the trade names. As a result of this analysis, the Company determined the intangible assets associated with Diversigen and Novosanis were impaired as the fair value of the developed technology, trade names, and customer relationships did not exceed their carrying value. The Company recognized a pre-tax impairment charge of $6.2 million during the year ended December 31, 2023, which is reported in loss on impairments in the Company's consolidated statement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2023, the Company determined that its remaining developed technology intangible asset was fully impaired. As a result of failed stability studies, the Company decided to no longer pursue the technology. The Company recognized a pre-tax impairment charge of $2.4 million during the year ended December 31, 2023 which is reported in loss on impairments in the Company's consolidated statement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2025, 2024, and 2023 was $0.3 million, $0.7 million, and $2.0 million, respectively.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each of the five succeeding fiscal years and beyond is estimated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Beyond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F-24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Reduction in Workforce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the first and second quarters of 2023, the Company executed a reduction in workforce. This was accounted for pursuant to ASC 420, </w:t>
      </w:r>
      <w:r>
        <w:rPr>
          <w:rFonts w:ascii="Times New Roman" w:cs="Times New Roman" w:eastAsia="Times New Roman" w:hAnsi="Times New Roman"/>
          <w:sz w:val="18"/>
          <w:szCs w:val="18"/>
          <w:i w:val="1"/>
          <w:iCs w:val="1"/>
          <w:color w:val="auto"/>
        </w:rPr>
        <w:t>Exit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7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186"/>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tcPr>
          <w:p>
            <w:pPr>
              <w:jc w:val="right"/>
              <w:ind w:right="1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8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88"/>
        </w:trPr>
        <w:tc>
          <w:tcPr>
            <w:tcW w:w="78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fully paid the $3.3 million related to the reduction in workforce. This reduction in workforce was completed by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 Reduction in Workforce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executed a reduction in workforce largely affecting its COVID-19 manufacturing workforce. The charges for termination benefits included in the Company's consolidated statement of operations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7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186"/>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tcPr>
          <w:p>
            <w:pPr>
              <w:jc w:val="right"/>
              <w:ind w:right="1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88"/>
        </w:trPr>
        <w:tc>
          <w:tcPr>
            <w:tcW w:w="77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fully paid the $0.4 million related to the reduction in workforce. This reduction in workforce was completed by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Q2 2024 Reduction in Workforce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the Company executed an additional reduction in workforce as the Company notified employees of its intention to consolidate its Novosanis site in Belgium into other locations by the end of December 31, 2024, discontinue the Diversigen molecular services line of business by the end of June 30, 2024, and consolidate facilities by bringing third-party manufacturing activities into its Pennsylvania facilities by the end of the third quarter of 2025. The charges for termination benefits included in the Company's consolidated statements of operations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77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r>
      <w:tr>
        <w:trPr>
          <w:trHeight w:val="186"/>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tcPr>
          <w:p>
            <w:pPr>
              <w:jc w:val="right"/>
              <w:ind w:right="1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21"/>
                <w:szCs w:val="21"/>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21"/>
                <w:szCs w:val="21"/>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89"/>
        </w:trPr>
        <w:tc>
          <w:tcPr>
            <w:tcW w:w="77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$0.1 million accrued and had paid $1.5 million related to the reduction in workforce. No additional expenses were incurred during the year ended December 31, 2025. The Company expects this reduction in workforce to be completed by March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Q3 2024 Reduction in Workforce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the Company executed a reduction in workforce largely as the Company notified certain employees of its intention to discontinue its risk assessment business. Additional employees were notified in the fourth quarter of 2024. The charges for termination benefits included in the Company's consolidated statements of operations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8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76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r>
      <w:tr>
        <w:trPr>
          <w:trHeight w:val="186"/>
        </w:trPr>
        <w:tc>
          <w:tcPr>
            <w:tcW w:w="7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80" w:type="dxa"/>
            <w:vAlign w:val="bottom"/>
          </w:tcPr>
          <w:p>
            <w:pPr>
              <w:jc w:val="right"/>
              <w:ind w:right="1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6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7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88"/>
        </w:trPr>
        <w:tc>
          <w:tcPr>
            <w:tcW w:w="76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$0.1 million accrued and had paid $1.1 million related to the reduction in workforce. No additional expense was incurred during the year ended December 31, 2025. The Company expects this reduction in workforce to be completed by September 2026.</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whether an arrangement is a lease at inception. The Company has operating and finance leases for corporate offices, warehouse space and equipment (including vehicles). As of December 31, 2025, the Company is the lessee in all lease agreements. The Company's leases have remaining lease terms of one to eight years, some of which include options to extend the leases based on agreed upon terms, and some of which include options to terminate the leases within one year.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subleased two of its leased corporate offices. One of the subleases was terminated during the third quarter of 2025 as the Company exited the head lease agreement. The Company's remaining sublease has a remaining term of approximately one year. The Company presents the operating right-of-use asset amortization and the change in operating lease liabilities on the other non-cash amortization line item of the consolidated statements of cash flows.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the information available at the lease commencement date in determining the present value of lease payments.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that contain both lease and non-lease components (e.g., common-area maintenance). For these agreements, the Company accounts for lease components separately from non-lease components.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Company identified a triggering event to test for the recoverability of all the ROU assets of both the Diversigen and Novosanis subsidiaries, given the Company's decision to initiate a strategic plan to transition away from the microbiome molecular sequencing services business and close its Belgian operations. The Company performed an undiscounted cash flow analysis and determined the carrying values of the ROU assets could not be recovered through the sum of the undiscounted future cash flows and were impaired. During the year ended December 31, 2024 the Company recognized aggregate pre-tax impairment charges of $1.2 million and $0.3 million to its operating and finance ROU assets, respectively. These charges are reported in the Company's consolidated statement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80" w:type="dxa"/>
            <w:vAlign w:val="bottom"/>
            <w:gridSpan w:val="9"/>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 use assets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80" w:type="dxa"/>
            <w:vAlign w:val="bottom"/>
            <w:gridSpan w:val="9"/>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6.70 years</w:t>
            </w:r>
          </w:p>
        </w:tc>
        <w:tc>
          <w:tcPr>
            <w:tcW w:w="3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 years</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 years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66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F-27</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minimum lease payments by period are expected to be as follows:</w:t>
      </w:r>
    </w:p>
    <w:p>
      <w:pPr>
        <w:spacing w:after="0" w:line="273" w:lineRule="exact"/>
        <w:rPr>
          <w:sz w:val="20"/>
          <w:szCs w:val="20"/>
          <w:color w:val="auto"/>
        </w:rPr>
      </w:pPr>
    </w:p>
    <w:p>
      <w:pPr>
        <w:jc w:val="both"/>
        <w:ind w:left="868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Finance</w:t>
      </w:r>
      <w:r>
        <w:rPr>
          <w:sz w:val="20"/>
          <w:szCs w:val="20"/>
          <w:color w:val="auto"/>
        </w:rPr>
        <w:tab/>
      </w:r>
      <w:r>
        <w:rPr>
          <w:rFonts w:ascii="Times New Roman" w:cs="Times New Roman" w:eastAsia="Times New Roman" w:hAnsi="Times New Roman"/>
          <w:sz w:val="14"/>
          <w:szCs w:val="14"/>
          <w:b w:val="1"/>
          <w:bCs w:val="1"/>
          <w:color w:val="auto"/>
        </w:rPr>
        <w:t>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2030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p>
      <w:pPr>
        <w:spacing w:after="0" w:line="200" w:lineRule="exact"/>
        <w:rPr>
          <w:sz w:val="20"/>
          <w:szCs w:val="20"/>
          <w:color w:val="auto"/>
        </w:rPr>
      </w:pPr>
    </w:p>
    <w:p>
      <w:pPr>
        <w:spacing w:after="0" w:line="2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(loss) before income tax expense consists of the following:</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000"/>
        <w:spacing w:after="0"/>
        <w:tabs>
          <w:tab w:leader="none" w:pos="2180" w:val="left"/>
          <w:tab w:leader="none" w:pos="2560" w:val="left"/>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70</w:t>
        <w:tab/>
        <w:t>$</w:t>
      </w:r>
      <w:r>
        <w:rPr>
          <w:sz w:val="20"/>
          <w:szCs w:val="20"/>
          <w:color w:val="auto"/>
        </w:rPr>
        <w:tab/>
      </w:r>
      <w:r>
        <w:rPr>
          <w:rFonts w:ascii="Times New Roman" w:cs="Times New Roman" w:eastAsia="Times New Roman" w:hAnsi="Times New Roman"/>
          <w:sz w:val="17"/>
          <w:szCs w:val="17"/>
          <w:color w:val="auto"/>
        </w:rPr>
        <w:t>2,548</w:t>
      </w:r>
    </w:p>
    <w:p>
      <w:pPr>
        <w:spacing w:after="0" w:line="63" w:lineRule="exact"/>
        <w:rPr>
          <w:sz w:val="20"/>
          <w:szCs w:val="20"/>
          <w:color w:val="auto"/>
        </w:rPr>
      </w:pPr>
    </w:p>
    <w:p>
      <w:pPr>
        <w:ind w:left="2200"/>
        <w:spacing w:after="0"/>
        <w:tabs>
          <w:tab w:leader="none" w:pos="35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2,287</w:t>
      </w:r>
    </w:p>
    <w:p>
      <w:pPr>
        <w:spacing w:after="0" w:line="63" w:lineRule="exact"/>
        <w:rPr>
          <w:sz w:val="20"/>
          <w:szCs w:val="20"/>
          <w:color w:val="auto"/>
        </w:rPr>
      </w:pPr>
    </w:p>
    <w:p>
      <w:pPr>
        <w:jc w:val="both"/>
        <w:ind w:left="2200"/>
        <w:spacing w:after="0"/>
        <w:tabs>
          <w:tab w:leader="none" w:pos="35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2,157</w:t>
      </w:r>
    </w:p>
    <w:p>
      <w:pPr>
        <w:spacing w:after="0" w:line="63" w:lineRule="exact"/>
        <w:rPr>
          <w:sz w:val="20"/>
          <w:szCs w:val="20"/>
          <w:color w:val="auto"/>
        </w:rPr>
      </w:pPr>
    </w:p>
    <w:p>
      <w:pPr>
        <w:jc w:val="both"/>
        <w:ind w:left="2300"/>
        <w:spacing w:after="0"/>
        <w:tabs>
          <w:tab w:leader="none" w:pos="354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2,097</w:t>
      </w:r>
    </w:p>
    <w:p>
      <w:pPr>
        <w:spacing w:after="0" w:line="63" w:lineRule="exact"/>
        <w:rPr>
          <w:sz w:val="20"/>
          <w:szCs w:val="20"/>
          <w:color w:val="auto"/>
        </w:rPr>
      </w:pPr>
    </w:p>
    <w:p>
      <w:pPr>
        <w:jc w:val="both"/>
        <w:ind w:left="2200"/>
        <w:spacing w:after="0"/>
        <w:tabs>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2,106</w:t>
      </w:r>
    </w:p>
    <w:p>
      <w:pPr>
        <w:spacing w:after="0" w:line="63" w:lineRule="exact"/>
        <w:rPr>
          <w:sz w:val="20"/>
          <w:szCs w:val="20"/>
          <w:color w:val="auto"/>
        </w:rPr>
      </w:pPr>
    </w:p>
    <w:p>
      <w:pPr>
        <w:jc w:val="both"/>
        <w:ind w:left="2200"/>
        <w:spacing w:after="0"/>
        <w:tabs>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3,778</w:t>
      </w:r>
    </w:p>
    <w:p>
      <w:pPr>
        <w:spacing w:after="0" w:line="77" w:lineRule="exact"/>
        <w:rPr>
          <w:sz w:val="20"/>
          <w:szCs w:val="20"/>
          <w:color w:val="auto"/>
        </w:rPr>
      </w:pPr>
    </w:p>
    <w:p>
      <w:pPr>
        <w:jc w:val="both"/>
        <w:ind w:left="2120"/>
        <w:spacing w:after="0"/>
        <w:tabs>
          <w:tab w:leader="none" w:pos="346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14,973</w:t>
      </w:r>
    </w:p>
    <w:p>
      <w:pPr>
        <w:spacing w:after="0" w:line="63" w:lineRule="exact"/>
        <w:rPr>
          <w:sz w:val="20"/>
          <w:szCs w:val="20"/>
          <w:color w:val="auto"/>
        </w:rPr>
      </w:pPr>
    </w:p>
    <w:p>
      <w:pPr>
        <w:jc w:val="both"/>
        <w:ind w:left="2140"/>
        <w:spacing w:after="0"/>
        <w:tabs>
          <w:tab w:leader="none" w:pos="34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(1,939)</w:t>
      </w:r>
    </w:p>
    <w:p>
      <w:pPr>
        <w:spacing w:after="0" w:line="77" w:lineRule="exact"/>
        <w:rPr>
          <w:sz w:val="20"/>
          <w:szCs w:val="20"/>
          <w:color w:val="auto"/>
        </w:rPr>
      </w:pPr>
    </w:p>
    <w:p>
      <w:pPr>
        <w:ind w:left="1000"/>
        <w:spacing w:after="0"/>
        <w:tabs>
          <w:tab w:leader="none" w:pos="2100" w:val="left"/>
          <w:tab w:leader="none" w:pos="2560" w:val="left"/>
          <w:tab w:leader="none" w:pos="3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163</w:t>
        <w:tab/>
        <w:t>$</w:t>
      </w:r>
      <w:r>
        <w:rPr>
          <w:sz w:val="20"/>
          <w:szCs w:val="20"/>
          <w:color w:val="auto"/>
        </w:rPr>
        <w:tab/>
      </w:r>
      <w:r>
        <w:rPr>
          <w:rFonts w:ascii="Times New Roman" w:cs="Times New Roman" w:eastAsia="Times New Roman" w:hAnsi="Times New Roman"/>
          <w:sz w:val="17"/>
          <w:szCs w:val="17"/>
          <w:color w:val="auto"/>
        </w:rPr>
        <w:t>13,034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60325</wp:posOffset>
            </wp:positionV>
            <wp:extent cx="19456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41910</wp:posOffset>
            </wp:positionV>
            <wp:extent cx="29489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2" w:lineRule="exact"/>
        <w:rPr>
          <w:sz w:val="20"/>
          <w:szCs w:val="20"/>
          <w:color w:val="auto"/>
        </w:rPr>
      </w:pPr>
    </w:p>
    <w:p>
      <w:pPr>
        <w:spacing w:after="0"/>
        <w:tabs>
          <w:tab w:leader="none" w:pos="1560" w:val="left"/>
          <w:tab w:leader="none" w:pos="31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6" w:lineRule="exact"/>
        <w:rPr>
          <w:sz w:val="20"/>
          <w:szCs w:val="20"/>
          <w:color w:val="auto"/>
        </w:rPr>
      </w:pPr>
    </w:p>
    <w:p>
      <w:pPr>
        <w:sectPr>
          <w:pgSz w:w="11900" w:h="16838" w:orient="portrait"/>
          <w:cols w:equalWidth="0" w:num="2">
            <w:col w:w="6480" w:space="720"/>
            <w:col w:w="4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61,671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(5,413)</w:t>
            </w:r>
          </w:p>
        </w:tc>
      </w:tr>
      <w:tr>
        <w:trPr>
          <w:trHeight w:val="27"/>
        </w:trPr>
        <w:tc>
          <w:tcPr>
            <w:tcW w:w="6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56,258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of 2025, the One Big Beautiful Bill Act of 2025 (the “OBBBA”) was enacted in the U.S. The OBBBA includes several significant tax provisions, including the reinstatement of full expensing of domestic research and development costs among other domestic and international changes. The OBBBA is not expected to have a significant impact on the Company’s tax expense or cash paid for taxes. Our results for the year ended December 31, 2025 include the impact of the OBBBA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36"/>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r>
      <w:tr>
        <w:trPr>
          <w:trHeight w:val="236"/>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recorded net foreign tax benefit of $0.3 million. For the years ended December 31, 2024, and 2023 the Company recorded net foreign income tax expense of $1.4 million, and $0.7 million, respectively. For the years ended December 31, 2025, 2024, and 2023 the Company recorded U.S. federal tax expense of</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$0.2 million, and $0.0 million, respectively and state tax expense of $1.9 million, $0.1 million, and $1.9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paid for income taxes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r>
      <w:tr>
        <w:trPr>
          <w:trHeight w:val="37"/>
        </w:trPr>
        <w:tc>
          <w:tcPr>
            <w:tcW w:w="8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Utah</w:t>
            </w:r>
          </w:p>
        </w:tc>
        <w:tc>
          <w:tcPr>
            <w:tcW w:w="2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63"/>
        </w:trPr>
        <w:tc>
          <w:tcPr>
            <w:tcW w:w="8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r>
      <w:tr>
        <w:trPr>
          <w:trHeight w:val="27"/>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7"/>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63"/>
        </w:trPr>
        <w:tc>
          <w:tcPr>
            <w:tcW w:w="8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50"/>
        </w:trPr>
        <w:tc>
          <w:tcPr>
            <w:tcW w:w="80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tcPr>
          <w:p>
            <w:pPr>
              <w:spacing w:after="0"/>
              <w:rPr>
                <w:sz w:val="21"/>
                <w:szCs w:val="21"/>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cash paid for income taxes (net of refunds)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0" w:right="200" w:firstLine="6"/>
        <w:spacing w:after="0" w:line="238" w:lineRule="auto"/>
        <w:tabs>
          <w:tab w:leader="none" w:pos="183"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Total cash paid for income taxes during the year ended December 31, 2024 was $1.8 million. The Company received income tax refunds of $4.9 million for year ended December 31, 2023 (prior to adoption of ASU 2023-09).</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United States federal income tax rate to the Company's effective tax rate is as follows:</w:t>
      </w:r>
    </w:p>
    <w:p>
      <w:pPr>
        <w:spacing w:after="0" w:line="27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41910</wp:posOffset>
            </wp:positionV>
            <wp:extent cx="3180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gridSpan w:val="2"/>
          </w:tcPr>
          <w:p>
            <w:pPr>
              <w:ind w:left="690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r>
      <w:tr>
        <w:trPr>
          <w:trHeight w:val="37"/>
        </w:trPr>
        <w:tc>
          <w:tcPr>
            <w:tcW w:w="6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43"/>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stock-based payment awards</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effect of foreign items</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and foreign tax credits</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NOL adjustment, domestic</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adjustment, foreign</w:t>
            </w:r>
          </w:p>
        </w:tc>
        <w:tc>
          <w:tcPr>
            <w:tcW w:w="6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federal and state</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foreign</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(19.0)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21"/>
                <w:szCs w:val="2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United States federal income tax rate to the Company's effective tax rate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402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760" w:type="dxa"/>
            <w:vAlign w:val="bottom"/>
          </w:tcPr>
          <w:p>
            <w:pPr>
              <w:spacing w:after="0"/>
              <w:rPr>
                <w:sz w:val="16"/>
                <w:szCs w:val="16"/>
                <w:color w:val="auto"/>
              </w:rPr>
            </w:pPr>
          </w:p>
        </w:tc>
      </w:tr>
      <w:tr>
        <w:trPr>
          <w:trHeight w:val="37"/>
        </w:trPr>
        <w:tc>
          <w:tcPr>
            <w:tcW w:w="646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6"/>
        </w:trPr>
        <w:tc>
          <w:tcPr>
            <w:tcW w:w="646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60" w:type="dxa"/>
            <w:vAlign w:val="bottom"/>
          </w:tcPr>
          <w:p>
            <w:pPr>
              <w:spacing w:after="0"/>
              <w:rPr>
                <w:sz w:val="16"/>
                <w:szCs w:val="16"/>
                <w:color w:val="auto"/>
              </w:rPr>
            </w:pPr>
          </w:p>
        </w:tc>
      </w:tr>
      <w:tr>
        <w:trPr>
          <w:trHeight w:val="37"/>
        </w:trPr>
        <w:tc>
          <w:tcPr>
            <w:tcW w:w="64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(14,055)</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(1)</w:t>
            </w:r>
          </w:p>
        </w:tc>
        <w:tc>
          <w:tcPr>
            <w:tcW w:w="14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1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NOL limitation</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4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acquisition adjustment</w:t>
            </w: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tax laws/rates enacted in the current period</w:t>
            </w:r>
          </w:p>
        </w:tc>
        <w:tc>
          <w:tcPr>
            <w:tcW w:w="1460" w:type="dxa"/>
            <w:vAlign w:val="bottom"/>
          </w:tcPr>
          <w:p>
            <w:pPr>
              <w:spacing w:after="0"/>
              <w:rPr>
                <w:sz w:val="21"/>
                <w:szCs w:val="21"/>
                <w:color w:val="auto"/>
              </w:rPr>
            </w:pPr>
          </w:p>
        </w:tc>
        <w:tc>
          <w:tcPr>
            <w:tcW w:w="2560" w:type="dxa"/>
            <w:vAlign w:val="bottom"/>
            <w:gridSpan w:val="3"/>
          </w:tcPr>
          <w:p>
            <w:pPr>
              <w:jc w:val="right"/>
              <w:ind w:right="18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based payment awards</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adjustments</w:t>
            </w: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adjustment</w:t>
            </w: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
        </w:trPr>
        <w:tc>
          <w:tcPr>
            <w:tcW w:w="64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9"/>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60" w:type="dxa"/>
            <w:vAlign w:val="bottom"/>
            <w:tcBorders>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180" w:hanging="154"/>
        <w:spacing w:after="0"/>
        <w:tabs>
          <w:tab w:leader="none" w:pos="180"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tax effect in this category was primarily driven by state taxes in Pennsylvania (greater than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basis of assets and liabilities recognized for financial reporting purposes and tax purposes, and net operating loss and tax credit carryforwards. Significant components of the Company's deferred tax assets (liabilities)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54,859</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 currently not deductible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(75,191)</w:t>
            </w: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the Company's deferred tax asset, the Company considers all relevant positive and negative evidence in determining whether it is more likely than not that some portion or all of the deferred income tax assets will not be realized. The realization of the gross deferred tax assets is dependent upon several factors, including the generation of sufficient taxable income, to realize the NOL carryforwards. In 2008, the Company established a full valuation allowance against the Company's U.S. deferred tax asset. The Company has not achieved a level of sustained profitability that would, in the Company's judgment, support the release of the valuation allowance. Management believes the full valuation allowance is still appropriate as of December 31, 2025 and 2024. As a result, no U.S. federal income tax benefit was recorded for the years ended December 31, 2025, 2024, and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federal NOL carryforwards consist of $232.9 million from existing business along with $12.9 million of acquired NOL carryforwards. None of these NOL carryforwards have an expiration date. The Company does not have any foreign NOL carryforwards as of December 31, 2025. As of December 31, 2024, the Company's foreign NOL carryforwards consisted of $63.0 million of acquired NOL carryforwards. The foreign NOLs were reduced to zero due to loss limitation rules. The Company's state NOL carryforwards consist of $57.6 million from existing business along with $7.2 million of acquired NOL carryforwards. The state NOL carryforwards have expirations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of Expiration</w:t>
            </w:r>
          </w:p>
        </w:tc>
        <w:tc>
          <w:tcPr>
            <w:tcW w:w="32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NOLs</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2026 - 2041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30,419</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2042 - 2055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20,023</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Non-Expiring</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w:t>
            </w:r>
          </w:p>
        </w:tc>
      </w:tr>
      <w:tr>
        <w:trPr>
          <w:trHeight w:val="236"/>
        </w:trPr>
        <w:tc>
          <w:tcPr>
            <w:tcW w:w="9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64,792</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Reform Act of 1986 contains provisions under Internal Revenue Code (“IRC”) Section 382 and Section 383 that limit the annual amount of federal and state NOL carryforwards and tax credits that can be used in any given year in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 a significant change in ownership. The Company does not believe that there is a Section 382 limitation that will impair the Company's future ability to utilize NOLs to offset the Company's future taxable income. The Company continues to review ownership changes on an annual basis and the Company does not believe it has had a subsequent ownership change that would impact the NOLs. The Company acquired 382 limited NOL carryforwards as part of its acquisition of BioMedomics. These NOL carryforwards have no expiration date. The Company has not undertaken any formal 382 or 383 studies that would indicate any limitations to its NOL or credit carryforwards. However, any such study could potentially limit the NOL and credit carryforwards of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still the Company's intention to continue to permanently reinvest the historical undistributed earnings of the Company's foreign subsidiary to the extent that the Company will not incur any additional tax expense associated with foreign withholding or other local tax expense on the future cash transfers. As such, deferred taxes have not been recorded on the unremitted earnings of the foreign subsidiary as of December 31, 2025.</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gross unrecognized tax benefits totaled $2.1 million, and based upon the valuation allowance for the Company's U.S. operations, the recognition of any tax benefit would not impact the Company's effective tax rate. The 2025 addition of $1.7 million is not offset by the valuation allowance and its reversal would impact the Company’s effective tax rate. The Company records interest and penalties related to unrecognized tax benefits as a component of income tax expense. Interest and penalties were $0.2 million in 2025, and immaterial in 2024 and 2023. As a result of the Company's NOL carryforward position, the Company has been subject to audit by the Internal Revenue Service since the Company's inception, as well as by several jurisdictions for the years ended September 30, 1998 through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unrecognized tax benefits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tab/>
        <w:t>STOCKHOLDERS' EQUITY:</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5,959 shares were available for future grants under the Stock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Stock Plan, nonqualified stock options may be granted to eligible employees, including the Company's officers at a price not less than 75 percent of the fair market value of a share of common stock on the date of grant. The option term and vesting schedule of such awards may be either unlimited or have a specified period in which to vest and be exercised. To date, options generally have been granted with ten-year exercise periods and an exercise price not less than the fair market value on the date of grant. Options generally vest over four years, with one quarter of the options vesting one year after grant and the remainder vesting on a monthly basis over the next three years.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was estimated on the date of the grant using the Black-Scholes option-pricing model using the following weighted-average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Black-Scholes Option Valuation Assumptions</w:t>
            </w: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stock price volatility </w:t>
            </w:r>
            <w:r>
              <w:rPr>
                <w:rFonts w:ascii="Times New Roman" w:cs="Times New Roman" w:eastAsia="Times New Roman" w:hAnsi="Times New Roman"/>
                <w:sz w:val="23"/>
                <w:szCs w:val="23"/>
                <w:color w:val="auto"/>
                <w:vertAlign w:val="superscript"/>
              </w:rPr>
              <w:t>(2)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2"/>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life of stock options (in years) </w:t>
            </w:r>
            <w:r>
              <w:rPr>
                <w:rFonts w:ascii="Times New Roman" w:cs="Times New Roman" w:eastAsia="Times New Roman" w:hAnsi="Times New Roman"/>
                <w:sz w:val="23"/>
                <w:szCs w:val="23"/>
                <w:color w:val="auto"/>
                <w:vertAlign w:val="superscript"/>
              </w:rPr>
              <w:t>(2)</w:t>
            </w:r>
          </w:p>
        </w:tc>
        <w:tc>
          <w:tcPr>
            <w:tcW w:w="1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constant maturity interest rate of U.S. Treasury securities whose term is consistent with the expected life of the Company's stock options.</w:t>
      </w:r>
    </w:p>
    <w:p>
      <w:pPr>
        <w:ind w:left="320" w:hanging="312"/>
        <w:spacing w:after="0" w:line="191" w:lineRule="auto"/>
        <w:tabs>
          <w:tab w:leader="none" w:pos="32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upon historical experience.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2025, 2024, and 2023 was $3.43, $3.68 and $3.24,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recognized in the financial statements related to stock options was $1.6 million, $1.4 million, and $1.3 million for the years ended December 31, 2025, 2024, and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2025, 2024, and 2023 (the amount by which the market price of the stock on the date of exercise exceeded the exercise price) was $0.0 thousand, $38.4 thousand, and $43.0 thousand,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January 1, 2025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2,237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1,393</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9.02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2025</w:t>
            </w:r>
          </w:p>
        </w:tc>
        <w:tc>
          <w:tcPr>
            <w:tcW w:w="10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3,379</w:t>
            </w:r>
          </w:p>
        </w:tc>
        <w:tc>
          <w:tcPr>
            <w:tcW w:w="8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6.68</w:t>
            </w:r>
          </w:p>
        </w:tc>
        <w:tc>
          <w:tcPr>
            <w:tcW w:w="10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as of December 31, 2025</w:t>
            </w:r>
          </w:p>
        </w:tc>
        <w:tc>
          <w:tcPr>
            <w:tcW w:w="10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3,376</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6.67</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1,655</w:t>
            </w:r>
          </w:p>
        </w:tc>
        <w:tc>
          <w:tcPr>
            <w:tcW w:w="80" w:type="dxa"/>
            <w:vAlign w:val="bottom"/>
          </w:tcPr>
          <w:p>
            <w:pPr>
              <w:spacing w:after="0"/>
              <w:rPr>
                <w:sz w:val="21"/>
                <w:szCs w:val="21"/>
                <w:color w:val="auto"/>
              </w:rPr>
            </w:pP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9.24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$3.2 million of unrecognized compensation expense related to unvested option awards that is expected to be recognized over a weighted-average period of 2.6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proceeds from the exercise of stock options were $— million, $0.2 million and $0.3 million for the years ended December 31, 2025, 2024, and 2023, respectively. As a result of the Company's net operating loss carryforward position, no actual income tax benefit was realized from stock option exercises for these periods.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5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Options Exercisable</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76"/>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4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Price Per</w:t>
            </w:r>
          </w:p>
        </w:tc>
      </w:tr>
      <w:tr>
        <w:trPr>
          <w:trHeight w:val="190"/>
        </w:trPr>
        <w:tc>
          <w:tcPr>
            <w:tcW w:w="3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0" w:type="dxa"/>
            <w:vAlign w:val="bottom"/>
          </w:tcPr>
          <w:p>
            <w:pPr>
              <w:spacing w:after="0"/>
              <w:rPr>
                <w:sz w:val="16"/>
                <w:szCs w:val="16"/>
                <w:color w:val="auto"/>
              </w:rPr>
            </w:pPr>
          </w:p>
        </w:tc>
        <w:tc>
          <w:tcPr>
            <w:tcW w:w="14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$2.46 - $6.56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$7.13 - $10.69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$12.90 - $19.35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$21.64 - $32.46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3"/>
        </w:trPr>
        <w:tc>
          <w:tcPr>
            <w:tcW w:w="34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Plan also permits the Company to grant restricted shares and restricted units of the Company's common stock to eligible employees, including officers, and the Company's outside directors. Generally, these shares or units are nontransferable until vested and are subject to vesting requirements and/or forfeiture, as determined by the Company's Compensation Committee or Board of Directors. The market value of these shares and units at the date of grant is recognized on a straight-line basis over the period during which the vesting restrictions lapse. Compensation cost of $6.1 million, $6.9 million and $7.6 million related to restricted shares was recognized during the years ended December 31, 2025,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award and restricted stock units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5"/>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Date Fair</w:t>
            </w:r>
          </w:p>
        </w:tc>
      </w:tr>
      <w:tr>
        <w:trPr>
          <w:trHeight w:val="190"/>
        </w:trPr>
        <w:tc>
          <w:tcPr>
            <w:tcW w:w="8180" w:type="dxa"/>
            <w:vAlign w:val="bottom"/>
          </w:tcPr>
          <w:p>
            <w:pPr>
              <w:spacing w:after="0"/>
              <w:rPr>
                <w:sz w:val="16"/>
                <w:szCs w:val="16"/>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2025</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9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43"/>
        </w:trPr>
        <w:tc>
          <w:tcPr>
            <w:tcW w:w="9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December 31, 2025</w:t>
            </w: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44"/>
        </w:trPr>
        <w:tc>
          <w:tcPr>
            <w:tcW w:w="818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Issued and expected to vest, December 31, 2025</w:t>
            </w:r>
          </w:p>
        </w:tc>
        <w:tc>
          <w:tcPr>
            <w:tcW w:w="9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$6.3 million of unrecognized compensation expense related to unvested restricted stock awards and unvested restricted stock units that is expected to be recognized over a weighted average period of 1.7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vesting of restricted shares during the years ended December 31, 2025, 2024, and 2023, the Company purchased and immediately retired 363, 617 and 262 shares with aggregate values of $1.2 million, $3.4 million and $1.4 million, respectively, in satisfaction of minimum tax withholding and exercise obligations.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(“PSUs”) to certain executives. Vesting of these PSUs is dependent upon achievement of certain performance-based metrics during a three-year period, from the date of grant. Assuming achievement of each performance-based metric, the executive must also generally remain in the Company's service for three years from the grant date. Performance shares were granted based on the achievement of three-year cumulative revenue metrics with a market-based condition, or a total shareholder return modifier. PSUs are converted into shares of the Company's common stock once vested and the number of shares actually earned at the end of the performance period will vary, based on actual performance, from 0% to 150% of the target number of performance share units granted. Upon grant of the PSUs, the Company recognizes compensation expense related to these awards based on assumptions as to what percentage of each target will be achieved. The Company evaluates these target assumptions on a quarterly basis and adjusts compensation expense related to these awards, as appropriate.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Compensation cost of $2.4 million, $3.6 million and $1.8 million related to the PSUs was recognized during the years ended December 31, 2025,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PSU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Date Fair</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2025</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70"/>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70"/>
        </w:trPr>
        <w:tc>
          <w:tcPr>
            <w:tcW w:w="9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3"/>
                <w:szCs w:val="23"/>
                <w:color w:val="auto"/>
                <w:vertAlign w:val="superscript"/>
              </w:rPr>
              <w:t>(2)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unvested, December 31, 2025</w:t>
            </w:r>
          </w:p>
        </w:tc>
        <w:tc>
          <w:tcPr>
            <w:tcW w:w="9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9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expected to vest, December 31,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Grant activity for all PSUs disclosed at target.</w:t>
      </w:r>
    </w:p>
    <w:p>
      <w:pPr>
        <w:ind w:left="320" w:hanging="312"/>
        <w:spacing w:after="0" w:line="191" w:lineRule="auto"/>
        <w:tabs>
          <w:tab w:leader="none" w:pos="32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performance adjustment based on actual performance measured at the end of the performance period.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$3.7 million of unrecognized compensation expense related to unvested performance stock units that is expected to be recognized over a weighted average period of 1.9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vesting of performance stock units during the year ended December 31, 2025, 2024 and 2023, the Company purchased and immediately retired 201, 23, and 86 shares with aggregate values of $0.6 million, $0.2 million and $0.5 million, respectively.</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2025, the Company's Board of Directors approved a stock repurchase program effective March 21, 2025, whereby the Company may purchase up to $40.0 million in shares of its common stock over a period of up to two years. The amount and timing of share repurchases under the program may be carried out at the discretion of the Company's management through various methods in compliance with applicable state and federal laws. For the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2025, 5.3 million shares, totaling $15.0 million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were purchased and retired.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organized on the basis of products and services into a single reportable segment. All products and services reside under the same reporting hierarchy. The Company's reportable segment derives its revenues from the sale of diagnostics products and sample management solutions, as described in Note 2 Summary of Significant Accounting Policies. As the Company has only one reportable segment, there are no inter-segment sales or transfers.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uses consolidated net income (loss) as reported in the consolidated statement of operations as the primary measure of the reportable segment's profit or loss. The CODM uses consolidated net income (loss) to assess the performance of the segment and make decisions about resource allocation. Consolidated gross profit and consolidated operating income (loss), as reported in the consolidated statement of operations, are also used by the CODM as measures of segment profit or loss. The CODM uses gross profit to assess the impact of the Company's efforts to achieve manufacturing efficiencies and consolidate its production activities. The CODM uses operating income (loss) to assess the impact of the Company's recent restructurings, reduction in workforce, and efforts to streamline its operations to achieve cost savings. The CODM uses consolidated total assets as the measure of segment assets, as reported on the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Company's reportable segment are the same as those described in 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total long-lived assets by geographic area: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r>
      <w:tr>
        <w:trPr>
          <w:trHeight w:val="37"/>
        </w:trPr>
        <w:tc>
          <w:tcPr>
            <w:tcW w:w="77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40,286</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r>
      <w:tr>
        <w:trPr>
          <w:trHeight w:val="27"/>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reported segment revenues, segment profit (loss), and significant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405,472</w:t>
            </w:r>
          </w:p>
        </w:tc>
      </w:tr>
      <w:tr>
        <w:trPr>
          <w:trHeight w:val="27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products and services sold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233,820</w:t>
            </w: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171,652</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33,728</w:t>
            </w: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36,319</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58,191</w:t>
            </w: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income (expense)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 and equity investment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$12.8 million of excess profits recognized on government contracts in 2023.</w:t>
      </w:r>
    </w:p>
    <w:p>
      <w:pPr>
        <w:ind w:left="160" w:hanging="152"/>
        <w:spacing w:after="0" w:line="207" w:lineRule="auto"/>
        <w:tabs>
          <w:tab w:leader="none" w:pos="160"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interest expense and foreign currency gains (losses).</w:t>
      </w:r>
    </w:p>
    <w:p>
      <w:pPr>
        <w:ind w:left="160" w:hanging="152"/>
        <w:spacing w:after="0" w:line="211" w:lineRule="auto"/>
        <w:tabs>
          <w:tab w:leader="none" w:pos="160"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following tables represent additional significant segment expense categories: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6"/>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r>
      <w:tr>
        <w:trPr>
          <w:trHeight w:val="237"/>
        </w:trPr>
        <w:tc>
          <w:tcPr>
            <w:tcW w:w="660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r>
      <w:tr>
        <w:trPr>
          <w:trHeight w:val="27"/>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10"/>
        </w:trPr>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80" w:type="dxa"/>
            <w:vAlign w:val="bottom"/>
            <w:gridSpan w:val="6"/>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24"/>
                <w:szCs w:val="24"/>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15,311</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36"/>
        </w:trPr>
        <w:tc>
          <w:tcPr>
            <w:tcW w:w="660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10,192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20,936</w:t>
            </w:r>
          </w:p>
        </w:tc>
      </w:tr>
      <w:tr>
        <w:trPr>
          <w:trHeight w:val="27"/>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BioMedomics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12, 2025, the Company acquired all of the outstanding stock of BioMedomics, pursuant to the terms of an acquisition agreement (the "Acquisition Agreement"). The Company began operating this entity as of the November 12, 2025 closing date.</w:t>
      </w:r>
    </w:p>
    <w:p>
      <w:pPr>
        <w:spacing w:after="0" w:line="15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primary reason for the acquisition of BioMedomics was to expand the Company's diagnostic portfolio by adding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rapid, point-of-need test for sickle cell disease that is sold outside of the United States.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initial aggregate purchase price of this transaction was funded with cash on hand as shown in the table below:</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3"/>
        </w:trPr>
        <w:tc>
          <w:tcPr>
            <w:tcW w:w="9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BioMedomics</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paid off</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contingent consideration</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fund</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aggregate purchase price</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r>
      <w:tr>
        <w:trPr>
          <w:trHeight w:val="20"/>
        </w:trPr>
        <w:tc>
          <w:tcPr>
            <w:tcW w:w="9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Acquisition Agreement, the Company agreed to pay up to $5.0 million of contingent consideration based on the achievement of sales thresholds before December 31, 2031 as defined in Acquisition Agreement. The acquisition-date fair value of the earnout contingent consideration was $0.3 million. The range of outcome for the earnout contingent consideration is zero to $5.0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incurred a total of $0.5 million of acquisition related costs, including accounting, legal, and other professional fees, all of which were expensed and reported as a component of general and administrative expenses in the consolidated statement of operations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and non current assets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 intangible asset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43"/>
        </w:trPr>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7"/>
        </w:trPr>
        <w:tc>
          <w:tcPr>
            <w:tcW w:w="9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9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6"/>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contingent consideration</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6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Paid (net of cash acquired of $25)</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0"/>
        </w:trPr>
        <w:tc>
          <w:tcPr>
            <w:tcW w:w="9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 acquired and liabilities assumed based on their acquisition-date estimate fair values. The identifiable intangible asset was developed technology. The developed technology was all assigned a ten year useful life.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with the assistance of an independent valuation specialist, assessed the fair value of the intangible asset and contingent consideration of BioMedomics. The fair values recorded as of November 12, 2025 are based on significant inputs that are not observable in the market and thus represent a fair value measurement categorized within Level 3 of the fair value hierarchy.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acquired developed technology was determined using the multi-period excess earnings method, which required judgment in estimating appropriate cashflows, discount rate, survival factor, and remaining useful life.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earnout contingent consideration was determined using the Monte Carlo simulation model, which require judgment in estimating expected revenue, volatility, expected discount rate and risk-free interest rate.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The Company believes the goodwill related to the acquisition was a result of BioMedomics providing a product that will enable the Company to leverage the products with existing and new customers. The goodwill is not deductible for income tax purposes.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evaluate the fair value of assets acquired and liabilities assumed. Additional information, which existed as of the acquisition date, but was at that time unknown to the Company, may become known during the remainder of the measurement period. Changes to amounts recorded as a result of the final determination may result in a corresponding adjustment to these assets and liabilities, including goodwill. The determination of the estimated fair values of all assets acquired is expected to be completed within one year from the date of acquisition.</w:t>
      </w:r>
    </w:p>
    <w:p>
      <w:pPr>
        <w:spacing w:after="0" w:line="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Revenues from BioMedomics consist of sales from the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Effective as of November 12, 2025, the financial results of BioMedomics are included in the consolidated financial results of the Company. BioMedomics contributed $0.1 million and $1.1 thousand of revenue and net income, respectively, to the consolidated statement of operations 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Unaudited Pro Forma Financial Information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results presented below include the results of the BioMedomics acquisition as if it had been consummated as of January 1, 2024. The unaudited pro forma results include, amortization of the acquired intangible assets, stock compensation, and lease expense adjustments to income before income taxes but do not include changes in the fair value of the Company's contingent consideration obligations. Material nonrecurring charges, directly attributable to the transactions, including direct acquisition costs, are also excluded. In addition, the unaudited pro forma results do not include any expected benefits of the acquisitions. Accordingly, the unaudited pro forma results are not necessarily indicative of either future results of operations or results that might have been achieved had the acquisitions been consummated as of January 1,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37"/>
        </w:trPr>
        <w:tc>
          <w:tcPr>
            <w:tcW w:w="32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86"/>
        </w:trPr>
        <w:tc>
          <w:tcPr>
            <w:tcW w:w="32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220" w:type="dxa"/>
            <w:vAlign w:val="bottom"/>
            <w:tcBorders>
              <w:bottom w:val="single" w:sz="8" w:color="CCEEFF"/>
            </w:tcBorders>
          </w:tcPr>
          <w:p>
            <w:pPr>
              <w:spacing w:after="0"/>
              <w:rPr>
                <w:sz w:val="3"/>
                <w:szCs w:val="3"/>
                <w:color w:val="auto"/>
              </w:rPr>
            </w:pPr>
          </w:p>
        </w:tc>
        <w:tc>
          <w:tcPr>
            <w:tcW w:w="33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43"/>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9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115,797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187,041</w:t>
            </w:r>
          </w:p>
        </w:tc>
      </w:tr>
      <w:tr>
        <w:trPr>
          <w:trHeight w:val="24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(68,964)</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(20,889)</w:t>
            </w:r>
          </w:p>
        </w:tc>
      </w:tr>
      <w:tr>
        <w:trPr>
          <w:trHeight w:val="931"/>
        </w:trPr>
        <w:tc>
          <w:tcPr>
            <w:tcW w:w="3220" w:type="dxa"/>
            <w:vAlign w:val="bottom"/>
          </w:tcPr>
          <w:p>
            <w:pPr>
              <w:spacing w:after="0"/>
              <w:rPr>
                <w:sz w:val="24"/>
                <w:szCs w:val="24"/>
                <w:color w:val="auto"/>
              </w:rPr>
            </w:pPr>
          </w:p>
        </w:tc>
        <w:tc>
          <w:tcPr>
            <w:tcW w:w="394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F-39</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Sherlock Biosciences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19, 2024, the Company acquired all of the outstanding stock of Sherlock, pursuant to the terms of a merger agreement (the "Merger Agreement"). The Company began operating this entity as of the December 19, 2024 closing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reason for the acquisition was Sherlock's first test for Chlamydia Trachomatis (CT) and Neisseria Gonorrhoeae (NG), which is in clinical studies and was submitted to the FDA in late 2025. Subject to regulatory approvals, this test is expected to expand the Company's portfolio for rapid diagnostics for sexually transmitted infections.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initial aggregate purchase price of this transaction was funded with cash on hand as shown in the table below:</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9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based contingent consideration</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Sherlock</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policy expense</w:t>
            </w: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aggregate purchase price</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28,349</w:t>
            </w:r>
          </w:p>
        </w:tc>
      </w:tr>
      <w:tr>
        <w:trPr>
          <w:trHeight w:val="21"/>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Company agreed to pay up to $20.0 million of contingent consideration based on the achievement of a regulatory milestone on or before December 31, 2026 as defined in the Merger Agreement. The acquisition-date fair value of the milestone contingent consideration was $15.9 million. The range of outcome for the milestone contingent consideration is zero to $20.0 million. There is also a mid-single digits quarterly royalty fee based on future sales until 2034 as defined in the Merger Agreement, the fair value of which was determined as part of the contingent consideration. The estimated acquisition-date fair value of the royalty fee acquisition-related contingent consideration was $7.0 million. The range of outcome for the royalty payment cannot be determined due to the fact it is based on future sales associated with the acquired in-process research and development technology through 2034 and thus does not have an upper limit.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a total of $1.0 million of acquisition related costs, including accounting, legal, and other professional fees, all of which were expensed and reported as a component of general and administrative expenses in the consolidated statement of operations for the year ended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technology intangible asset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37"/>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39,738</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37"/>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contingent consideration</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Paid (net of cash acquired of $402)</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assets acquired and liabilities assumed based on their acquisition-date estimate fair values. The identifiable intangible assets included in-process research and development technology ("IPR&amp;D Technology"), which is an indefinite lived asset.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with the assistance of an independent valuation specialist, assessed the fair value of the assets and contingent consideration of Sherlock.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milestone scenario based model was used to value the assumed milestone contingent consideration, and the fair value measurements were primarily based on significant unobservable inputs and are considered Level 3 fair value measurements. The regulatory milestone scenario based model estimates fair value for contingent consideration based on the probability of on the achievement of a certain milestone as defined under the agreements and the discount rate.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approach was used to value the royalty based contingent consideration, and the fair value measurements were primarily based on significant unobservable inputs and are considered Level 3 fair value measurements. The fair value of contingent payments approach was primarily based on projected cash flows, probability of on the achievement of a regulatory milestone as defined under the agreements, and discount rate.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The Company believes the goodwill related to the acquisition was a result of Sherlock providing a product offering that will enable the Company to leverage those products with existing and new customers. The goodwill is not deductible for income tax purposes.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completed the fair value of the assets acquired and liabilities assumed.</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from Sherlock primarily consist of grant revenues for research and development purposes. Effective as of December 19, 2024, the financial results of Sherlock are included in the consolidated financial results of the Company.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Unaudited Pro Forma Financial Information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results presented below include the results of the Sherlock acquisition as if it had been consummated as of January 1, 2023. The unaudited pro forma results include depreciation of the acquired property plant and equipment and the estimated tax effect of adjustments to income before income taxes, but do not include changes in the fair value of the Company's contingent consideration obligations. Material nonrecurring charges, directly attributable to the transactions, including direct acquisition costs, are also excluded. In addition, the unaudited pro forma results do not include any expected benefits of the acquisitions. Accordingly, the unaudited pro forma results are not necessarily indicative of either future results of operations or results that might have been achieved had the acquisitions been consummated as of January 1,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80" w:type="dxa"/>
            <w:vAlign w:val="bottom"/>
            <w:gridSpan w:val="4"/>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37"/>
        </w:trPr>
        <w:tc>
          <w:tcPr>
            <w:tcW w:w="66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188,126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406,381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(41,459)</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r>
    </w:tbl>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Sherlock has active third-party license agreements entered into in order to advance and obtain technologies and services related to the business. Under these licenses, the Company is required to make up to $3.8 million of cash payments upon the achievement of certain scientific and commercial milestones as well as low single digit royalty payments on product sales. The Company has the right to terminate the licenses.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The case is currently in the discovery phase and the schedule for any further proceedings is currently pending.</w:t>
      </w:r>
    </w:p>
    <w:p>
      <w:pPr>
        <w:spacing w:after="0" w:line="2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U.S. employees are eligible to participate in the OraSure Technologies, Inc. 401(k) Plan (the “401(k) Plan”). The 401(k) Plan permits voluntary employee contributions to be excluded from an employee’s current taxable income under provisions of Internal Revenue Code Section 401(k) and the regulations thereunder. The 401(k) Plan also provides for the Company to match employee contributions up to $4.0 thousand per year. The Company contributed $1.1 million, $1.2 million and $1.6 million to the 401(k) Plan, net of forfeitures, in 2025, 2024, and 2023,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Company's 401(k) plan, the Company offers a nonqualified deferred compensation plan to permit eligible directors and highly compensated employees of the Company to defer receipt and taxation of their compensation each year. The Company also may make discretionary contributions to the accounts of the participating employees in any amount either in cash or stock. Participants in the plan may not purchase OraSure stock as an investment vehicle. As of December 31, 2025 and 2024, the value of the assets associated with this plan was $0.5 million and $0.7 million, respectively, and is included in other current assets and other noncurrent assets in the Company's consolidated balance sheets. The Company's obligation related to the deferred compensation plan is included in accrued expenses and other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noncurrent liabilities in the Company's consolidated balance sheets. As of December 31, 2025 and 2024, the Company's total obligation under this plan was $0.5 million and $0.7 million,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regular full-time Canadian employees are eligible to participate in the DNA Genotek Registered Retirement Savings Plan (the “RRSP”). The RRSP permits voluntary employee contributions to be excluded from an employee’s current taxable income and receive tax-preferred treatment with Canada Revenue Agency. The RRSP also provides for DNAG to match employee contributions up to $4.0 thousand CAD per year. The Company contributed $0.3 million, $0.4 million and $0.4 million to the RRSP in 2025, 2024, and 2023,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British employees are eligible to participate in the People's Pension Plan (the “PPP”). The PPP permits voluntary employee contributions which may be excluded from an employee’s current taxable income and receive tax-preferred treatment with HM Revenue and Customs. The PPP also provides for the Company to match employee contributions. The Company contributed $0.1 million to the PPP in 2025.</w:t>
      </w:r>
    </w:p>
    <w:p>
      <w:pPr>
        <w:spacing w:after="0" w:line="280"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February 2026, the Company terminated certain non-production employees, which was less than 10% of its work force. The termination was to align the Company's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ORASURE TECHNOLOGIES, INC.</w:t>
      </w: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POLICY STATEMENT ON DEALING WITH COMPANY INFORMATION, INCLUDING</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INSIDE INFORMATION AND INSIDER SECURITIES TRADING</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(Effective as of September 9, 2025)</w:t>
      </w:r>
    </w:p>
    <w:p>
      <w:pPr>
        <w:spacing w:after="0" w:line="264" w:lineRule="exact"/>
        <w:rPr>
          <w:sz w:val="20"/>
          <w:szCs w:val="20"/>
          <w:color w:val="auto"/>
        </w:rPr>
      </w:pPr>
    </w:p>
    <w:p>
      <w:pPr>
        <w:jc w:val="both"/>
        <w:ind w:left="580" w:right="600" w:firstLine="648"/>
        <w:spacing w:after="0" w:line="251" w:lineRule="auto"/>
        <w:rPr>
          <w:sz w:val="20"/>
          <w:szCs w:val="20"/>
          <w:color w:val="auto"/>
        </w:rPr>
      </w:pPr>
      <w:r>
        <w:rPr>
          <w:rFonts w:ascii="Times New Roman" w:cs="Times New Roman" w:eastAsia="Times New Roman" w:hAnsi="Times New Roman"/>
          <w:sz w:val="22"/>
          <w:szCs w:val="22"/>
          <w:color w:val="auto"/>
        </w:rPr>
        <w:t>In the course of conducting the business of OraSure Technologies, Inc. (the “Company”) and its subsidiaries, you may at times have information about the Company or its subsidiaries or another entity that generally is not available to the public. Because of your relationship with the Company or its subsidiaries, you have certain responsibilities under the federal securities laws and to the Company regarding insider information and the trading of the Company’s securities. This Policy Statement is intended to explain your obligations to the Company and under the law.</w:t>
      </w:r>
    </w:p>
    <w:p>
      <w:pPr>
        <w:spacing w:after="0" w:line="208" w:lineRule="exact"/>
        <w:rPr>
          <w:sz w:val="20"/>
          <w:szCs w:val="20"/>
          <w:color w:val="auto"/>
        </w:rPr>
      </w:pPr>
    </w:p>
    <w:p>
      <w:pPr>
        <w:jc w:val="both"/>
        <w:ind w:left="580" w:right="600" w:firstLine="648"/>
        <w:spacing w:after="0" w:line="263" w:lineRule="auto"/>
        <w:rPr>
          <w:sz w:val="20"/>
          <w:szCs w:val="20"/>
          <w:color w:val="auto"/>
        </w:rPr>
      </w:pPr>
      <w:r>
        <w:rPr>
          <w:rFonts w:ascii="Times New Roman" w:cs="Times New Roman" w:eastAsia="Times New Roman" w:hAnsi="Times New Roman"/>
          <w:sz w:val="22"/>
          <w:szCs w:val="22"/>
          <w:color w:val="auto"/>
        </w:rPr>
        <w:t>This Policy Statement applies to all employees of the Company and the officers (at the level of Vice President and above) of and each of its subsidiaries, and to all members of the Company’s Board of Directors (collectively, “Covered Persons”).</w:t>
      </w:r>
    </w:p>
    <w:p>
      <w:pPr>
        <w:spacing w:after="0" w:line="208" w:lineRule="exact"/>
        <w:rPr>
          <w:sz w:val="20"/>
          <w:szCs w:val="20"/>
          <w:color w:val="auto"/>
        </w:rPr>
      </w:pPr>
    </w:p>
    <w:p>
      <w:pPr>
        <w:jc w:val="both"/>
        <w:ind w:left="580" w:right="600" w:firstLine="648"/>
        <w:spacing w:after="0" w:line="271" w:lineRule="auto"/>
        <w:rPr>
          <w:sz w:val="20"/>
          <w:szCs w:val="20"/>
          <w:color w:val="auto"/>
        </w:rPr>
      </w:pPr>
      <w:r>
        <w:rPr>
          <w:rFonts w:ascii="Times New Roman" w:cs="Times New Roman" w:eastAsia="Times New Roman" w:hAnsi="Times New Roman"/>
          <w:sz w:val="22"/>
          <w:szCs w:val="22"/>
          <w:color w:val="auto"/>
        </w:rPr>
        <w:t>The officer responsible for compliance with this Policy Statement is the Company’s General Counsel (the “Compliance Officer”).</w:t>
      </w:r>
    </w:p>
    <w:p>
      <w:pPr>
        <w:spacing w:after="0" w:line="181" w:lineRule="exact"/>
        <w:rPr>
          <w:sz w:val="20"/>
          <w:szCs w:val="20"/>
          <w:color w:val="auto"/>
        </w:rPr>
      </w:pPr>
    </w:p>
    <w:p>
      <w:pPr>
        <w:jc w:val="both"/>
        <w:ind w:left="580" w:right="600"/>
        <w:spacing w:after="0" w:line="275" w:lineRule="auto"/>
        <w:rPr>
          <w:sz w:val="20"/>
          <w:szCs w:val="20"/>
          <w:color w:val="auto"/>
        </w:rPr>
      </w:pPr>
      <w:r>
        <w:rPr>
          <w:rFonts w:ascii="Times New Roman" w:cs="Times New Roman" w:eastAsia="Times New Roman" w:hAnsi="Times New Roman"/>
          <w:sz w:val="22"/>
          <w:szCs w:val="22"/>
          <w:b w:val="1"/>
          <w:bCs w:val="1"/>
          <w:color w:val="auto"/>
        </w:rPr>
        <w:t>Please note: As discussed more fully below, all directors, officers and employees must receive prior written approval as provided in this Policy Statement before buying or selling any Company securities.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INSIDE INFORMATION</w:t>
      </w:r>
    </w:p>
    <w:p>
      <w:pPr>
        <w:spacing w:after="0" w:line="339" w:lineRule="exact"/>
        <w:rPr>
          <w:sz w:val="20"/>
          <w:szCs w:val="20"/>
          <w:color w:val="auto"/>
        </w:rPr>
      </w:pPr>
    </w:p>
    <w:p>
      <w:pPr>
        <w:ind w:left="1220" w:hanging="640"/>
        <w:spacing w:after="0"/>
        <w:tabs>
          <w:tab w:leader="none" w:pos="122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What is Inside Information</w:t>
      </w:r>
      <w:r>
        <w:rPr>
          <w:rFonts w:ascii="Times New Roman" w:cs="Times New Roman" w:eastAsia="Times New Roman" w:hAnsi="Times New Roman"/>
          <w:sz w:val="22"/>
          <w:szCs w:val="22"/>
          <w:b w:val="1"/>
          <w:bCs w:val="1"/>
          <w:color w:val="auto"/>
        </w:rPr>
        <w:t>?</w:t>
      </w:r>
    </w:p>
    <w:p>
      <w:pPr>
        <w:spacing w:after="0" w:line="334" w:lineRule="exact"/>
        <w:rPr>
          <w:sz w:val="20"/>
          <w:szCs w:val="20"/>
          <w:color w:val="auto"/>
        </w:rPr>
      </w:pPr>
    </w:p>
    <w:p>
      <w:pPr>
        <w:jc w:val="both"/>
        <w:ind w:left="580" w:right="600" w:firstLine="648"/>
        <w:spacing w:after="0" w:line="256" w:lineRule="auto"/>
        <w:rPr>
          <w:sz w:val="20"/>
          <w:szCs w:val="20"/>
          <w:color w:val="auto"/>
        </w:rPr>
      </w:pPr>
      <w:r>
        <w:rPr>
          <w:rFonts w:ascii="Times New Roman" w:cs="Times New Roman" w:eastAsia="Times New Roman" w:hAnsi="Times New Roman"/>
          <w:sz w:val="22"/>
          <w:szCs w:val="22"/>
          <w:color w:val="auto"/>
        </w:rPr>
        <w:t>“Inside” information is material information about the Company or its subsidiaries that is not available to the public. Information generally becomes available to the public after it has been disclosed by the Company or third parties in a press release or other public statement, including any filing with the Securities and Exchange Commission (“SEC”).</w:t>
      </w:r>
    </w:p>
    <w:p>
      <w:pPr>
        <w:spacing w:after="0" w:line="197" w:lineRule="exact"/>
        <w:rPr>
          <w:sz w:val="20"/>
          <w:szCs w:val="20"/>
          <w:color w:val="auto"/>
        </w:rPr>
      </w:pPr>
    </w:p>
    <w:p>
      <w:pPr>
        <w:ind w:left="1220" w:hanging="640"/>
        <w:spacing w:after="0"/>
        <w:tabs>
          <w:tab w:leader="none" w:pos="12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What is Material Information</w:t>
      </w:r>
      <w:r>
        <w:rPr>
          <w:rFonts w:ascii="Times New Roman" w:cs="Times New Roman" w:eastAsia="Times New Roman" w:hAnsi="Times New Roman"/>
          <w:sz w:val="22"/>
          <w:szCs w:val="22"/>
          <w:b w:val="1"/>
          <w:bCs w:val="1"/>
          <w:i w:val="1"/>
          <w:iCs w:val="1"/>
          <w:color w:val="auto"/>
        </w:rPr>
        <w:t>?</w:t>
      </w:r>
    </w:p>
    <w:p>
      <w:pPr>
        <w:spacing w:after="0" w:line="347" w:lineRule="exact"/>
        <w:rPr>
          <w:sz w:val="20"/>
          <w:szCs w:val="20"/>
          <w:color w:val="auto"/>
        </w:rPr>
      </w:pPr>
    </w:p>
    <w:p>
      <w:pPr>
        <w:jc w:val="both"/>
        <w:ind w:left="580" w:right="600" w:firstLine="648"/>
        <w:spacing w:after="0" w:line="250" w:lineRule="auto"/>
        <w:rPr>
          <w:sz w:val="20"/>
          <w:szCs w:val="20"/>
          <w:color w:val="auto"/>
        </w:rPr>
      </w:pPr>
      <w:r>
        <w:rPr>
          <w:rFonts w:ascii="Times New Roman" w:cs="Times New Roman" w:eastAsia="Times New Roman" w:hAnsi="Times New Roman"/>
          <w:sz w:val="22"/>
          <w:szCs w:val="22"/>
          <w:color w:val="auto"/>
        </w:rPr>
        <w:t>Information generally is considered “material” if its disclosure to the public would be reasonably likely to affect (i) investors’ decisions to buy or sell the securities of the Company or (ii) the market price of the securities. Both positive and negative information may be material. Some examples of material information include the following: (a) a merger or acquisition involving the Company or its subsidiaries; (b) information regarding the Company’s or its subsidiaries’ revenues or earnings; (c) the status of U.S. Food and Drug Administration (“FDA”) or other regulatory submissions, approvals, investigations, reviews, audits or other actions or proceedings; (d) major litigation and disputes with significant business partners; (e) the public or private sale of additional securities of the Company; (f) a tender offer by the Company for another company’s securities or for the Company’s securities by a third party; (g) senior</w:t>
      </w:r>
    </w:p>
    <w:p>
      <w:pPr>
        <w:sectPr>
          <w:pgSz w:w="11900" w:h="16838" w:orient="portrait"/>
          <w:cols w:equalWidth="0" w:num="1">
            <w:col w:w="11200"/>
          </w:cols>
          <w:pgMar w:left="36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14"/>
          <w:szCs w:val="14"/>
          <w:color w:val="auto"/>
        </w:rPr>
        <w:t>ACTIVE/201261045.4</w:t>
      </w:r>
    </w:p>
    <w:p>
      <w:pPr>
        <w:sectPr>
          <w:pgSz w:w="11900" w:h="16838" w:orient="portrait"/>
          <w:cols w:equalWidth="0" w:num="1">
            <w:col w:w="11200"/>
          </w:cols>
          <w:pgMar w:left="360" w:top="118" w:right="33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80" w:right="600"/>
        <w:spacing w:after="0" w:line="265" w:lineRule="auto"/>
        <w:rPr>
          <w:sz w:val="20"/>
          <w:szCs w:val="20"/>
          <w:color w:val="auto"/>
        </w:rPr>
      </w:pPr>
      <w:r>
        <w:rPr>
          <w:rFonts w:ascii="Times New Roman" w:cs="Times New Roman" w:eastAsia="Times New Roman" w:hAnsi="Times New Roman"/>
          <w:sz w:val="21"/>
          <w:szCs w:val="21"/>
          <w:color w:val="auto"/>
        </w:rPr>
        <w:t xml:space="preserve">management changes; or (h) significant changes regarding the business of key customers or suppliers. Obviously, what is material information cannot be enumerated with precision, since there are many gray areas and varying circumstances. The determination of whether information was material is almost always made after the fact when the effect on the market can be quantified. Therefore, any trading is risky. When doubt exists, the information should be presumed to be material. </w:t>
      </w:r>
      <w:r>
        <w:rPr>
          <w:rFonts w:ascii="Times New Roman" w:cs="Times New Roman" w:eastAsia="Times New Roman" w:hAnsi="Times New Roman"/>
          <w:sz w:val="21"/>
          <w:szCs w:val="21"/>
          <w:b w:val="1"/>
          <w:bCs w:val="1"/>
          <w:color w:val="auto"/>
        </w:rPr>
        <w:t>If you are unsure whether information of which you are aware is 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or nonpublic, you should discuss this issue with the Company’s Compliance Officer prior to trading.</w:t>
      </w:r>
    </w:p>
    <w:p>
      <w:pPr>
        <w:spacing w:after="0" w:line="209" w:lineRule="exact"/>
        <w:rPr>
          <w:sz w:val="20"/>
          <w:szCs w:val="20"/>
          <w:color w:val="auto"/>
        </w:rPr>
      </w:pPr>
    </w:p>
    <w:p>
      <w:pPr>
        <w:jc w:val="both"/>
        <w:ind w:left="580" w:right="600" w:firstLine="648"/>
        <w:spacing w:after="0" w:line="250" w:lineRule="auto"/>
        <w:rPr>
          <w:sz w:val="20"/>
          <w:szCs w:val="20"/>
          <w:color w:val="auto"/>
        </w:rPr>
      </w:pPr>
      <w:r>
        <w:rPr>
          <w:rFonts w:ascii="Times New Roman" w:cs="Times New Roman" w:eastAsia="Times New Roman" w:hAnsi="Times New Roman"/>
          <w:sz w:val="22"/>
          <w:szCs w:val="22"/>
          <w:color w:val="auto"/>
        </w:rPr>
        <w:t>Material information not yet ripe for public disclosure may often exist within the Company or its subsidiaries. For example, during the early stages of discussions regarding a significant acquisition or disposition, the information about the discussions may be too tentative or premature to require, or even permit, public announcement by the Company. On the other hand, that same information may be highly material. If you have access to material information, you (i) are prohibited from disclosing such information to others, and (ii) may be precluded from trading in the Company’s securities. If you have access to material inside information and have doubts about your ability to trade in securities, you should refrain from trading until you seek and obtain clearance from (1) the Compliance Officer and, (2) if you are a director or executive officer, the Company’s Chief Executive Officer.</w:t>
      </w:r>
    </w:p>
    <w:p>
      <w:pPr>
        <w:spacing w:after="0" w:line="207" w:lineRule="exact"/>
        <w:rPr>
          <w:sz w:val="20"/>
          <w:szCs w:val="20"/>
          <w:color w:val="auto"/>
        </w:rPr>
      </w:pPr>
    </w:p>
    <w:p>
      <w:pPr>
        <w:jc w:val="both"/>
        <w:ind w:left="580" w:right="600" w:firstLine="648"/>
        <w:spacing w:after="0" w:line="253" w:lineRule="auto"/>
        <w:rPr>
          <w:sz w:val="20"/>
          <w:szCs w:val="20"/>
          <w:color w:val="auto"/>
        </w:rPr>
      </w:pPr>
      <w:r>
        <w:rPr>
          <w:rFonts w:ascii="Times New Roman" w:cs="Times New Roman" w:eastAsia="Times New Roman" w:hAnsi="Times New Roman"/>
          <w:sz w:val="22"/>
          <w:szCs w:val="22"/>
          <w:color w:val="auto"/>
        </w:rPr>
        <w:t>The principles discussed in this Policy Statement also apply to inside information obtained in the course of your employment about another public corporation, such as a customer or a corporation with which the Company or any of its subsidiaries is involved in a transaction. If you obtain material nonpublic information about another public company, you should refrain from trading in the securities of that company until the material information has been publicly disseminated.</w:t>
      </w:r>
    </w:p>
    <w:p>
      <w:pPr>
        <w:spacing w:after="0" w:line="213" w:lineRule="exact"/>
        <w:rPr>
          <w:sz w:val="20"/>
          <w:szCs w:val="20"/>
          <w:color w:val="auto"/>
        </w:rPr>
      </w:pPr>
    </w:p>
    <w:p>
      <w:pPr>
        <w:ind w:left="1220" w:hanging="640"/>
        <w:spacing w:after="0"/>
        <w:tabs>
          <w:tab w:leader="none" w:pos="12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Reasons for Maintaining Confidentiality</w:t>
      </w:r>
      <w:r>
        <w:rPr>
          <w:rFonts w:ascii="Times New Roman" w:cs="Times New Roman" w:eastAsia="Times New Roman" w:hAnsi="Times New Roman"/>
          <w:sz w:val="22"/>
          <w:szCs w:val="22"/>
          <w:b w:val="1"/>
          <w:bCs w:val="1"/>
          <w:color w:val="auto"/>
        </w:rPr>
        <w:t>.</w:t>
      </w:r>
    </w:p>
    <w:p>
      <w:pPr>
        <w:spacing w:after="0" w:line="334" w:lineRule="exact"/>
        <w:rPr>
          <w:sz w:val="20"/>
          <w:szCs w:val="20"/>
          <w:color w:val="auto"/>
        </w:rPr>
      </w:pPr>
    </w:p>
    <w:p>
      <w:pPr>
        <w:jc w:val="both"/>
        <w:ind w:left="580" w:right="600" w:firstLine="648"/>
        <w:spacing w:after="0" w:line="250" w:lineRule="auto"/>
        <w:rPr>
          <w:sz w:val="20"/>
          <w:szCs w:val="20"/>
          <w:color w:val="auto"/>
        </w:rPr>
      </w:pPr>
      <w:r>
        <w:rPr>
          <w:rFonts w:ascii="Times New Roman" w:cs="Times New Roman" w:eastAsia="Times New Roman" w:hAnsi="Times New Roman"/>
          <w:sz w:val="22"/>
          <w:szCs w:val="22"/>
          <w:color w:val="auto"/>
        </w:rPr>
        <w:t>The federal securities laws strictly prohibit any person who obtains material inside information and has a duty not to disclose it from using such information in connection with the purchase and sale of securities. It does not matter how that information has been obtained, whether in the course of employment, from friends, relatives, acquaintances or strangers, or from overhearing the conversations of others. Congress enacted this prohibition because the integrity of the securities markets would be seriously undermined if the “deck were stacked” against persons not privy to such information. Your failure to maintain the confidentiality of material nonpublic information about the Company or its subsidiaries could greatly harm the Company’s ability to conduct business. In addition, you could be exposed to significant penalties and legal action.</w:t>
      </w:r>
    </w:p>
    <w:p>
      <w:pPr>
        <w:spacing w:after="0" w:line="208" w:lineRule="exact"/>
        <w:rPr>
          <w:sz w:val="20"/>
          <w:szCs w:val="20"/>
          <w:color w:val="auto"/>
        </w:rPr>
      </w:pPr>
    </w:p>
    <w:p>
      <w:pPr>
        <w:ind w:left="1220" w:hanging="640"/>
        <w:spacing w:after="0"/>
        <w:tabs>
          <w:tab w:leader="none" w:pos="12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Safeguarding Material Information</w:t>
      </w:r>
      <w:r>
        <w:rPr>
          <w:rFonts w:ascii="Times New Roman" w:cs="Times New Roman" w:eastAsia="Times New Roman" w:hAnsi="Times New Roman"/>
          <w:sz w:val="22"/>
          <w:szCs w:val="22"/>
          <w:b w:val="1"/>
          <w:bCs w:val="1"/>
          <w:color w:val="auto"/>
        </w:rPr>
        <w:t>.</w:t>
      </w:r>
    </w:p>
    <w:p>
      <w:pPr>
        <w:spacing w:after="0" w:line="347" w:lineRule="exact"/>
        <w:rPr>
          <w:sz w:val="20"/>
          <w:szCs w:val="20"/>
          <w:color w:val="auto"/>
        </w:rPr>
      </w:pPr>
    </w:p>
    <w:p>
      <w:pPr>
        <w:jc w:val="both"/>
        <w:ind w:left="580" w:right="600" w:firstLine="648"/>
        <w:spacing w:after="0" w:line="252" w:lineRule="auto"/>
        <w:rPr>
          <w:sz w:val="20"/>
          <w:szCs w:val="20"/>
          <w:color w:val="auto"/>
        </w:rPr>
      </w:pPr>
      <w:r>
        <w:rPr>
          <w:rFonts w:ascii="Times New Roman" w:cs="Times New Roman" w:eastAsia="Times New Roman" w:hAnsi="Times New Roman"/>
          <w:sz w:val="22"/>
          <w:szCs w:val="22"/>
          <w:color w:val="auto"/>
        </w:rPr>
        <w:t>During the period that material information relating to the Company, its subsidiaries or their respective businesses is unavailable to the general public, it must be kept in strict confidence. Accordingly, such information should be discussed only with persons who have a “need to know” and should be confined to as small a group as possible. The utmost care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14"/>
          <w:szCs w:val="14"/>
          <w:color w:val="auto"/>
        </w:rPr>
        <w:t>ACTIVE/201261045.4</w:t>
      </w:r>
    </w:p>
    <w:p>
      <w:pPr>
        <w:sectPr>
          <w:pgSz w:w="11900" w:h="16838" w:orient="portrait"/>
          <w:cols w:equalWidth="0" w:num="1">
            <w:col w:w="11200"/>
          </w:cols>
          <w:pgMar w:left="360" w:top="11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80" w:right="600"/>
        <w:spacing w:after="0" w:line="263" w:lineRule="auto"/>
        <w:rPr>
          <w:sz w:val="20"/>
          <w:szCs w:val="20"/>
          <w:color w:val="auto"/>
        </w:rPr>
      </w:pPr>
      <w:r>
        <w:rPr>
          <w:rFonts w:ascii="Times New Roman" w:cs="Times New Roman" w:eastAsia="Times New Roman" w:hAnsi="Times New Roman"/>
          <w:sz w:val="22"/>
          <w:szCs w:val="22"/>
          <w:color w:val="auto"/>
        </w:rPr>
        <w:t>circumspection must be exercised at all times. Therefore, conversations in public places, such as elevators, restaurants and airplanes, should be limited to matters that do not involve information of a sensitive or confidential nature.</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PROCEDURES FOR DISCLOSURE OF MATERIAL NONPUBLIC INFORMATION</w:t>
      </w:r>
    </w:p>
    <w:p>
      <w:pPr>
        <w:spacing w:after="0" w:line="345" w:lineRule="exact"/>
        <w:rPr>
          <w:sz w:val="20"/>
          <w:szCs w:val="20"/>
          <w:color w:val="auto"/>
        </w:rPr>
      </w:pPr>
    </w:p>
    <w:p>
      <w:pPr>
        <w:jc w:val="both"/>
        <w:ind w:left="580" w:right="600" w:firstLine="648"/>
        <w:spacing w:after="0" w:line="253" w:lineRule="auto"/>
        <w:rPr>
          <w:sz w:val="20"/>
          <w:szCs w:val="20"/>
          <w:color w:val="auto"/>
        </w:rPr>
      </w:pPr>
      <w:r>
        <w:rPr>
          <w:rFonts w:ascii="Times New Roman" w:cs="Times New Roman" w:eastAsia="Times New Roman" w:hAnsi="Times New Roman"/>
          <w:sz w:val="22"/>
          <w:szCs w:val="22"/>
          <w:color w:val="auto"/>
        </w:rPr>
        <w:t>The SEC has enacted rules regarding the selective disclosure of material nonpublic information by public companies to securities market professionals before making full disclosure of the same information to the general public. In order to facilitate effective communication with the public securities markets and prohibit the selective disclosure of material information, the Company has adopted a Fair Disclosure Policy regarding communications with securities market professionals and stockholders.</w:t>
      </w:r>
    </w:p>
    <w:p>
      <w:pPr>
        <w:spacing w:after="0" w:line="206" w:lineRule="exact"/>
        <w:rPr>
          <w:sz w:val="20"/>
          <w:szCs w:val="20"/>
          <w:color w:val="auto"/>
        </w:rPr>
      </w:pPr>
    </w:p>
    <w:p>
      <w:pPr>
        <w:jc w:val="both"/>
        <w:ind w:left="580" w:right="580" w:firstLine="648"/>
        <w:spacing w:after="0" w:line="250" w:lineRule="auto"/>
        <w:rPr>
          <w:sz w:val="20"/>
          <w:szCs w:val="20"/>
          <w:color w:val="auto"/>
        </w:rPr>
      </w:pPr>
      <w:r>
        <w:rPr>
          <w:rFonts w:ascii="Times New Roman" w:cs="Times New Roman" w:eastAsia="Times New Roman" w:hAnsi="Times New Roman"/>
          <w:sz w:val="22"/>
          <w:szCs w:val="22"/>
          <w:color w:val="auto"/>
        </w:rPr>
        <w:t>To assure that Company confidences are protected to the maximum extent possible, in accordance with the Fair Disclosure Policy, no individuals other than specifically authorized personnel may release information to the public or respond to inquiries from the media, stockholders, securities market professionals such as analysts, brokers or investment advisors or others outside the Company. All other officers, directors and employees should refrain from disclosing Company business to stockholders and securities market professionals. All contacts with stockholders or securities market professionals should be promptly reported to the Compliance Officer. Scripts, talking points, presentations or other materials for use in pre- planned contacts with stockholders and securities market professionals should be reviewed by the Compliance Officer before use.</w:t>
      </w:r>
    </w:p>
    <w:p>
      <w:pPr>
        <w:spacing w:after="0" w:line="227" w:lineRule="exact"/>
        <w:rPr>
          <w:sz w:val="20"/>
          <w:szCs w:val="20"/>
          <w:color w:val="auto"/>
        </w:rPr>
      </w:pPr>
    </w:p>
    <w:p>
      <w:pPr>
        <w:jc w:val="both"/>
        <w:ind w:left="580" w:right="600" w:firstLine="648"/>
        <w:spacing w:after="0" w:line="248" w:lineRule="auto"/>
        <w:rPr>
          <w:sz w:val="20"/>
          <w:szCs w:val="20"/>
          <w:color w:val="auto"/>
        </w:rPr>
      </w:pPr>
      <w:r>
        <w:rPr>
          <w:rFonts w:ascii="Times New Roman" w:cs="Times New Roman" w:eastAsia="Times New Roman" w:hAnsi="Times New Roman"/>
          <w:sz w:val="22"/>
          <w:szCs w:val="22"/>
          <w:color w:val="auto"/>
        </w:rPr>
        <w:t>In the event the Compliance Officer determines that a selective disclosure of material nonpublic information to a stockholder or securities market professional has occurred, the Company shall promptly disseminate the same information through the filing of a Current Report on Form 8-K, or through another method (or combination of methods) of disclosure that is reasonably designed to provide broad, non-exclusionary distribution of the information to the public. Such dissemination shall occur not later than 24 hours after the Compliance Officer learns of such selective disclosure.</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 OF SECURITIES</w:t>
      </w:r>
    </w:p>
    <w:p>
      <w:pPr>
        <w:spacing w:after="0" w:line="345" w:lineRule="exact"/>
        <w:rPr>
          <w:sz w:val="20"/>
          <w:szCs w:val="20"/>
          <w:color w:val="auto"/>
        </w:rPr>
      </w:pPr>
    </w:p>
    <w:p>
      <w:pPr>
        <w:jc w:val="both"/>
        <w:ind w:left="580" w:right="600" w:firstLine="648"/>
        <w:spacing w:after="0" w:line="271" w:lineRule="auto"/>
        <w:rPr>
          <w:sz w:val="20"/>
          <w:szCs w:val="20"/>
          <w:color w:val="auto"/>
        </w:rPr>
      </w:pPr>
      <w:r>
        <w:rPr>
          <w:rFonts w:ascii="Times New Roman" w:cs="Times New Roman" w:eastAsia="Times New Roman" w:hAnsi="Times New Roman"/>
          <w:sz w:val="22"/>
          <w:szCs w:val="22"/>
          <w:color w:val="auto"/>
        </w:rPr>
        <w:t>“Insider Trading” has been an enforcement priority of the SEC and the Department of Justice for many years. Criminal prosecution and the imposition of fines and/or imprisonment is common place.</w:t>
      </w:r>
    </w:p>
    <w:p>
      <w:pPr>
        <w:spacing w:after="0" w:line="198" w:lineRule="exact"/>
        <w:rPr>
          <w:sz w:val="20"/>
          <w:szCs w:val="20"/>
          <w:color w:val="auto"/>
        </w:rPr>
      </w:pPr>
    </w:p>
    <w:p>
      <w:pPr>
        <w:jc w:val="both"/>
        <w:ind w:left="580" w:right="600" w:firstLine="648"/>
        <w:spacing w:after="0" w:line="256" w:lineRule="auto"/>
        <w:rPr>
          <w:sz w:val="20"/>
          <w:szCs w:val="20"/>
          <w:color w:val="auto"/>
        </w:rPr>
      </w:pPr>
      <w:r>
        <w:rPr>
          <w:rFonts w:ascii="Times New Roman" w:cs="Times New Roman" w:eastAsia="Times New Roman" w:hAnsi="Times New Roman"/>
          <w:sz w:val="22"/>
          <w:szCs w:val="22"/>
          <w:color w:val="auto"/>
        </w:rPr>
        <w:t>Anyone who violates the insider trading prohibitions contained in the federal securities laws is subject to potential civil damages and criminal penalties. The civil damages can consist of disgorgement of profits and a fine of up to three times the profit gained or the loss avoided. The criminal penalties can be as much as $5,000,000 and 20 years imprisonment for each violation.</w:t>
      </w:r>
    </w:p>
    <w:p>
      <w:pPr>
        <w:spacing w:after="0" w:line="217" w:lineRule="exact"/>
        <w:rPr>
          <w:sz w:val="20"/>
          <w:szCs w:val="20"/>
          <w:color w:val="auto"/>
        </w:rPr>
      </w:pPr>
    </w:p>
    <w:p>
      <w:pPr>
        <w:jc w:val="both"/>
        <w:ind w:left="580" w:right="600" w:firstLine="648"/>
        <w:spacing w:after="0" w:line="271" w:lineRule="auto"/>
        <w:rPr>
          <w:sz w:val="20"/>
          <w:szCs w:val="20"/>
          <w:color w:val="auto"/>
        </w:rPr>
      </w:pPr>
      <w:r>
        <w:rPr>
          <w:rFonts w:ascii="Times New Roman" w:cs="Times New Roman" w:eastAsia="Times New Roman" w:hAnsi="Times New Roman"/>
          <w:sz w:val="22"/>
          <w:szCs w:val="22"/>
          <w:color w:val="auto"/>
        </w:rPr>
        <w:t>In addition, the SEC can seek a civil penalty against a company as a “controlling person” that fails to take appropriate steps to prevent illegal trading. The SEC can also seek a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14"/>
          <w:szCs w:val="14"/>
          <w:color w:val="auto"/>
        </w:rPr>
        <w:t>ACTIVE/201261045.4</w:t>
      </w:r>
    </w:p>
    <w:p>
      <w:pPr>
        <w:sectPr>
          <w:pgSz w:w="11900" w:h="16838" w:orient="portrait"/>
          <w:cols w:equalWidth="0" w:num="1">
            <w:col w:w="11200"/>
          </w:cols>
          <w:pgMar w:left="360" w:top="11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80" w:right="600"/>
        <w:spacing w:after="0" w:line="250" w:lineRule="auto"/>
        <w:rPr>
          <w:sz w:val="20"/>
          <w:szCs w:val="20"/>
          <w:color w:val="auto"/>
        </w:rPr>
      </w:pPr>
      <w:r>
        <w:rPr>
          <w:rFonts w:ascii="Times New Roman" w:cs="Times New Roman" w:eastAsia="Times New Roman" w:hAnsi="Times New Roman"/>
          <w:sz w:val="22"/>
          <w:szCs w:val="22"/>
          <w:color w:val="auto"/>
        </w:rPr>
        <w:t>penalty against directors and supervisory personnel as “controlling persons” who fail to take appropriate steps to prevent illegal trading. Although the Securities Exchange Act of 1934 does not define a “controlling person,” its legislative history suggests that directors, officers and certain managerial personnel could become controlling persons subject to liability if they knew of, or recklessly disregarded, a likely insider trading violation by an employee under their control. A successful action by the SEC under this provision could result in a civil fine of $1,000,000 or three times the profit gained or the loss avoided, whichever is greater. Criminal penalties can be up to $25,000,000.</w:t>
      </w:r>
    </w:p>
    <w:p>
      <w:pPr>
        <w:spacing w:after="0" w:line="221" w:lineRule="exact"/>
        <w:rPr>
          <w:sz w:val="20"/>
          <w:szCs w:val="20"/>
          <w:color w:val="auto"/>
        </w:rPr>
      </w:pPr>
    </w:p>
    <w:p>
      <w:pPr>
        <w:jc w:val="both"/>
        <w:ind w:left="580" w:right="600" w:firstLine="648"/>
        <w:spacing w:after="0" w:line="263" w:lineRule="auto"/>
        <w:rPr>
          <w:sz w:val="20"/>
          <w:szCs w:val="20"/>
          <w:color w:val="auto"/>
        </w:rPr>
      </w:pPr>
      <w:r>
        <w:rPr>
          <w:rFonts w:ascii="Times New Roman" w:cs="Times New Roman" w:eastAsia="Times New Roman" w:hAnsi="Times New Roman"/>
          <w:sz w:val="22"/>
          <w:szCs w:val="22"/>
          <w:color w:val="auto"/>
        </w:rPr>
        <w:t>In addition to the possible imposition of civil damages and criminal penalties on violators and their controlling persons, any appearance of impropriety could not only damage the Company’s reputation for integrity and ethical conduct but also impair investor confidence in the Company.</w:t>
      </w:r>
    </w:p>
    <w:p>
      <w:pPr>
        <w:spacing w:after="0" w:line="194" w:lineRule="exact"/>
        <w:rPr>
          <w:sz w:val="20"/>
          <w:szCs w:val="20"/>
          <w:color w:val="auto"/>
        </w:rPr>
      </w:pPr>
    </w:p>
    <w:p>
      <w:pPr>
        <w:jc w:val="both"/>
        <w:ind w:left="580" w:right="600" w:firstLine="648"/>
        <w:spacing w:after="0" w:line="256" w:lineRule="auto"/>
        <w:rPr>
          <w:sz w:val="20"/>
          <w:szCs w:val="20"/>
          <w:color w:val="auto"/>
        </w:rPr>
      </w:pPr>
      <w:r>
        <w:rPr>
          <w:rFonts w:ascii="Times New Roman" w:cs="Times New Roman" w:eastAsia="Times New Roman" w:hAnsi="Times New Roman"/>
          <w:sz w:val="22"/>
          <w:szCs w:val="22"/>
          <w:color w:val="auto"/>
        </w:rPr>
        <w:t>If a Covered Person violates the Company’s Policy Statement, the Company can take disciplinary action, including removal from a position as director or officer or dismissal as an employee of the Company or its subsidiaries. Even if the SEC does not prosecute a case, involvement in an investigation (by the SEC or the Company) can tarnish the Covered Person’s reputation and damage his or her career.</w:t>
      </w:r>
    </w:p>
    <w:p>
      <w:pPr>
        <w:spacing w:after="0" w:line="217" w:lineRule="exact"/>
        <w:rPr>
          <w:sz w:val="20"/>
          <w:szCs w:val="20"/>
          <w:color w:val="auto"/>
        </w:rPr>
      </w:pPr>
    </w:p>
    <w:p>
      <w:pPr>
        <w:jc w:val="both"/>
        <w:ind w:left="580" w:right="600" w:firstLine="648"/>
        <w:spacing w:after="0" w:line="268" w:lineRule="auto"/>
        <w:rPr>
          <w:sz w:val="20"/>
          <w:szCs w:val="20"/>
          <w:color w:val="auto"/>
        </w:rPr>
      </w:pPr>
      <w:r>
        <w:rPr>
          <w:rFonts w:ascii="Times New Roman" w:cs="Times New Roman" w:eastAsia="Times New Roman" w:hAnsi="Times New Roman"/>
          <w:sz w:val="21"/>
          <w:szCs w:val="21"/>
          <w:color w:val="auto"/>
        </w:rPr>
        <w:t>Any person who has supervisory authority over any Company or subsidiary personnel must promptly report to the Company’s Compliance Officer any trading in the Company’s securities by the Company or subsidiary personnel or disclosure of material “nonpublic” information by the Company or subsidiary personnel which he or she has reason to believe may violate this Policy Statement or the securities laws of the United States.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Restrictions on Trading and Tipping</w:t>
      </w:r>
    </w:p>
    <w:p>
      <w:pPr>
        <w:spacing w:after="0" w:line="345" w:lineRule="exact"/>
        <w:rPr>
          <w:sz w:val="20"/>
          <w:szCs w:val="20"/>
          <w:color w:val="auto"/>
        </w:rPr>
      </w:pPr>
    </w:p>
    <w:p>
      <w:pPr>
        <w:ind w:left="580" w:right="880" w:firstLine="648"/>
        <w:spacing w:after="0" w:line="271" w:lineRule="auto"/>
        <w:rPr>
          <w:sz w:val="20"/>
          <w:szCs w:val="20"/>
          <w:color w:val="auto"/>
        </w:rPr>
      </w:pPr>
      <w:r>
        <w:rPr>
          <w:rFonts w:ascii="Times New Roman" w:cs="Times New Roman" w:eastAsia="Times New Roman" w:hAnsi="Times New Roman"/>
          <w:sz w:val="22"/>
          <w:szCs w:val="22"/>
          <w:color w:val="auto"/>
        </w:rPr>
        <w:t>In light of the Company’s responsibilities under the federal securities laws, the Company has adopted the following policies regarding your trading in securities:</w:t>
      </w:r>
    </w:p>
    <w:p>
      <w:pPr>
        <w:spacing w:after="0" w:line="181" w:lineRule="exact"/>
        <w:rPr>
          <w:sz w:val="20"/>
          <w:szCs w:val="20"/>
          <w:color w:val="auto"/>
        </w:rPr>
      </w:pPr>
    </w:p>
    <w:p>
      <w:pPr>
        <w:ind w:left="1220" w:hanging="640"/>
        <w:spacing w:after="0"/>
        <w:tabs>
          <w:tab w:leader="none" w:pos="12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on Basis of Material Nonpublic Information.</w:t>
      </w:r>
    </w:p>
    <w:p>
      <w:pPr>
        <w:spacing w:after="0" w:line="264" w:lineRule="exact"/>
        <w:rPr>
          <w:rFonts w:ascii="Times New Roman" w:cs="Times New Roman" w:eastAsia="Times New Roman" w:hAnsi="Times New Roman"/>
          <w:sz w:val="22"/>
          <w:szCs w:val="22"/>
          <w:b w:val="1"/>
          <w:bCs w:val="1"/>
          <w:color w:val="auto"/>
        </w:rPr>
      </w:pPr>
    </w:p>
    <w:p>
      <w:pPr>
        <w:jc w:val="both"/>
        <w:ind w:left="1220" w:right="580"/>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Directors, officers and employees of the Company or any of its subsidiaries may not buy or sell securities of the Company or any other publicly traded company while in possession of material nonpublic information. Neither you nor any person affiliated with you may buy or sell securities or engage in any other action to take advantage of, or pass on to others, nonpublic material information. This rule applies both to securities purchases (to make a profit based on good news) and securities sales (to avoid a loss based on bad news) regardless of how or from whom the material nonpublic information has been obtained. This prohibition extends not only to transactions involving Company securities but also transactions involving securities of other companies (1) with which the Company has an existing business relationship, including but not limited to, the Company's distributors, vendors, customers or suppliers or collaboration, marketing, research, development or licensing partners, or (2) with which the Company is in active discussions concerning a potential transaction or business relationship. However,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14"/>
          <w:szCs w:val="14"/>
          <w:color w:val="auto"/>
        </w:rPr>
        <w:t>ACTIVE/201261045.4</w:t>
      </w:r>
    </w:p>
    <w:p>
      <w:pPr>
        <w:sectPr>
          <w:pgSz w:w="11900" w:h="16838" w:orient="portrait"/>
          <w:cols w:equalWidth="0" w:num="1">
            <w:col w:w="11200"/>
          </w:cols>
          <w:pgMar w:left="360" w:top="11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20" w:right="600"/>
        <w:spacing w:after="0" w:line="263" w:lineRule="auto"/>
        <w:rPr>
          <w:sz w:val="20"/>
          <w:szCs w:val="20"/>
          <w:color w:val="auto"/>
        </w:rPr>
      </w:pPr>
      <w:r>
        <w:rPr>
          <w:rFonts w:ascii="Times New Roman" w:cs="Times New Roman" w:eastAsia="Times New Roman" w:hAnsi="Times New Roman"/>
          <w:sz w:val="22"/>
          <w:szCs w:val="22"/>
          <w:color w:val="auto"/>
        </w:rPr>
        <w:t>may be permitted while in possession of, but not on the basis of, material nonpublic information if pursuant to a validly created Rule 10b5-1 Plan that has been approved in accordance with the terms of this Policy Statement.</w:t>
      </w:r>
    </w:p>
    <w:p>
      <w:pPr>
        <w:spacing w:after="0" w:line="194" w:lineRule="exact"/>
        <w:rPr>
          <w:sz w:val="20"/>
          <w:szCs w:val="20"/>
          <w:color w:val="auto"/>
        </w:rPr>
      </w:pPr>
    </w:p>
    <w:p>
      <w:pPr>
        <w:jc w:val="both"/>
        <w:ind w:left="1220" w:right="580"/>
        <w:spacing w:after="0" w:line="251" w:lineRule="auto"/>
        <w:rPr>
          <w:sz w:val="20"/>
          <w:szCs w:val="20"/>
          <w:color w:val="auto"/>
        </w:rPr>
      </w:pPr>
      <w:r>
        <w:rPr>
          <w:rFonts w:ascii="Times New Roman" w:cs="Times New Roman" w:eastAsia="Times New Roman" w:hAnsi="Times New Roman"/>
          <w:sz w:val="22"/>
          <w:szCs w:val="22"/>
          <w:color w:val="auto"/>
        </w:rPr>
        <w:t>Additionally, if you believe you may be in possession of nonpublic information about the Company that could potentially have a material effect on the stock price of another company with which the Company does not have an existing business relationship or with which the Company is not discussing a potential transaction or business relationship, you should exercise caution when trading in the securities of that company because the SEC has successfully brought an insider trading claim against an insider in those circumstances.</w:t>
      </w:r>
    </w:p>
    <w:p>
      <w:pPr>
        <w:spacing w:after="0" w:line="20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For purposes of this Policy Statement, “affiliates” include:</w:t>
      </w:r>
    </w:p>
    <w:p>
      <w:pPr>
        <w:spacing w:after="0" w:line="247" w:lineRule="exact"/>
        <w:rPr>
          <w:sz w:val="20"/>
          <w:szCs w:val="20"/>
          <w:color w:val="auto"/>
        </w:rPr>
      </w:pPr>
    </w:p>
    <w:p>
      <w:pPr>
        <w:jc w:val="both"/>
        <w:ind w:left="1880" w:right="580" w:hanging="328"/>
        <w:spacing w:after="0" w:line="249" w:lineRule="auto"/>
        <w:tabs>
          <w:tab w:leader="none" w:pos="187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“Family Members” (“Family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222" w:lineRule="exact"/>
        <w:rPr>
          <w:rFonts w:ascii="Times New Roman" w:cs="Times New Roman" w:eastAsia="Times New Roman" w:hAnsi="Times New Roman"/>
          <w:sz w:val="22"/>
          <w:szCs w:val="22"/>
          <w:color w:val="auto"/>
        </w:rPr>
      </w:pPr>
    </w:p>
    <w:p>
      <w:pPr>
        <w:jc w:val="both"/>
        <w:ind w:left="1880" w:right="580" w:hanging="328"/>
        <w:spacing w:after="0" w:line="257" w:lineRule="auto"/>
        <w:tabs>
          <w:tab w:leader="none" w:pos="187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99" w:lineRule="exact"/>
        <w:rPr>
          <w:rFonts w:ascii="Times New Roman" w:cs="Times New Roman" w:eastAsia="Times New Roman" w:hAnsi="Times New Roman"/>
          <w:sz w:val="22"/>
          <w:szCs w:val="22"/>
          <w:color w:val="auto"/>
        </w:rPr>
      </w:pPr>
    </w:p>
    <w:p>
      <w:pPr>
        <w:ind w:left="1880" w:hanging="328"/>
        <w:spacing w:after="0"/>
        <w:tabs>
          <w:tab w:leader="none" w:pos="18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46" w:lineRule="exact"/>
        <w:rPr>
          <w:rFonts w:ascii="Times New Roman" w:cs="Times New Roman" w:eastAsia="Times New Roman" w:hAnsi="Times New Roman"/>
          <w:sz w:val="22"/>
          <w:szCs w:val="22"/>
          <w:color w:val="auto"/>
        </w:rPr>
      </w:pPr>
    </w:p>
    <w:p>
      <w:pPr>
        <w:jc w:val="both"/>
        <w:ind w:left="1880" w:right="580" w:hanging="328"/>
        <w:spacing w:after="0" w:line="248" w:lineRule="auto"/>
        <w:tabs>
          <w:tab w:leader="none" w:pos="187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investment funds, trusts, retirement plans, partnerships, corporations and other types of entities over which you have the ability to influence or direct investment decisions concerning securities; provided, however, that this provision shall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14"/>
          <w:szCs w:val="14"/>
          <w:color w:val="auto"/>
        </w:rPr>
        <w:t>ACTIVE/201261045.4</w:t>
      </w:r>
    </w:p>
    <w:p>
      <w:pPr>
        <w:sectPr>
          <w:pgSz w:w="11900" w:h="16838" w:orient="portrait"/>
          <w:cols w:equalWidth="0" w:num="1">
            <w:col w:w="11200"/>
          </w:cols>
          <w:pgMar w:left="360" w:top="11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20" w:hanging="640"/>
        <w:spacing w:after="0"/>
        <w:tabs>
          <w:tab w:leader="none" w:pos="12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Prior Approval of All Trades.</w:t>
      </w:r>
    </w:p>
    <w:p>
      <w:pPr>
        <w:spacing w:after="0" w:line="250" w:lineRule="exact"/>
        <w:rPr>
          <w:rFonts w:ascii="Times New Roman" w:cs="Times New Roman" w:eastAsia="Times New Roman" w:hAnsi="Times New Roman"/>
          <w:sz w:val="22"/>
          <w:szCs w:val="22"/>
          <w:b w:val="1"/>
          <w:bCs w:val="1"/>
          <w:color w:val="auto"/>
        </w:rPr>
      </w:pPr>
    </w:p>
    <w:p>
      <w:pPr>
        <w:jc w:val="both"/>
        <w:ind w:left="1220" w:right="580"/>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Directors and executive officers of the Company may not buy or sell securities of the Company without prior consultation with and receipt of written approval by both the Company’s Chief Executive Officer and the Compliance Officer. The Chief Executive Officer must consult with and receive the written approval of the Chairman of the Board and the Compliance Officer before buying or selling Company securities. All other employees of the Company and any officers (at the level of Vice President and above) of its subsidiaries must consult with and obtain written approval from the Company’s Compliance Officer prior to buying or selling securities of the Company. This prior consultation and approval requirement provides a means of enforcing the policies specified above and also applies to any person affiliated with such Covered Person (which generally includes family members and business entities in which such director, officer or employee is a director, officer or significant stockholder). Written approval shall be obtained using the form substantially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Advanced approval of a Rule 10b5-1 Plan made in accordance with the terms of this Policy Statement shall constitute the approval of all trades made pursuant to such Rule 10b5-1 Plan.</w:t>
      </w:r>
    </w:p>
    <w:p>
      <w:pPr>
        <w:spacing w:after="0" w:line="229" w:lineRule="exact"/>
        <w:rPr>
          <w:rFonts w:ascii="Times New Roman" w:cs="Times New Roman" w:eastAsia="Times New Roman" w:hAnsi="Times New Roman"/>
          <w:sz w:val="22"/>
          <w:szCs w:val="22"/>
          <w:b w:val="1"/>
          <w:bCs w:val="1"/>
          <w:color w:val="auto"/>
        </w:rPr>
      </w:pPr>
    </w:p>
    <w:p>
      <w:pPr>
        <w:ind w:left="1220" w:hanging="643"/>
        <w:spacing w:after="0"/>
        <w:tabs>
          <w:tab w:leader="none" w:pos="12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 Windows.</w:t>
      </w:r>
    </w:p>
    <w:p>
      <w:pPr>
        <w:spacing w:after="0" w:line="223" w:lineRule="exact"/>
        <w:rPr>
          <w:rFonts w:ascii="Times New Roman" w:cs="Times New Roman" w:eastAsia="Times New Roman" w:hAnsi="Times New Roman"/>
          <w:sz w:val="22"/>
          <w:szCs w:val="22"/>
          <w:b w:val="1"/>
          <w:bCs w:val="1"/>
          <w:color w:val="auto"/>
        </w:rPr>
      </w:pPr>
    </w:p>
    <w:p>
      <w:pPr>
        <w:jc w:val="both"/>
        <w:ind w:left="1220" w:right="60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Covered Persons will be subject to regular earnings “black-out” periods during which they will not be permitted to trade in the Company’s securities. The timing and duration of the black-out periods will depend on a person’s position with the Company or its subsidiaries, as follows:</w:t>
      </w:r>
    </w:p>
    <w:p>
      <w:pPr>
        <w:spacing w:after="0" w:line="190" w:lineRule="exact"/>
        <w:rPr>
          <w:rFonts w:ascii="Times New Roman" w:cs="Times New Roman" w:eastAsia="Times New Roman" w:hAnsi="Times New Roman"/>
          <w:sz w:val="22"/>
          <w:szCs w:val="22"/>
          <w:b w:val="1"/>
          <w:bCs w:val="1"/>
          <w:color w:val="auto"/>
        </w:rPr>
      </w:pPr>
    </w:p>
    <w:p>
      <w:pPr>
        <w:ind w:left="12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1"/>
          <w:szCs w:val="21"/>
          <w:b w:val="1"/>
          <w:bCs w:val="1"/>
          <w:color w:val="auto"/>
        </w:rPr>
        <w:t>Directors and Senior Managers.</w:t>
      </w:r>
    </w:p>
    <w:p>
      <w:pPr>
        <w:spacing w:after="0" w:line="264" w:lineRule="exact"/>
        <w:rPr>
          <w:sz w:val="20"/>
          <w:szCs w:val="20"/>
          <w:color w:val="auto"/>
        </w:rPr>
      </w:pPr>
    </w:p>
    <w:p>
      <w:pPr>
        <w:jc w:val="both"/>
        <w:ind w:left="1220" w:right="580"/>
        <w:spacing w:after="0" w:line="248" w:lineRule="auto"/>
        <w:rPr>
          <w:sz w:val="20"/>
          <w:szCs w:val="20"/>
          <w:color w:val="auto"/>
        </w:rPr>
      </w:pPr>
      <w:r>
        <w:rPr>
          <w:rFonts w:ascii="Times New Roman" w:cs="Times New Roman" w:eastAsia="Times New Roman" w:hAnsi="Times New Roman"/>
          <w:sz w:val="22"/>
          <w:szCs w:val="22"/>
          <w:color w:val="auto"/>
        </w:rPr>
        <w:t>For directors and senior managers (as defined below), the regular “black-out” period will begin on the first day of the last month of each quarterly and annual reporting period (i.e. March 1, June 1, September 1 and December 1) and last until the first business day following the public release of the Company’s earnings information for that quarterly or annual period. In other words, directors and senior managers may only trade, (i) pursuant to a validly created and approved Rule 10b5-1 Plan, or (ii) subject to Section 2, above, during the period commencing on the second business day following the release of the Company’s annual or quarterly earnings and continuing through the last day of the second month of the fiscal quarter in which such results are released, so long as they are not otherwise in possession of material nonpublic information regarding the Company or its subsidiaries. For purposes of this Policy Statement, the term “senior managers” shall mean executive officers and all other employees at or above the director level at the Company and all employees at or above the level of Vice President and above at any of the Company’s subsidiaries.</w:t>
      </w:r>
    </w:p>
    <w:p>
      <w:pPr>
        <w:spacing w:after="0" w:line="221" w:lineRule="exact"/>
        <w:rPr>
          <w:sz w:val="20"/>
          <w:szCs w:val="20"/>
          <w:color w:val="auto"/>
        </w:rPr>
      </w:pPr>
    </w:p>
    <w:p>
      <w:pPr>
        <w:ind w:left="1880" w:hanging="652"/>
        <w:spacing w:after="0"/>
        <w:tabs>
          <w:tab w:leader="none" w:pos="18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14"/>
          <w:szCs w:val="14"/>
          <w:color w:val="auto"/>
        </w:rPr>
        <w:t>ACTIVE/201261045.4</w:t>
      </w:r>
    </w:p>
    <w:p>
      <w:pPr>
        <w:sectPr>
          <w:pgSz w:w="11900" w:h="16838" w:orient="portrait"/>
          <w:cols w:equalWidth="0" w:num="1">
            <w:col w:w="11200"/>
          </w:cols>
          <w:pgMar w:left="360" w:top="11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220" w:right="580"/>
        <w:spacing w:after="0" w:line="248" w:lineRule="auto"/>
        <w:rPr>
          <w:sz w:val="20"/>
          <w:szCs w:val="20"/>
          <w:color w:val="auto"/>
        </w:rPr>
      </w:pPr>
      <w:r>
        <w:rPr>
          <w:rFonts w:ascii="Times New Roman" w:cs="Times New Roman" w:eastAsia="Times New Roman" w:hAnsi="Times New Roman"/>
          <w:sz w:val="21"/>
          <w:szCs w:val="21"/>
          <w:color w:val="auto"/>
        </w:rPr>
        <w:t>For all other employees of the Company, the regular “black-out” period will begin on the fifteenth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of the last month of each quarterly and annual reporting period (i.e. March 15, June 15, September 15 and December 15) and last until the first business day following the public release of the Company’s earnings information for that quarterly or annual period. In other words, such other employees may only trade, (i) pursuant to a validly created and approved Rule 10b5-1 Plan, or (ii) subject to Section 2, above, during the period commencing on the second business day following the release of the Company’s annual or quarterly earnings and continuing through the fourteenth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of the third month of the fiscal quarter in which such results are released, so long as they are not otherwise in possession of material nonpublic information regarding the Company. Employees below the level of Vice President at any of the Company’s subsidiaries are generally not subject to trading “black-out” periods, although they must still comply with Section 1, above, Sections 4, and 6, below, and the “Trading Prohibitions” set forth at the end of this policy.</w:t>
      </w:r>
    </w:p>
    <w:p>
      <w:pPr>
        <w:spacing w:after="0" w:line="210" w:lineRule="exact"/>
        <w:rPr>
          <w:sz w:val="20"/>
          <w:szCs w:val="20"/>
          <w:color w:val="auto"/>
        </w:rPr>
      </w:pPr>
    </w:p>
    <w:p>
      <w:pPr>
        <w:jc w:val="both"/>
        <w:ind w:left="1220" w:right="600"/>
        <w:spacing w:after="0" w:line="251" w:lineRule="auto"/>
        <w:rPr>
          <w:sz w:val="20"/>
          <w:szCs w:val="20"/>
          <w:color w:val="auto"/>
        </w:rPr>
      </w:pPr>
      <w:r>
        <w:rPr>
          <w:rFonts w:ascii="Times New Roman" w:cs="Times New Roman" w:eastAsia="Times New Roman" w:hAnsi="Times New Roman"/>
          <w:sz w:val="22"/>
          <w:szCs w:val="22"/>
          <w:color w:val="auto"/>
        </w:rPr>
        <w:t>Because directors, senior managers and employees are at times especially likely to receive regular nonpublic information regarding the Company or its subsidiaries and their respective financial performance, prohibiting trading during these regularly scheduled black-out periods will help prevent trading based on material information that is not available to the public. Notice of the beginning and end of regularly scheduled black-out periods will be provided to directors, senior managers and employees by the Compliance Officer.</w:t>
      </w:r>
    </w:p>
    <w:p>
      <w:pPr>
        <w:spacing w:after="0" w:line="204" w:lineRule="exact"/>
        <w:rPr>
          <w:sz w:val="20"/>
          <w:szCs w:val="20"/>
          <w:color w:val="auto"/>
        </w:rPr>
      </w:pPr>
    </w:p>
    <w:p>
      <w:pPr>
        <w:ind w:left="1860" w:hanging="633"/>
        <w:spacing w:after="0"/>
        <w:tabs>
          <w:tab w:leader="none" w:pos="18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for Stock Option Exercises.</w:t>
      </w:r>
    </w:p>
    <w:p>
      <w:pPr>
        <w:spacing w:after="0" w:line="264" w:lineRule="exact"/>
        <w:rPr>
          <w:sz w:val="20"/>
          <w:szCs w:val="20"/>
          <w:color w:val="auto"/>
        </w:rPr>
      </w:pPr>
    </w:p>
    <w:p>
      <w:pPr>
        <w:jc w:val="both"/>
        <w:ind w:left="1220" w:right="600"/>
        <w:spacing w:after="0" w:line="251" w:lineRule="auto"/>
        <w:rPr>
          <w:sz w:val="20"/>
          <w:szCs w:val="20"/>
          <w:color w:val="auto"/>
        </w:rPr>
      </w:pPr>
      <w:r>
        <w:rPr>
          <w:rFonts w:ascii="Times New Roman" w:cs="Times New Roman" w:eastAsia="Times New Roman" w:hAnsi="Times New Roman"/>
          <w:sz w:val="22"/>
          <w:szCs w:val="22"/>
          <w:color w:val="auto"/>
        </w:rPr>
        <w:t>Generally, during a regular "black-out" period, Covered Persons may exercise a stock option (unless the stock option exercised has a reload feature). However, during a regular "black-out" period, Covered Persons may not sell the underlying common shares received upon a stock option exercise or execute a cashless exercise of a stock option through a broker, which entails selling at least a portion of the underlying common shares to cover the costs of exercise. All stock option exercises shall be subject to the prior approval requirement set forth in Section 2, above.</w:t>
      </w:r>
    </w:p>
    <w:p>
      <w:pPr>
        <w:spacing w:after="0" w:line="218" w:lineRule="exact"/>
        <w:rPr>
          <w:sz w:val="20"/>
          <w:szCs w:val="20"/>
          <w:color w:val="auto"/>
        </w:rPr>
      </w:pPr>
    </w:p>
    <w:p>
      <w:pPr>
        <w:ind w:left="1220" w:hanging="641"/>
        <w:spacing w:after="0"/>
        <w:tabs>
          <w:tab w:leader="none" w:pos="122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Black-Out Periods.</w:t>
      </w:r>
    </w:p>
    <w:p>
      <w:pPr>
        <w:spacing w:after="0" w:line="231" w:lineRule="exact"/>
        <w:rPr>
          <w:rFonts w:ascii="Times New Roman" w:cs="Times New Roman" w:eastAsia="Times New Roman" w:hAnsi="Times New Roman"/>
          <w:sz w:val="22"/>
          <w:szCs w:val="22"/>
          <w:b w:val="1"/>
          <w:bCs w:val="1"/>
          <w:color w:val="auto"/>
        </w:rPr>
      </w:pPr>
    </w:p>
    <w:p>
      <w:pPr>
        <w:jc w:val="both"/>
        <w:ind w:left="1220" w:right="6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 xml:space="preserve">The Company’s Chief Executive Officer and/or Compliance Officer may impose additional, unscheduled “black-out” periods during which Covered Persons or other specified employees (and affiliated persons of each such Covered Person and employee) will not be permitted to buy or sell the Company’s securities. </w:t>
      </w:r>
      <w:r>
        <w:rPr>
          <w:rFonts w:ascii="Times New Roman" w:cs="Times New Roman" w:eastAsia="Times New Roman" w:hAnsi="Times New Roman"/>
          <w:sz w:val="22"/>
          <w:szCs w:val="22"/>
          <w:color w:val="auto"/>
        </w:rPr>
        <w:t>From time to time, the Company’s Chief Executive Officer and/or Compliance Officer may determine that material nonpublic information is available within the Company or its subsidiaries and may elect to impose a black-out on trading which has not been pre-scheduled. An unscheduled black-out may apply to some or all of the Company’s directors, officers and employees or employees of its subsidiaries. During such periods, the affected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-7-</w:t>
      </w:r>
      <w:r>
        <w:rPr>
          <w:sz w:val="20"/>
          <w:szCs w:val="20"/>
          <w:color w:val="auto"/>
        </w:rPr>
        <w:tab/>
      </w:r>
      <w:r>
        <w:rPr>
          <w:rFonts w:ascii="Times New Roman" w:cs="Times New Roman" w:eastAsia="Times New Roman" w:hAnsi="Times New Roman"/>
          <w:sz w:val="14"/>
          <w:szCs w:val="14"/>
          <w:color w:val="auto"/>
        </w:rPr>
        <w:t>ACTIVE/201261045.4</w:t>
      </w:r>
    </w:p>
    <w:p>
      <w:pPr>
        <w:sectPr>
          <w:pgSz w:w="11900" w:h="16838" w:orient="portrait"/>
          <w:cols w:equalWidth="0" w:num="1">
            <w:col w:w="11200"/>
          </w:cols>
          <w:pgMar w:left="360" w:top="11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20" w:right="600"/>
        <w:spacing w:after="0" w:line="271" w:lineRule="auto"/>
        <w:rPr>
          <w:sz w:val="20"/>
          <w:szCs w:val="20"/>
          <w:color w:val="auto"/>
        </w:rPr>
      </w:pPr>
      <w:r>
        <w:rPr>
          <w:rFonts w:ascii="Times New Roman" w:cs="Times New Roman" w:eastAsia="Times New Roman" w:hAnsi="Times New Roman"/>
          <w:sz w:val="22"/>
          <w:szCs w:val="22"/>
          <w:color w:val="auto"/>
        </w:rPr>
        <w:t>officers and employees will not be permitted to trade in the Company’s securities. Notice of such unscheduled black-out periods shall be provided by the Compliance Officer.</w:t>
      </w:r>
    </w:p>
    <w:p>
      <w:pPr>
        <w:spacing w:after="0" w:line="181" w:lineRule="exact"/>
        <w:rPr>
          <w:sz w:val="20"/>
          <w:szCs w:val="20"/>
          <w:color w:val="auto"/>
        </w:rPr>
      </w:pPr>
    </w:p>
    <w:p>
      <w:pPr>
        <w:ind w:left="1220" w:hanging="640"/>
        <w:spacing w:after="0"/>
        <w:tabs>
          <w:tab w:leader="none" w:pos="12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Pre-Planned Trading Programs.</w:t>
      </w:r>
    </w:p>
    <w:p>
      <w:pPr>
        <w:spacing w:after="0" w:line="258" w:lineRule="exact"/>
        <w:rPr>
          <w:rFonts w:ascii="Times New Roman" w:cs="Times New Roman" w:eastAsia="Times New Roman" w:hAnsi="Times New Roman"/>
          <w:sz w:val="22"/>
          <w:szCs w:val="22"/>
          <w:b w:val="1"/>
          <w:bCs w:val="1"/>
          <w:color w:val="auto"/>
        </w:rPr>
      </w:pPr>
    </w:p>
    <w:p>
      <w:pPr>
        <w:jc w:val="both"/>
        <w:ind w:left="1220" w:right="580"/>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Directors, executive officers and employees of the Company and officers of its subsidiaries may be permitted to establish sales plans pursuant to Rule 10b5-1 under the Securities Exchange Act of 1934, as amended, and buy or sell the Company’s securities under such plans, if such plans are adopted at a time the person adopting the plan is not in possession of material nonpublic information and approved in writing in advance by the Company’s Chief Executive Officer and Compliance Officer.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Where the Chief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Executive Officer desires to enter into a Rule 10b5-1 plan, such person will need to obtain the prior written approval of the Chairman of the Board and the Compliance Officer. Rule 10b5-1 permits an individual who is not in possession of material inside information to enter into a plan to buy or to sell a predetermined amount of the Company’s securities at a predetermined price over a certain period of time even though that individual may subsequently come into possession of material nonpublic information. Both the act of entering into a Rule 10b5-1 plan and the terms of such plan must be approved in writing in advance using the form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Any modification or termination of a Rule 10b5-1 Plan previously approved by the Compliance Officer requires a new approval by the Compliance Officer. The Compliance Officer may require as a condition to such approval that the modification or termination occur during an open trading window, that the person seeking to modify or terminate such 105b-1 Plan not be aware of material nonpublic information and that additional conditions, such as a cooling off period, must be satisfied.</w:t>
      </w:r>
    </w:p>
    <w:p>
      <w:pPr>
        <w:spacing w:after="0" w:line="219" w:lineRule="exact"/>
        <w:rPr>
          <w:rFonts w:ascii="Times New Roman" w:cs="Times New Roman" w:eastAsia="Times New Roman" w:hAnsi="Times New Roman"/>
          <w:sz w:val="22"/>
          <w:szCs w:val="22"/>
          <w:b w:val="1"/>
          <w:bCs w:val="1"/>
          <w:color w:val="auto"/>
        </w:rPr>
      </w:pPr>
    </w:p>
    <w:p>
      <w:pPr>
        <w:ind w:left="1220" w:hanging="640"/>
        <w:spacing w:after="0"/>
        <w:tabs>
          <w:tab w:leader="none" w:pos="12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Communication of Material, Nonpublic Information.</w:t>
      </w:r>
    </w:p>
    <w:p>
      <w:pPr>
        <w:spacing w:after="0" w:line="244" w:lineRule="exact"/>
        <w:rPr>
          <w:rFonts w:ascii="Times New Roman" w:cs="Times New Roman" w:eastAsia="Times New Roman" w:hAnsi="Times New Roman"/>
          <w:sz w:val="22"/>
          <w:szCs w:val="22"/>
          <w:b w:val="1"/>
          <w:bCs w:val="1"/>
          <w:color w:val="auto"/>
        </w:rPr>
      </w:pPr>
    </w:p>
    <w:p>
      <w:pPr>
        <w:jc w:val="both"/>
        <w:ind w:left="1220" w:right="580"/>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Directors and employees of the Company and employees of the Company’s subsidiaries may not communicate material nonpublic information to other persons prior to its public disclosure and dissemination.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and persons at the Company or its subsidiaries who come into possession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material nonpublic information must not communicate that information to other persons prior to its public disclosure and dissemination. There is, therefore, a need to exercise care when speaking with other Company or its subsidiaries personnel who do not have a “need to know” and when communicating with family, friends and other persons not associated with the Company or its subsidiaries. To avoid even the appearance of impropriety, it is wise to refrain from discussing the Company’s or its subsidiaries business or prospects or making recommendations about buying or selling the securities of the Company or other entities with which the Company or any of its subsidiaries has a relationship. This concept of unlawful tipping includes passing on such information to friends, family members or acquaintances under circumstances that suggest that you were trying to help them make a profit or avoid a loss. In addition, directors, executive officers and employees should not discuss the Company, its subsidiaries or their respective businesses or prospects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14"/>
          <w:szCs w:val="14"/>
          <w:color w:val="auto"/>
        </w:rPr>
        <w:t>ACTIVE/201261045.4</w:t>
      </w:r>
    </w:p>
    <w:p>
      <w:pPr>
        <w:sectPr>
          <w:pgSz w:w="11900" w:h="16838" w:orient="portrait"/>
          <w:cols w:equalWidth="0" w:num="1">
            <w:col w:w="11200"/>
          </w:cols>
          <w:pgMar w:left="360" w:top="118"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Company’s securities in any Internet chat room or other public forum, such as Facebook, Twitter, etc.</w:t>
      </w:r>
    </w:p>
    <w:p>
      <w:pPr>
        <w:spacing w:after="0" w:line="256" w:lineRule="exact"/>
        <w:rPr>
          <w:sz w:val="20"/>
          <w:szCs w:val="20"/>
          <w:color w:val="auto"/>
        </w:rPr>
      </w:pPr>
    </w:p>
    <w:p>
      <w:pPr>
        <w:ind w:left="1260" w:hanging="641"/>
        <w:spacing w:after="0"/>
        <w:tabs>
          <w:tab w:leader="none" w:pos="12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Purchases and Sales.</w:t>
      </w:r>
    </w:p>
    <w:p>
      <w:pPr>
        <w:spacing w:after="0" w:line="245"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Directors and executive officers of the Company must report purchases and sales of securities to the Company’s Compliance Officer.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All directors, executive officers and the Principal Accounting Officer (which may include officers of the Company’s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subsidiaries) must notify the Company’s Compliance Officer, in advance and no later than one (1) business day after the transaction, of all transactions in the Company’s securities made by themselves, any family members living in the same household and entities in which they have a 5% or more ownership interest. The notification should be reported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or other form acceptable to the Compliance Officer. This is necessary to permit the Company to file a Form 4 with the SEC to report the transaction publicly. Failure to timely report your transaction will result in a violation of SEC regulations and require the Company to publicly disclose the violation in its next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tabs>
          <w:tab w:leader="none" w:pos="460" w:val="left"/>
        </w:tabs>
        <w:rPr>
          <w:sz w:val="20"/>
          <w:szCs w:val="20"/>
          <w:color w:val="auto"/>
        </w:rPr>
      </w:pPr>
      <w:r>
        <w:rPr>
          <w:rFonts w:ascii="Times New Roman" w:cs="Times New Roman" w:eastAsia="Times New Roman" w:hAnsi="Times New Roman"/>
          <w:sz w:val="22"/>
          <w:szCs w:val="22"/>
          <w:color w:val="auto"/>
        </w:rPr>
        <w:t>-9-</w:t>
      </w:r>
      <w:r>
        <w:rPr>
          <w:sz w:val="20"/>
          <w:szCs w:val="20"/>
          <w:color w:val="auto"/>
        </w:rPr>
        <w:tab/>
      </w:r>
      <w:r>
        <w:rPr>
          <w:rFonts w:ascii="Times New Roman" w:cs="Times New Roman" w:eastAsia="Times New Roman" w:hAnsi="Times New Roman"/>
          <w:sz w:val="14"/>
          <w:szCs w:val="14"/>
          <w:color w:val="auto"/>
        </w:rPr>
        <w:t>ACTIVE/201261045.4</w:t>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20" w:hanging="604"/>
        <w:spacing w:after="0"/>
        <w:tabs>
          <w:tab w:leader="none" w:pos="12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Former, Temporary or Retired Directors, Executive Officers and Employees.</w:t>
      </w:r>
    </w:p>
    <w:p>
      <w:pPr>
        <w:spacing w:after="0" w:line="264" w:lineRule="exact"/>
        <w:rPr>
          <w:rFonts w:ascii="Times New Roman" w:cs="Times New Roman" w:eastAsia="Times New Roman" w:hAnsi="Times New Roman"/>
          <w:sz w:val="22"/>
          <w:szCs w:val="22"/>
          <w:b w:val="1"/>
          <w:bCs w:val="1"/>
          <w:color w:val="auto"/>
        </w:rPr>
      </w:pPr>
    </w:p>
    <w:p>
      <w:pPr>
        <w:jc w:val="both"/>
        <w:ind w:left="1220" w:right="580"/>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Company’s Policy Statement and the legal prohibition on insider trading in any security while in possession of material nonpublic information obtained while in the employment of or conducting any business or activity on behalf of the Company or its subsidiaries applies to all former, temporary or retired directors, executive officers or employees of the Company and its subsidiaries. Any person in possession of material nonpublic information when their employment with or service to the Company terminates may not trade in the Company’s stock until that information has become public or is no longer material. To assist Directors and employees in complying with this obligation, it is recommended that such individuals, and particularly directors and executive officers of the Company, refrain from trading in the Company’s stock for at least thirty (30) days after the termination of their employment or service to the Company.</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TRADING PROHIBITIONS</w:t>
      </w:r>
    </w:p>
    <w:p>
      <w:pPr>
        <w:spacing w:after="0" w:line="332" w:lineRule="exact"/>
        <w:rPr>
          <w:sz w:val="20"/>
          <w:szCs w:val="20"/>
          <w:color w:val="auto"/>
        </w:rPr>
      </w:pPr>
    </w:p>
    <w:p>
      <w:pPr>
        <w:jc w:val="both"/>
        <w:ind w:left="580" w:right="580" w:firstLine="648"/>
        <w:spacing w:after="0" w:line="250" w:lineRule="auto"/>
        <w:rPr>
          <w:sz w:val="20"/>
          <w:szCs w:val="20"/>
          <w:color w:val="auto"/>
        </w:rPr>
      </w:pPr>
      <w:r>
        <w:rPr>
          <w:rFonts w:ascii="Times New Roman" w:cs="Times New Roman" w:eastAsia="Times New Roman" w:hAnsi="Times New Roman"/>
          <w:sz w:val="22"/>
          <w:szCs w:val="22"/>
          <w:color w:val="auto"/>
        </w:rPr>
        <w:t>The Company believes that it is improper and inappropriate for any personnel of the Company or its subsidiaries personnel to engage in short-term or speculative transactions involving Company securities. The Company believes that this type of trading can reflect badly on the Company and that Company personnel should not engage in any types of transactions that are commonly viewed as a form of “betting” for or against the Company. In addition, the Company believes that it is improper for personnel of the Company and its subsidiaries personnel to pledge any Company securities as collateral for any type of borrowing. Accordingly, it is the Company’s policy that directors, officers and employees must not engage in any of the following activities with respect to securities of the Company:</w:t>
      </w:r>
    </w:p>
    <w:p>
      <w:pPr>
        <w:spacing w:after="0" w:line="362" w:lineRule="exact"/>
        <w:rPr>
          <w:sz w:val="20"/>
          <w:szCs w:val="20"/>
          <w:color w:val="auto"/>
        </w:rPr>
      </w:pPr>
    </w:p>
    <w:p>
      <w:pPr>
        <w:jc w:val="both"/>
        <w:ind w:left="1260" w:right="600" w:hanging="644"/>
        <w:spacing w:after="0" w:line="257" w:lineRule="auto"/>
        <w:tabs>
          <w:tab w:leader="none" w:pos="12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the Company stock (i.e. where a person borrows the Company’s stock, sells it, and then buys the Company’s stock at a later date to replace the borrowed shares or where a person already has sufficient shares of the Company’s stock to sell, but does not deliver them until a later date).</w:t>
      </w:r>
    </w:p>
    <w:p>
      <w:pPr>
        <w:spacing w:after="0" w:line="199" w:lineRule="exact"/>
        <w:rPr>
          <w:rFonts w:ascii="Times New Roman" w:cs="Times New Roman" w:eastAsia="Times New Roman" w:hAnsi="Times New Roman"/>
          <w:sz w:val="22"/>
          <w:szCs w:val="22"/>
          <w:color w:val="auto"/>
        </w:rPr>
      </w:pPr>
    </w:p>
    <w:p>
      <w:pPr>
        <w:jc w:val="both"/>
        <w:ind w:left="1260" w:right="600" w:hanging="644"/>
        <w:spacing w:after="0" w:line="256" w:lineRule="auto"/>
        <w:tabs>
          <w:tab w:leader="none" w:pos="12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Buying or selling puts or calls of the Company’s shares. A put is an option or right to sell a specific stock at a specific price prior to a set date, and a call is an option or right to buy a specific stock at a specific price prior to a set date. Call options are purchased when a person believes that the price of a stock will rise, whereas put options are purchased when a person believes that the price of a stock will fall.</w:t>
      </w:r>
    </w:p>
    <w:p>
      <w:pPr>
        <w:spacing w:after="0" w:line="203"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Buying shares of the Company’s stock on margin.</w:t>
      </w:r>
    </w:p>
    <w:p>
      <w:pPr>
        <w:spacing w:after="0" w:line="246" w:lineRule="exact"/>
        <w:rPr>
          <w:rFonts w:ascii="Times New Roman" w:cs="Times New Roman" w:eastAsia="Times New Roman" w:hAnsi="Times New Roman"/>
          <w:sz w:val="22"/>
          <w:szCs w:val="22"/>
          <w:color w:val="auto"/>
        </w:rPr>
      </w:pPr>
    </w:p>
    <w:p>
      <w:pPr>
        <w:jc w:val="both"/>
        <w:ind w:left="1260" w:right="580" w:hanging="644"/>
        <w:spacing w:after="0" w:line="272" w:lineRule="auto"/>
        <w:tabs>
          <w:tab w:leader="none" w:pos="12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Buying or using any financial instrument, including, without limitation, any prepaid variable forward contracts, equity swaps, collars and exchange funds that are designed to hedge or offset any decrease in the price or market value of shares of Company stock. This applies to all shares of Company stock held, whether held directly or indirectly, including shares granted by the Company to the holder as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-10- </w:t>
      </w:r>
      <w:r>
        <w:rPr>
          <w:rFonts w:ascii="Times New Roman" w:cs="Times New Roman" w:eastAsia="Times New Roman" w:hAnsi="Times New Roman"/>
          <w:sz w:val="14"/>
          <w:szCs w:val="14"/>
          <w:color w:val="auto"/>
        </w:rPr>
        <w:t>ACTIVE/201261045.4</w:t>
      </w:r>
    </w:p>
    <w:p>
      <w:pPr>
        <w:sectPr>
          <w:pgSz w:w="11900" w:h="16838" w:orient="portrait"/>
          <w:cols w:equalWidth="0" w:num="1">
            <w:col w:w="11200"/>
          </w:cols>
          <w:pgMar w:left="360" w:top="11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Pledging the Company’s stock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14"/>
          <w:szCs w:val="14"/>
          <w:color w:val="auto"/>
        </w:rPr>
        <w:t>ACTIVE/201261045.4</w:t>
      </w:r>
    </w:p>
    <w:p>
      <w:pPr>
        <w:sectPr>
          <w:pgSz w:w="11900" w:h="16838" w:orient="portrait"/>
          <w:cols w:equalWidth="0" w:num="1">
            <w:col w:w="11240"/>
          </w:cols>
          <w:pgMar w:left="320" w:top="11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OraSure Technologies,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Approval of Securities Transactions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spacing w:after="0"/>
        <w:tabs>
          <w:tab w:leader="none" w:pos="110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[Chairman of the Board; Chief Executive Officer; Compliance Officer] From:</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Subject: </w:t>
      </w:r>
      <w:r>
        <w:rPr>
          <w:rFonts w:ascii="Times New Roman" w:cs="Times New Roman" w:eastAsia="Times New Roman" w:hAnsi="Times New Roman"/>
          <w:sz w:val="22"/>
          <w:szCs w:val="22"/>
          <w:u w:val="single" w:color="auto"/>
          <w:color w:val="auto"/>
        </w:rPr>
        <w:t>Proposed Securities Transaction</w:t>
      </w: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 propose to enter into the following transaction involving securities of OraSure Technologies, Inc.:</w:t>
      </w:r>
    </w:p>
    <w:p>
      <w:pPr>
        <w:spacing w:after="0" w:line="205" w:lineRule="auto"/>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05" w:lineRule="auto"/>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05" w:lineRule="auto"/>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05" w:lineRule="auto"/>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right="1000"/>
        <w:spacing w:after="0" w:line="271" w:lineRule="auto"/>
        <w:rPr>
          <w:sz w:val="20"/>
          <w:szCs w:val="20"/>
          <w:color w:val="auto"/>
        </w:rPr>
      </w:pPr>
      <w:r>
        <w:rPr>
          <w:rFonts w:ascii="Times New Roman" w:cs="Times New Roman" w:eastAsia="Times New Roman" w:hAnsi="Times New Roman"/>
          <w:sz w:val="22"/>
          <w:szCs w:val="22"/>
          <w:color w:val="auto"/>
        </w:rPr>
        <w:t>I have discussed this proposed transaction with the Company’s Compliance Officer and do not possess material inside information that would preclude me from entering into this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(Signed)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_________________________________________(Print Name)</w:t>
      </w:r>
    </w:p>
    <w:p>
      <w:pPr>
        <w:spacing w:after="0" w:line="200" w:lineRule="exact"/>
        <w:rPr>
          <w:sz w:val="20"/>
          <w:szCs w:val="20"/>
          <w:color w:val="auto"/>
        </w:rPr>
      </w:pPr>
    </w:p>
    <w:p>
      <w:pPr>
        <w:spacing w:after="0" w:line="3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u w:val="single" w:color="auto"/>
          <w:color w:val="auto"/>
        </w:rPr>
        <w:t>Approved: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Chairman of the Board/Chief Executive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__________________________________________________C</w:t>
      </w:r>
      <w:r>
        <w:rPr>
          <w:rFonts w:ascii="Times New Roman" w:cs="Times New Roman" w:eastAsia="Times New Roman" w:hAnsi="Times New Roman"/>
          <w:sz w:val="21"/>
          <w:szCs w:val="21"/>
          <w:color w:val="auto"/>
        </w:rPr>
        <w:t>ompliance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343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434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14"/>
          <w:szCs w:val="14"/>
          <w:color w:val="auto"/>
        </w:rPr>
        <w:t>ACTIVE/201261045.4</w:t>
      </w:r>
    </w:p>
    <w:p>
      <w:pPr>
        <w:sectPr>
          <w:pgSz w:w="11900" w:h="16838" w:orient="portrait"/>
          <w:cols w:equalWidth="0" w:num="1">
            <w:col w:w="11240"/>
          </w:cols>
          <w:pgMar w:left="320" w:top="11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ORASURE TECHNOLOGIES, INC.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CONFIDENTIAL MEMORANDUM</w:t>
      </w:r>
    </w:p>
    <w:p>
      <w:pPr>
        <w:spacing w:after="0" w:line="232" w:lineRule="exact"/>
        <w:rPr>
          <w:sz w:val="20"/>
          <w:szCs w:val="20"/>
          <w:color w:val="auto"/>
        </w:rPr>
      </w:pPr>
    </w:p>
    <w:p>
      <w:pPr>
        <w:ind w:left="100"/>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To:</w:t>
      </w:r>
      <w:r>
        <w:rPr>
          <w:sz w:val="20"/>
          <w:szCs w:val="20"/>
          <w:color w:val="auto"/>
        </w:rPr>
        <w:tab/>
      </w:r>
      <w:r>
        <w:rPr>
          <w:rFonts w:ascii="Times New Roman" w:cs="Times New Roman" w:eastAsia="Times New Roman" w:hAnsi="Times New Roman"/>
          <w:sz w:val="21"/>
          <w:szCs w:val="21"/>
          <w:color w:val="auto"/>
        </w:rPr>
        <w:t>Compliance Officer</w:t>
      </w:r>
    </w:p>
    <w:p>
      <w:pPr>
        <w:spacing w:after="0" w:line="2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From:</w:t>
      </w:r>
    </w:p>
    <w:p>
      <w:pPr>
        <w:spacing w:after="0" w:line="2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260"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Subject:</w:t>
      </w:r>
      <w:r>
        <w:rPr>
          <w:sz w:val="20"/>
          <w:szCs w:val="20"/>
          <w:color w:val="auto"/>
        </w:rPr>
        <w:tab/>
      </w:r>
      <w:r>
        <w:rPr>
          <w:rFonts w:ascii="Times New Roman" w:cs="Times New Roman" w:eastAsia="Times New Roman" w:hAnsi="Times New Roman"/>
          <w:sz w:val="21"/>
          <w:szCs w:val="21"/>
          <w:color w:val="auto"/>
        </w:rPr>
        <w:t>Transaction Report</w:t>
      </w:r>
    </w:p>
    <w:p>
      <w:pPr>
        <w:spacing w:after="0" w:line="308"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follows: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As of</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0" w:type="dxa"/>
            <w:vAlign w:val="bottom"/>
            <w:gridSpan w:val="20"/>
          </w:tcPr>
          <w:p>
            <w:pPr>
              <w:spacing w:after="0"/>
              <w:rPr>
                <w:sz w:val="20"/>
                <w:szCs w:val="20"/>
                <w:color w:val="auto"/>
              </w:rPr>
            </w:pPr>
            <w:r>
              <w:rPr>
                <w:rFonts w:ascii="Times New Roman" w:cs="Times New Roman" w:eastAsia="Times New Roman" w:hAnsi="Times New Roman"/>
                <w:sz w:val="22"/>
                <w:szCs w:val="22"/>
                <w:color w:val="auto"/>
                <w:w w:val="97"/>
              </w:rPr>
              <w:t>, 20 , my OraSure Technologies, Inc. security holdings were changed as</w:t>
            </w:r>
          </w:p>
        </w:tc>
        <w:tc>
          <w:tcPr>
            <w:tcW w:w="0" w:type="dxa"/>
            <w:vAlign w:val="bottom"/>
          </w:tcPr>
          <w:p>
            <w:pPr>
              <w:spacing w:after="0"/>
              <w:rPr>
                <w:sz w:val="1"/>
                <w:szCs w:val="1"/>
                <w:color w:val="auto"/>
              </w:rPr>
            </w:pPr>
          </w:p>
        </w:tc>
      </w:tr>
      <w:tr>
        <w:trPr>
          <w:trHeight w:val="289"/>
        </w:trPr>
        <w:tc>
          <w:tcPr>
            <w:tcW w:w="10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2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Number of Common Shares</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auto"/>
              </w:rPr>
              <w:t>Number of Stock Options</w:t>
            </w:r>
          </w:p>
        </w:tc>
        <w:tc>
          <w:tcPr>
            <w:tcW w:w="38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Number of Restricted Shares</w:t>
            </w:r>
          </w:p>
        </w:tc>
        <w:tc>
          <w:tcPr>
            <w:tcW w:w="0" w:type="dxa"/>
            <w:vAlign w:val="bottom"/>
          </w:tcPr>
          <w:p>
            <w:pPr>
              <w:spacing w:after="0"/>
              <w:rPr>
                <w:sz w:val="1"/>
                <w:szCs w:val="1"/>
                <w:color w:val="auto"/>
              </w:rPr>
            </w:pPr>
          </w:p>
        </w:tc>
      </w:tr>
      <w:tr>
        <w:trPr>
          <w:trHeight w:val="196"/>
        </w:trPr>
        <w:tc>
          <w:tcPr>
            <w:tcW w:w="14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180" w:type="dxa"/>
            <w:vAlign w:val="bottom"/>
            <w:tcBorders>
              <w:bottom w:val="single" w:sz="8" w:color="auto"/>
            </w:tcBorders>
          </w:tcPr>
          <w:p>
            <w:pPr>
              <w:spacing w:after="0"/>
              <w:rPr>
                <w:sz w:val="17"/>
                <w:szCs w:val="17"/>
                <w:color w:val="auto"/>
              </w:rPr>
            </w:pPr>
          </w:p>
        </w:tc>
        <w:tc>
          <w:tcPr>
            <w:tcW w:w="180" w:type="dxa"/>
            <w:vAlign w:val="bottom"/>
            <w:gridSpan w:val="3"/>
          </w:tcPr>
          <w:p>
            <w:pPr>
              <w:spacing w:after="0"/>
              <w:rPr>
                <w:sz w:val="17"/>
                <w:szCs w:val="17"/>
                <w:color w:val="auto"/>
              </w:rPr>
            </w:pPr>
          </w:p>
        </w:tc>
        <w:tc>
          <w:tcPr>
            <w:tcW w:w="14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18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Date of Transaction</w:t>
            </w:r>
          </w:p>
        </w:tc>
        <w:tc>
          <w:tcPr>
            <w:tcW w:w="18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sold</w:t>
            </w:r>
          </w:p>
        </w:tc>
        <w:tc>
          <w:tcPr>
            <w:tcW w:w="8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gridSpan w:val="6"/>
          </w:tcPr>
          <w:p>
            <w:pPr>
              <w:ind w:left="40"/>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sold</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sold</w:t>
            </w: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transferred</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exercised</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7"/>
              </w:rPr>
              <w:t>other</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transferred</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-925195</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50" w:lineRule="exact"/>
        <w:rPr>
          <w:sz w:val="20"/>
          <w:szCs w:val="20"/>
          <w:color w:val="auto"/>
        </w:rPr>
      </w:pPr>
    </w:p>
    <w:p>
      <w:pPr>
        <w:ind w:left="100" w:right="160" w:firstLine="1296"/>
        <w:spacing w:after="0" w:line="252" w:lineRule="auto"/>
        <w:rPr>
          <w:sz w:val="20"/>
          <w:szCs w:val="20"/>
          <w:color w:val="auto"/>
        </w:rPr>
      </w:pPr>
      <w:r>
        <w:rPr>
          <w:rFonts w:ascii="Times New Roman" w:cs="Times New Roman" w:eastAsia="Times New Roman" w:hAnsi="Times New Roman"/>
          <w:sz w:val="22"/>
          <w:szCs w:val="22"/>
          <w:color w:val="auto"/>
        </w:rPr>
        <w:t>If acquisition or transfer was effected indirectly (e.g., by or for your spouse or other family member, through an individual or entity who has agreed with you to acquire or transfer the securities on your behalf, etc., or by or for an entity of which you are a partner, member or 5% or greater stockholder), in addition to the above information, please identify the person through whom the transaction was effected and your relationship with such person:</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 of Individual</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-29210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Relationship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-13970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_____________________________________________(Signed)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w:t>
      </w:r>
    </w:p>
    <w:p>
      <w:pPr>
        <w:spacing w:after="0" w:line="2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(Print Name)</w:t>
      </w:r>
    </w:p>
    <w:p>
      <w:pPr>
        <w:spacing w:after="0" w:line="236" w:lineRule="exact"/>
        <w:rPr>
          <w:sz w:val="20"/>
          <w:szCs w:val="20"/>
          <w:color w:val="auto"/>
        </w:rPr>
      </w:pPr>
    </w:p>
    <w:p>
      <w:pPr>
        <w:ind w:left="100" w:right="240"/>
        <w:spacing w:after="0" w:line="252" w:lineRule="auto"/>
        <w:rPr>
          <w:sz w:val="20"/>
          <w:szCs w:val="20"/>
          <w:color w:val="auto"/>
        </w:rPr>
      </w:pPr>
      <w:r>
        <w:rPr>
          <w:rFonts w:ascii="Times New Roman" w:cs="Times New Roman" w:eastAsia="Times New Roman" w:hAnsi="Times New Roman"/>
          <w:sz w:val="22"/>
          <w:szCs w:val="22"/>
          <w:b w:val="1"/>
          <w:bCs w:val="1"/>
          <w:color w:val="auto"/>
        </w:rPr>
        <w:t>(THIS REPORT IS DUE IN ADVANCE OF, BUT NO LATER THAN, ONE BUSINESS DAY AFTER THE DATE OF EACH TRANSACTION IN WHICH A CHANGE IN BENEFICIAL SHARE OWNERSHIP OCCURS, EITHER DIRECTLY OR INDIRECTLY. IF APPLICABLE, A FORM 4 WILL BE PREPARED FOR YOUR SIGNATURE AND FILING WITH THE SECURITIES AND EXCHANGE COMMISSION BY THE END OF THE SECOND BUSINESS DAY FOLLOWING THE DAY IN WHICH A TRANSACTION RESULTING IN A CHANGE IN SHARE HOLDINGS WAS EXECUTED.)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14"/>
          <w:szCs w:val="14"/>
          <w:color w:val="auto"/>
        </w:rPr>
        <w:t>ACTIVE/201261045.4</w:t>
      </w:r>
    </w:p>
    <w:p>
      <w:pPr>
        <w:sectPr>
          <w:pgSz w:w="11900" w:h="16838" w:orient="portrait"/>
          <w:cols w:equalWidth="0" w:num="1">
            <w:col w:w="11240"/>
          </w:cols>
          <w:pgMar w:left="320" w:top="118" w:right="3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c>
          <w:tcPr>
            <w:tcW w:w="0" w:type="dxa"/>
            <w:vAlign w:val="bottom"/>
          </w:tcPr>
          <w:p>
            <w:pPr>
              <w:spacing w:after="0"/>
              <w:rPr>
                <w:sz w:val="1"/>
                <w:szCs w:val="1"/>
                <w:color w:val="auto"/>
              </w:rPr>
            </w:pPr>
          </w:p>
        </w:tc>
      </w:tr>
      <w:tr>
        <w:trPr>
          <w:trHeight w:val="412"/>
        </w:trPr>
        <w:tc>
          <w:tcPr>
            <w:tcW w:w="3260" w:type="dxa"/>
            <w:vAlign w:val="bottom"/>
          </w:tcPr>
          <w:p>
            <w:pPr>
              <w:spacing w:after="0"/>
              <w:rPr>
                <w:sz w:val="24"/>
                <w:szCs w:val="24"/>
                <w:color w:val="auto"/>
              </w:rPr>
            </w:pPr>
          </w:p>
        </w:tc>
        <w:tc>
          <w:tcPr>
            <w:tcW w:w="7980" w:type="dxa"/>
            <w:vAlign w:val="bottom"/>
            <w:gridSpan w:val="6"/>
          </w:tcPr>
          <w:p>
            <w:pPr>
              <w:ind w:left="12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347"/>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2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385"/>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DNA Genotek Inc.</w:t>
            </w:r>
          </w:p>
        </w:tc>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Sherlock Biosciences, Inc</w:t>
            </w:r>
          </w:p>
        </w:tc>
        <w:tc>
          <w:tcPr>
            <w:tcW w:w="1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Sense Biodetection Limited</w:t>
            </w:r>
          </w:p>
        </w:tc>
        <w:tc>
          <w:tcPr>
            <w:tcW w:w="1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4"/>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BioMedomics, Inc.</w:t>
            </w:r>
          </w:p>
        </w:tc>
        <w:tc>
          <w:tcPr>
            <w:tcW w:w="1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135" w:name="page136"/>
    <w:bookmarkEnd w:id="135"/>
    <w:p>
      <w:pPr>
        <w:ind w:left="9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333-287446) on Form S-3 and registration statements (Nos. 333-287450, 333-281500, 333-273731, 333-270863, 333-270861, 333-248424, 333-220148, 333-198237, 333-176315, 333-151077, 333-138814, 333-118385, 333-102235, 333-50340, 333-48662) on Form S-8 of our report dated March 11, 2024, except for note 12, as to which the date is March 7, 2025, with respect to the consolidated financial statements of OraSure Technologies,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rPr>
          <w:sz w:val="20"/>
          <w:szCs w:val="20"/>
          <w:color w:val="auto"/>
        </w:rPr>
      </w:pPr>
      <w:r>
        <w:rPr>
          <w:rFonts w:ascii="Times New Roman" w:cs="Times New Roman" w:eastAsia="Times New Roman" w:hAnsi="Times New Roman"/>
          <w:sz w:val="18"/>
          <w:szCs w:val="18"/>
          <w:color w:val="auto"/>
        </w:rPr>
        <w:t>March 9, 2026</w:t>
      </w:r>
    </w:p>
    <w:p>
      <w:pPr>
        <w:sectPr>
          <w:pgSz w:w="11900" w:h="16838" w:orient="portrait"/>
          <w:cols w:equalWidth="0" w:num="1">
            <w:col w:w="11240"/>
          </w:cols>
          <w:pgMar w:left="320" w:top="1400" w:right="339" w:bottom="1440" w:gutter="0" w:footer="0" w:header="0"/>
        </w:sectPr>
      </w:pPr>
    </w:p>
    <w:bookmarkStart w:id="136" w:name="page137"/>
    <w:bookmarkEnd w:id="136"/>
    <w:p>
      <w:pPr>
        <w:ind w:left="740" w:hanging="252"/>
        <w:spacing w:after="0"/>
        <w:tabs>
          <w:tab w:leader="none" w:pos="740" w:val="left"/>
        </w:tabs>
        <w:numPr>
          <w:ilvl w:val="0"/>
          <w:numId w:val="68"/>
        </w:numPr>
        <w:rPr>
          <w:rFonts w:ascii="Arial" w:cs="Arial" w:eastAsia="Arial" w:hAnsi="Arial"/>
          <w:sz w:val="14"/>
          <w:szCs w:val="14"/>
          <w:b w:val="1"/>
          <w:bCs w:val="1"/>
          <w:color w:val="E8E8E8"/>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have issued our reports dated March 9, 2026, with respect to the consolidated financial statements and internal control over financial reporting included in the Annual Report of OraSure Technologies, Inc. on Form 10-K for the year ended December 31, 2025. We consent to the incorporation by reference of said reports in the Registration Statements of OraSure Technologies, Inc. on Forms S-3 (File No. 333-287446) and on Forms S-8 (File No. 333-287450, File No. 333-281500, File No. 333-273731, File No. 333-270863, File No. 333-270861, File No. 333-248424, File No. 333-220148, File No. 333-198237, File No. 333-176315, File No. 333-151077, File No. 333-138814, File No. 333-118385, File No. 333-102235, File No. 333-50340, and File No. 333-48662).</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Pennsylvania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2026</w:t>
      </w:r>
    </w:p>
    <w:p>
      <w:pPr>
        <w:sectPr>
          <w:pgSz w:w="11900" w:h="16838" w:orient="portrait"/>
          <w:cols w:equalWidth="0" w:num="1">
            <w:col w:w="11240"/>
          </w:cols>
          <w:pgMar w:left="320" w:top="117" w:right="339" w:bottom="1440" w:gutter="0" w:footer="0" w:header="0"/>
        </w:sectPr>
      </w:pPr>
    </w:p>
    <w:bookmarkStart w:id="137" w:name="page138"/>
    <w:bookmarkEnd w:id="137"/>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2025,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20, 2026.</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Steven K. Boyd</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Steven K. Boyd</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2025,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20, 2026.</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John P. Kenny</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John P. Kenny</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2025,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her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i w:val="1"/>
          <w:iCs w:val="1"/>
          <w:u w:val="single" w:color="auto"/>
          <w:color w:val="auto"/>
        </w:rPr>
        <w:t>/s/ Nancy J. Gagliano, M.D.</w:t>
      </w:r>
    </w:p>
    <w:p>
      <w:pPr>
        <w:ind w:left="314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u w:val="single" w:color="auto"/>
          <w:color w:val="auto"/>
        </w:rPr>
        <w:t>Nancy J. Gagliano, M.D.</w:t>
      </w:r>
    </w:p>
    <w:p>
      <w:pPr>
        <w:ind w:left="314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2025,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20, 2026.</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Lelio Marmora</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Lelio Marmora</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2025,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20, 2026.</w:t>
      </w:r>
    </w:p>
    <w:p>
      <w:pPr>
        <w:spacing w:after="0" w:line="3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u w:val="single" w:color="auto"/>
          <w:color w:val="auto"/>
        </w:rPr>
        <w:t>/s/ Robert W. McMahon</w:t>
      </w:r>
    </w:p>
    <w:p>
      <w:pPr>
        <w:ind w:left="332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u w:val="single" w:color="auto"/>
          <w:color w:val="auto"/>
        </w:rPr>
        <w:t>Robert W. McMahon</w:t>
      </w:r>
    </w:p>
    <w:p>
      <w:pPr>
        <w:ind w:left="332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 Manner., certify that:</w:t>
      </w:r>
    </w:p>
    <w:p>
      <w:pPr>
        <w:spacing w:after="0" w:line="22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OraSure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35560</wp:posOffset>
            </wp:positionV>
            <wp:extent cx="23228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J. McGrath, certify that:</w:t>
      </w:r>
    </w:p>
    <w:p>
      <w:pPr>
        <w:spacing w:after="0" w:line="225"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OraSure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6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35560</wp:posOffset>
            </wp:positionV>
            <wp:extent cx="17659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5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3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OraSure Technologies, Inc. (the “Company”) on Form 10-K for the year ended December 31, 2025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9, 2026</w:t>
      </w:r>
    </w:p>
    <w:p>
      <w:pPr>
        <w:sectPr>
          <w:pgSz w:w="11900" w:h="16838" w:orient="portrait"/>
          <w:cols w:equalWidth="0" w:num="1">
            <w:col w:w="11240"/>
          </w:cols>
          <w:pgMar w:left="320" w:top="114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OraSure Technologies, Inc. (the “Company”) on Form 10-K for the year ended December 31, 2025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9, 2026</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x"/>
      <w:numFmt w:val="bullet"/>
      <w:start w:val="1"/>
    </w:lvl>
  </w:abstractNum>
  <w:abstractNum w:abstractNumId="1">
    <w:nsid w:val="77465F01"/>
    <w:multiLevelType w:val="hybridMultilevel"/>
    <w:lvl w:ilvl="0">
      <w:lvlJc w:val="left"/>
      <w:lvlText w:val="o"/>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Letter"/>
      <w:start w:val="2"/>
    </w:lvl>
  </w:abstractNum>
  <w:abstractNum w:abstractNumId="34">
    <w:nsid w:val="520EEDD1"/>
    <w:multiLevelType w:val="hybridMultilevel"/>
    <w:lvl w:ilvl="0">
      <w:lvlJc w:val="left"/>
      <w:lvlText w:val="(%1)"/>
      <w:numFmt w:val="lowerLetter"/>
      <w:start w:val="3"/>
    </w:lvl>
  </w:abstractNum>
  <w:abstractNum w:abstractNumId="35">
    <w:nsid w:val="374A3FE6"/>
    <w:multiLevelType w:val="hybridMultilevel"/>
    <w:lvl w:ilvl="0">
      <w:lvlJc w:val="left"/>
      <w:lvlText w:val="(%1)"/>
      <w:numFmt w:val="lowerLetter"/>
      <w:start w:val="4"/>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decimal"/>
      <w:start w:val="104"/>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decimal"/>
      <w:start w:val="8"/>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3"/>
    </w:lvl>
  </w:abstractNum>
  <w:abstractNum w:abstractNumId="51">
    <w:nsid w:val="61574095"/>
    <w:multiLevelType w:val="hybridMultilevel"/>
    <w:lvl w:ilvl="0">
      <w:lvlJc w:val="left"/>
      <w:lvlText w:val="%1."/>
      <w:numFmt w:val="decimal"/>
      <w:start w:val="14"/>
    </w:lvl>
  </w:abstractNum>
  <w:abstractNum w:abstractNumId="52">
    <w:nsid w:val="7E0C57B1"/>
    <w:multiLevelType w:val="hybridMultilevel"/>
    <w:lvl w:ilvl="0">
      <w:lvlJc w:val="left"/>
      <w:lvlText w:val="%1."/>
      <w:numFmt w:val="decimal"/>
      <w:start w:val="16"/>
    </w:lvl>
  </w:abstractNum>
  <w:abstractNum w:abstractNumId="53">
    <w:nsid w:val="77AE35EB"/>
    <w:multiLevelType w:val="hybridMultilevel"/>
    <w:lvl w:ilvl="0">
      <w:lvlJc w:val="left"/>
      <w:lvlText w:val="%1."/>
      <w:numFmt w:val="upperLetter"/>
      <w:start w:val="1"/>
    </w:lvl>
  </w:abstractNum>
  <w:abstractNum w:abstractNumId="54">
    <w:nsid w:val="579BE4F1"/>
    <w:multiLevelType w:val="hybridMultilevel"/>
    <w:lvl w:ilvl="0">
      <w:lvlJc w:val="left"/>
      <w:lvlText w:val="%1."/>
      <w:numFmt w:val="upperLetter"/>
      <w:start w:val="2"/>
    </w:lvl>
  </w:abstractNum>
  <w:abstractNum w:abstractNumId="55">
    <w:nsid w:val="310C50B3"/>
    <w:multiLevelType w:val="hybridMultilevel"/>
    <w:lvl w:ilvl="0">
      <w:lvlJc w:val="left"/>
      <w:lvlText w:val="%1."/>
      <w:numFmt w:val="upperLetter"/>
      <w:start w:val="3"/>
    </w:lvl>
  </w:abstractNum>
  <w:abstractNum w:abstractNumId="56">
    <w:nsid w:val="5FF87E05"/>
    <w:multiLevelType w:val="hybridMultilevel"/>
    <w:lvl w:ilvl="0">
      <w:lvlJc w:val="left"/>
      <w:lvlText w:val="%1."/>
      <w:numFmt w:val="upperLetter"/>
      <w:start w:val="4"/>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decimal"/>
      <w:start w:val="2"/>
    </w:lvl>
  </w:abstractNum>
  <w:abstractNum w:abstractNumId="60">
    <w:nsid w:val="4AD084E9"/>
    <w:multiLevelType w:val="hybridMultilevel"/>
    <w:lvl w:ilvl="0">
      <w:lvlJc w:val="left"/>
      <w:lvlText w:val="%1."/>
      <w:numFmt w:val="upperLetter"/>
      <w:start w:val="2"/>
    </w:lvl>
  </w:abstractNum>
  <w:abstractNum w:abstractNumId="61">
    <w:nsid w:val="1F48EAA1"/>
    <w:multiLevelType w:val="hybridMultilevel"/>
    <w:lvl w:ilvl="0">
      <w:lvlJc w:val="left"/>
      <w:lvlText w:val="%1."/>
      <w:numFmt w:val="upperLetter"/>
      <w:start w:val="3"/>
    </w:lvl>
  </w:abstractNum>
  <w:abstractNum w:abstractNumId="62">
    <w:nsid w:val="1381823A"/>
    <w:multiLevelType w:val="hybridMultilevel"/>
    <w:lvl w:ilvl="0">
      <w:lvlJc w:val="left"/>
      <w:lvlText w:val="%1."/>
      <w:numFmt w:val="decimal"/>
      <w:start w:val="4"/>
    </w:lvl>
  </w:abstractNum>
  <w:abstractNum w:abstractNumId="63">
    <w:nsid w:val="5DB70AE5"/>
    <w:multiLevelType w:val="hybridMultilevel"/>
    <w:lvl w:ilvl="0">
      <w:lvlJc w:val="left"/>
      <w:lvlText w:val="%1."/>
      <w:numFmt w:val="decimal"/>
      <w:start w:val="5"/>
    </w:lvl>
  </w:abstractNum>
  <w:abstractNum w:abstractNumId="64">
    <w:nsid w:val="100F8FCA"/>
    <w:multiLevelType w:val="hybridMultilevel"/>
    <w:lvl w:ilvl="0">
      <w:lvlJc w:val="left"/>
      <w:lvlText w:val="%1."/>
      <w:numFmt w:val="decimal"/>
      <w:start w:val="7"/>
    </w:lvl>
  </w:abstractNum>
  <w:abstractNum w:abstractNumId="65">
    <w:nsid w:val="6590700B"/>
    <w:multiLevelType w:val="hybridMultilevel"/>
    <w:lvl w:ilvl="0">
      <w:lvlJc w:val="left"/>
      <w:lvlText w:val="%1."/>
      <w:numFmt w:val="decimal"/>
      <w:start w:val="8"/>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E"/>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89" Type="http://schemas.openxmlformats.org/officeDocument/2006/relationships/hyperlink" Target="https://www.sec.gov/Archives/edgar/data/1116463/000111646325000010/projectwatson-mergeragreem.htm" TargetMode="External"/><Relationship Id="rId90" Type="http://schemas.openxmlformats.org/officeDocument/2006/relationships/hyperlink" Target="https://www.sec.gov/Archives/edgar/data/1116463/000095013100003901/0000950131-00-003901-0002.txt" TargetMode="External"/><Relationship Id="rId91" Type="http://schemas.openxmlformats.org/officeDocument/2006/relationships/hyperlink" Target="https://www.sec.gov/Archives/edgar/data/1116463/000095013100003901/0000950131-00-003901-0003.txt" TargetMode="External"/><Relationship Id="rId92" Type="http://schemas.openxmlformats.org/officeDocument/2006/relationships/hyperlink" Target="https://www.sec.gov/Archives/edgar/data/1116463/000162828024024025/ex31orasure-certificateofa.htm" TargetMode="External"/><Relationship Id="rId93" Type="http://schemas.openxmlformats.org/officeDocument/2006/relationships/hyperlink" Target="https://www.sec.gov/Archives/edgar/data/1116463/000162828025038379/exhibit32-osurxthirdamendm.htm" TargetMode="External"/><Relationship Id="rId94" Type="http://schemas.openxmlformats.org/officeDocument/2006/relationships/hyperlink" Target="https://www.sec.gov/Archives/edgar/data/1116463/000156459020008195/osur-ex41_228.htm" TargetMode="External"/><Relationship Id="rId95" Type="http://schemas.openxmlformats.org/officeDocument/2006/relationships/hyperlink" Target="https://www.sec.gov/Archives/edgar/data/1116463/000156459019005491/osur-ex1021_171.htm" TargetMode="External"/><Relationship Id="rId96" Type="http://schemas.openxmlformats.org/officeDocument/2006/relationships/hyperlink" Target="https://www.sec.gov/Archives/edgar/data/1116463/000095017022002556/osur-ex10_10.htm" TargetMode="External"/><Relationship Id="rId97" Type="http://schemas.openxmlformats.org/officeDocument/2006/relationships/hyperlink" Target="https://www.sec.gov/Archives/edgar/data/1116463/000095017023006037/osur-ex10_5.htm" TargetMode="External"/><Relationship Id="rId98" Type="http://schemas.openxmlformats.org/officeDocument/2006/relationships/hyperlink" Target="https://www.sec.gov/Archives/edgar/data/1116463/000119312522161124/d344918dex101.htm" TargetMode="External"/><Relationship Id="rId99" Type="http://schemas.openxmlformats.org/officeDocument/2006/relationships/hyperlink" Target="https://www.sec.gov/Archives/edgar/data/1116463/000095017022017127/osur-ex10_1.htm" TargetMode="External"/><Relationship Id="rId100" Type="http://schemas.openxmlformats.org/officeDocument/2006/relationships/hyperlink" Target="https://www.sec.gov/Archives/edgar/data/1116463/000095017022002556/osur-ex10_13.htm" TargetMode="External"/><Relationship Id="rId101" Type="http://schemas.openxmlformats.org/officeDocument/2006/relationships/hyperlink" Target="https://www.sec.gov/Archives/edgar/data/1116463/000156459019031997/osur-8k_20190811.htm" TargetMode="External"/><Relationship Id="rId102" Type="http://schemas.openxmlformats.org/officeDocument/2006/relationships/hyperlink" Target="https://www.sec.gov/Archives/edgar/data/1116463/000095010903001919/dex109.txt" TargetMode="External"/><Relationship Id="rId105" Type="http://schemas.openxmlformats.org/officeDocument/2006/relationships/hyperlink" Target="https://www.sec.gov/Archives/edgar/data/1116463/000089291701000014/0000892917-01-000014-0010.txt" TargetMode="External"/><Relationship Id="rId106" Type="http://schemas.openxmlformats.org/officeDocument/2006/relationships/hyperlink" Target="https://www.sec.gov/Archives/edgar/data/1116463/000156459020016101/osur-def14a_20200519.htm" TargetMode="External"/><Relationship Id="rId107" Type="http://schemas.openxmlformats.org/officeDocument/2006/relationships/hyperlink" Target="https://www.sec.gov/Archives/edgar/data/1116463/000095017023022540/osur-ex10_1.htm" TargetMode="External"/><Relationship Id="rId108" Type="http://schemas.openxmlformats.org/officeDocument/2006/relationships/hyperlink" Target="https://www.sec.gov/Archives/edgar/data/1116463/000162828024024025/ex101_amendedandrestatedst.htm" TargetMode="External"/><Relationship Id="rId109" Type="http://schemas.openxmlformats.org/officeDocument/2006/relationships/hyperlink" Target="https://www.sec.gov/Archives/edgar/data/1116463/000162828025025491/exhibit101_otistockaward.htm" TargetMode="External"/><Relationship Id="rId110" Type="http://schemas.openxmlformats.org/officeDocument/2006/relationships/hyperlink" Target="https://www.sec.gov/Archives/edgar/data/1116463/000119312516503534/d111696dex1024.htm" TargetMode="External"/><Relationship Id="rId111" Type="http://schemas.openxmlformats.org/officeDocument/2006/relationships/hyperlink" Target="https://www.sec.gov/Archives/edgar/data/1116463/000119312517082033/d354040dex1027.htm" TargetMode="External"/><Relationship Id="rId112" Type="http://schemas.openxmlformats.org/officeDocument/2006/relationships/hyperlink" Target="https://www.sec.gov/Archives/edgar/data/1116463/000095017022002556/osur-ex10_20.htm" TargetMode="External"/><Relationship Id="rId113" Type="http://schemas.openxmlformats.org/officeDocument/2006/relationships/hyperlink" Target="https://www.sec.gov/Archives/edgar/data/1116463/000119312512114853/d279006dex1024.htm" TargetMode="External"/><Relationship Id="rId114" Type="http://schemas.openxmlformats.org/officeDocument/2006/relationships/hyperlink" Target="https://www.sec.gov/Archives/edgar/data/1116463/000119312512114853/d279006dex1025.htm" TargetMode="External"/><Relationship Id="rId115" Type="http://schemas.openxmlformats.org/officeDocument/2006/relationships/hyperlink" Target="https://www.sec.gov/Archives/edgar/data/1116463/000119312512114853/d279006dex1026.htm" TargetMode="External"/><Relationship Id="rId116" Type="http://schemas.openxmlformats.org/officeDocument/2006/relationships/hyperlink" Target="https://www.sec.gov/Archives/edgar/data/1116463/000119312511348867/d272004dex991.htm" TargetMode="External"/><Relationship Id="rId117" Type="http://schemas.openxmlformats.org/officeDocument/2006/relationships/hyperlink" Target="https://www.sec.gov/Archives/edgar/data/1116463/000119312511348867/d272004dex992.htm" TargetMode="External"/><Relationship Id="rId118" Type="http://schemas.openxmlformats.org/officeDocument/2006/relationships/hyperlink" Target="https://www.sec.gov/Archives/edgar/data/1116463/000095017021003095/osur-ex10_2.htm" TargetMode="External"/><Relationship Id="rId119" Type="http://schemas.openxmlformats.org/officeDocument/2006/relationships/hyperlink" Target="https://www.sec.gov/Archives/edgar/data/1116463/000095017022002556/osur-ex10_30.htm" TargetMode="External"/><Relationship Id="rId122" Type="http://schemas.openxmlformats.org/officeDocument/2006/relationships/hyperlink" Target="https://www.sec.gov/Archives/edgar/data/1116463/000111646324000012/exhibit971_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2026-03-09T18:39:30Z</dcterms:created>
  <dcterms:modified xsi:type="dcterms:W3CDTF">2026-03-09T18:39:30Z</dcterms:modified>
</cp:coreProperties>
</file>