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_________</w:t>
      </w:r>
      <w:r>
        <w:rPr>
          <w:rFonts w:ascii="Times New Roman;sans-serif" w:hAnsi="Times New Roman;sans-serif"/>
          <w:b/>
          <w:color w:val="000000"/>
          <w:sz w:val="20"/>
        </w:rPr>
        <w:t xml:space="preserve">to </w:t>
      </w:r>
      <w:r>
        <w:rPr>
          <w:rFonts w:ascii="Times New Roman;sans-serif" w:hAnsi="Times New Roman;sans-serif"/>
          <w:b w:val="false"/>
          <w:color w:val="000000"/>
          <w:sz w:val="20"/>
        </w:rPr>
        <w:t xml:space="preserve">_________ </w:t>
      </w:r>
      <w:r>
        <w:rPr>
          <w:rFonts w:ascii="Times New Roman;sans-serif" w:hAnsi="Times New Roman;sans-serif"/>
          <w:b/>
          <w:color w:val="000000"/>
          <w:sz w:val="20"/>
        </w:rPr>
        <w: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001-16537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5039" w:type="dxa"/>
        <w:jc w:val="left"/>
        <w:tblInd w:w="0" w:type="dxa"/>
        <w:tblLayout w:type="fixed"/>
        <w:tblCellMar>
          <w:top w:w="28" w:type="dxa"/>
          <w:left w:w="28" w:type="dxa"/>
          <w:bottom w:w="28" w:type="dxa"/>
          <w:right w:w="28" w:type="dxa"/>
        </w:tblCellMar>
      </w:tblPr>
      <w:tblGrid>
        <w:gridCol w:w="879"/>
        <w:gridCol w:w="771"/>
        <w:gridCol w:w="779"/>
        <w:gridCol w:w="762"/>
        <w:gridCol w:w="762"/>
        <w:gridCol w:w="1086"/>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36-4370966</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949" w:type="dxa"/>
        <w:jc w:val="left"/>
        <w:tblInd w:w="0" w:type="dxa"/>
        <w:tblLayout w:type="fixed"/>
        <w:tblCellMar>
          <w:top w:w="28" w:type="dxa"/>
          <w:left w:w="28" w:type="dxa"/>
          <w:bottom w:w="28" w:type="dxa"/>
          <w:right w:w="28" w:type="dxa"/>
        </w:tblCellMar>
      </w:tblPr>
      <w:tblGrid>
        <w:gridCol w:w="1470"/>
        <w:gridCol w:w="1291"/>
        <w:gridCol w:w="1304"/>
        <w:gridCol w:w="259"/>
        <w:gridCol w:w="259"/>
        <w:gridCol w:w="36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 East First Street, Bethlehem, Pennsylvania</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18015</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(610) 882-1820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 xml:space="preserve">Indicate by checkmark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the registrant had 73,484,272 shares of common stock, $0.000001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guarantees of future performance or results. Known and unknown factors that could cause actual performance or results to be materially different from those expressed or implied in these statements include, but are not limited to: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market and sell products, whether through its internal, direct sales force or third parties;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fulfill its commitments under its contract with the U.S. government for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COVID-19 Rapid Tests;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Failure of distributors or other customers to meet purchase forecasts, historic purchase levels or minimum purchase requirements for the Company's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Significant customer concentrations that exist or may develop in the future;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manufacture products in accordance with applicable specifications, performance standards and quality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obtain, and timing and cost of obtaining, necessary regulatory approvals for new products or new indications or applications for existing products; ability to comply with applicable regulatory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effectively resolve warning letters, audit observations and other findings or comments from the U.S. Food and Drug Administration or other regulators;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the COVID-19 pandemic on the Company's business, supply chain and workforce;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the U.S. government ending the COVID-19 related Public Health Emergency;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Changes in relationships, including disputes or disagreements, with strategic partners or other parties and reliance on strategic partners for the performance of critical activities under collaborative arrangements;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meet increased demand for its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replacing distributors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Inventory levels at distributors and other customers;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achieve its financial and strategic objectives and continue to increase its revenues, including the ability to expand international sales;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competitors, competing products and technology changes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Reduction or deferral of public funding available to customers;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Competition from new or better technology or lower cost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develop, commercialize and market new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Market acceptance of oral fluid or urine testing, collection or other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Market acceptance and uptake of microbiome informatics, microbial genetics technology and related analytics services;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Changes in market acceptance of products based on product performance or other factors, including changes in testing guidelines, algorithms or other recommendations by the Centers for Disease Control and Prevention or other agencies; ability to fund research and development and other products and operations;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obtain and maintain new or existing product distribution channels;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Reliance on sole supply sources for critical products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related products produced by third parties or products required for use of the Company's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contracting with the U.S. government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negative economic conditions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maintain sustained profitability;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increase its gross margins;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ability to utilize net operating loss carry forwards or other deferred tax assets;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Volatility of the Company's stock price;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Uncertainty relating to patent protection and potential patent infringement claims;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Uncertainty and costs of litigation relating to patents and other intellectual property;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licenses to patents or other technology;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Ability to enter into international manufacturing agreements;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Obstacles to international marketing and manufacturing of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sell products internationally, including the impact of changes in international funding sources and testing algorithms;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Adverse movements in foreign currency exchange rates;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Loss or impairment of sources of capital;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attract and retain qualified personnel;</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exposure to product liability and other types of litigation;</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Changes in international, federal or state laws and regulations;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Customer consolidations and inventory practices;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Equipment failures and ability to obtain needed raw materials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Geopolitical tensions or the outbreak of hostilities or war, including from the Russia-Ukraine conflict and the evolving events in Israel and Gaza;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Cybersecurity breaches or other attacks involving our systems or those of our third-party IT service providers; and</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General political, business and economic conditions, including inflationary pressures and banking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affect the Company's results are discussed more fully under the section titled “Risk Factors,” set forth in Part II, Item 1A of this Quarterly Report on Form 10-Q, if any, in Part I, Item 1A of the Company's Annual Report on Form 10-K filed with the Securities and Exchange Commission (the “SEC”) on March 3, 2023, and in other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tbl>
      <w:tblPr>
        <w:tblW w:w="10205" w:type="dxa"/>
        <w:jc w:val="center"/>
        <w:tblInd w:w="0" w:type="dxa"/>
        <w:tblLayout w:type="fixed"/>
        <w:tblCellMar>
          <w:top w:w="28" w:type="dxa"/>
          <w:left w:w="28" w:type="dxa"/>
          <w:bottom w:w="28" w:type="dxa"/>
          <w:right w:w="28" w:type="dxa"/>
        </w:tblCellMar>
      </w:tblPr>
      <w:tblGrid>
        <w:gridCol w:w="3197"/>
        <w:gridCol w:w="2696"/>
        <w:gridCol w:w="2696"/>
        <w:gridCol w:w="470"/>
        <w:gridCol w:w="470"/>
        <w:gridCol w:w="676"/>
      </w:tblGrid>
      <w:tr>
        <w:trPr/>
        <w:tc>
          <w:tcPr>
            <w:tcW w:w="3197"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15f4e0e2e2df4b58946341f0fc470b04_10">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No.</w:t>
            </w:r>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3">
              <w:r>
                <w:rPr>
                  <w:rStyle w:val="InternetLink"/>
                  <w:rFonts w:ascii="Times New Roman;sans-serif" w:hAnsi="Times New Roman;sans-serif"/>
                  <w:b/>
                  <w:strike w:val="false"/>
                  <w:dstrike w:val="false"/>
                  <w:color w:val="000000"/>
                  <w:sz w:val="20"/>
                  <w:u w:val="none"/>
                  <w:effect w:val="none"/>
                </w:rPr>
                <w:t>Item 1. Financial Statements (Unaudited)</w:t>
              </w:r>
            </w:hyperlink>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6">
              <w:r>
                <w:rPr>
                  <w:rStyle w:val="InternetLink"/>
                  <w:rFonts w:ascii="Times New Roman;sans-serif" w:hAnsi="Times New Roman;sans-serif"/>
                  <w:b w:val="false"/>
                  <w:color w:val="000080"/>
                  <w:sz w:val="20"/>
                  <w:u w:val="single"/>
                </w:rPr>
                <w:t xml:space="preserve">Consolidated Balance Sheets at </w:t>
              </w:r>
            </w:hyperlink>
            <w:hyperlink w:anchor="i15f4e0e2e2df4b58946341f0fc470b04_16">
              <w:r>
                <w:rPr>
                  <w:rStyle w:val="InternetLink"/>
                  <w:rFonts w:ascii="Times New Roman;sans-serif" w:hAnsi="Times New Roman;sans-serif"/>
                  <w:b w:val="false"/>
                  <w:color w:val="000080"/>
                  <w:sz w:val="20"/>
                  <w:u w:val="single"/>
                </w:rPr>
                <w:t>S</w:t>
              </w:r>
            </w:hyperlink>
            <w:hyperlink w:anchor="i15f4e0e2e2df4b58946341f0fc470b04_16">
              <w:r>
                <w:rPr>
                  <w:rStyle w:val="InternetLink"/>
                  <w:rFonts w:ascii="Times New Roman;sans-serif" w:hAnsi="Times New Roman;sans-serif"/>
                  <w:b w:val="false"/>
                  <w:color w:val="000080"/>
                  <w:sz w:val="20"/>
                  <w:u w:val="single"/>
                </w:rPr>
                <w:t>eptember</w:t>
              </w:r>
            </w:hyperlink>
            <w:hyperlink w:anchor="i15f4e0e2e2df4b58946341f0fc470b04_16">
              <w:r>
                <w:rPr>
                  <w:rStyle w:val="InternetLink"/>
                  <w:rFonts w:ascii="Times New Roman;sans-serif" w:hAnsi="Times New Roman;sans-serif"/>
                  <w:b w:val="false"/>
                  <w:color w:val="000080"/>
                  <w:sz w:val="20"/>
                  <w:u w:val="single"/>
                </w:rPr>
                <w:t xml:space="preserve"> 30, 2023 and December 31, 2022</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6">
              <w:r>
                <w:rPr>
                  <w:rStyle w:val="InternetLink"/>
                  <w:rFonts w:ascii="Times New Roman;sans-serif" w:hAnsi="Times New Roman;sans-serif"/>
                  <w:b w:val="false"/>
                  <w:strike w:val="false"/>
                  <w:dstrike w:val="false"/>
                  <w:color w:val="000000"/>
                  <w:sz w:val="20"/>
                  <w:u w:val="none"/>
                  <w:effect w:val="none"/>
                </w:rPr>
                <w:t>4</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9">
              <w:r>
                <w:rPr>
                  <w:rStyle w:val="InternetLink"/>
                  <w:rFonts w:ascii="Times New Roman;sans-serif" w:hAnsi="Times New Roman;sans-serif"/>
                  <w:b w:val="false"/>
                  <w:color w:val="000080"/>
                  <w:sz w:val="20"/>
                  <w:u w:val="single"/>
                </w:rPr>
                <w:t>Consolidated Statements of Operations for the three and</w:t>
              </w:r>
            </w:hyperlink>
            <w:hyperlink w:anchor="i15f4e0e2e2df4b58946341f0fc470b04_19">
              <w:r>
                <w:rPr>
                  <w:rStyle w:val="InternetLink"/>
                  <w:rFonts w:ascii="Times New Roman;sans-serif" w:hAnsi="Times New Roman;sans-serif"/>
                  <w:b w:val="false"/>
                  <w:color w:val="000080"/>
                  <w:sz w:val="20"/>
                  <w:u w:val="single"/>
                </w:rPr>
                <w:t xml:space="preserve"> nine</w:t>
              </w:r>
            </w:hyperlink>
            <w:hyperlink w:anchor="i15f4e0e2e2df4b58946341f0fc470b04_19">
              <w:r>
                <w:rPr>
                  <w:rStyle w:val="InternetLink"/>
                  <w:rFonts w:ascii="Times New Roman;sans-serif" w:hAnsi="Times New Roman;sans-serif"/>
                  <w:b w:val="false"/>
                  <w:color w:val="000080"/>
                  <w:sz w:val="20"/>
                  <w:u w:val="single"/>
                </w:rPr>
                <w:t xml:space="preserve"> </w:t>
              </w:r>
            </w:hyperlink>
            <w:hyperlink w:anchor="i15f4e0e2e2df4b58946341f0fc470b04_19">
              <w:r>
                <w:rPr>
                  <w:rStyle w:val="InternetLink"/>
                  <w:rFonts w:ascii="Times New Roman;sans-serif" w:hAnsi="Times New Roman;sans-serif"/>
                  <w:b w:val="false"/>
                  <w:color w:val="000080"/>
                  <w:sz w:val="20"/>
                  <w:u w:val="single"/>
                </w:rPr>
                <w:t xml:space="preserve">months ended </w:t>
              </w:r>
            </w:hyperlink>
            <w:hyperlink w:anchor="i15f4e0e2e2df4b58946341f0fc470b04_19">
              <w:r>
                <w:rPr>
                  <w:rStyle w:val="InternetLink"/>
                  <w:rFonts w:ascii="Times New Roman;sans-serif" w:hAnsi="Times New Roman;sans-serif"/>
                  <w:b w:val="false"/>
                  <w:color w:val="000080"/>
                  <w:sz w:val="20"/>
                  <w:u w:val="single"/>
                </w:rPr>
                <w:t>September</w:t>
              </w:r>
            </w:hyperlink>
            <w:hyperlink w:anchor="i15f4e0e2e2df4b58946341f0fc470b04_19">
              <w:r>
                <w:rPr>
                  <w:rStyle w:val="InternetLink"/>
                  <w:rFonts w:ascii="Times New Roman;sans-serif" w:hAnsi="Times New Roman;sans-serif"/>
                  <w:b w:val="false"/>
                  <w:color w:val="000080"/>
                  <w:sz w:val="20"/>
                  <w:u w:val="single"/>
                </w:rPr>
                <w:t xml:space="preserve"> 30, 2023 and 2022 </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9">
              <w:r>
                <w:rPr>
                  <w:rStyle w:val="InternetLink"/>
                  <w:rFonts w:ascii="Times New Roman;sans-serif" w:hAnsi="Times New Roman;sans-serif"/>
                  <w:b w:val="false"/>
                  <w:strike w:val="false"/>
                  <w:dstrike w:val="false"/>
                  <w:color w:val="000000"/>
                  <w:sz w:val="20"/>
                  <w:u w:val="none"/>
                  <w:effect w:val="none"/>
                </w:rPr>
                <w:t>5</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f4e0e2e2df4b58946341f0fc470b04_22">
              <w:r>
                <w:rPr>
                  <w:rStyle w:val="InternetLink"/>
                  <w:rFonts w:ascii="Times New Roman;sans-serif" w:hAnsi="Times New Roman;sans-serif"/>
                  <w:b w:val="false"/>
                  <w:color w:val="000080"/>
                  <w:sz w:val="20"/>
                  <w:u w:val="single"/>
                </w:rPr>
                <w:t xml:space="preserve">Consolidated Statements of Comprehensive Income (Loss) for the three and </w:t>
              </w:r>
            </w:hyperlink>
            <w:hyperlink w:anchor="i15f4e0e2e2df4b58946341f0fc470b04_22">
              <w:r>
                <w:rPr>
                  <w:rStyle w:val="InternetLink"/>
                  <w:rFonts w:ascii="Times New Roman;sans-serif" w:hAnsi="Times New Roman;sans-serif"/>
                  <w:b w:val="false"/>
                  <w:color w:val="000080"/>
                  <w:sz w:val="20"/>
                  <w:u w:val="single"/>
                </w:rPr>
                <w:t>nine</w:t>
              </w:r>
            </w:hyperlink>
            <w:hyperlink w:anchor="i15f4e0e2e2df4b58946341f0fc470b04_22">
              <w:r>
                <w:rPr>
                  <w:rStyle w:val="InternetLink"/>
                  <w:rFonts w:ascii="Times New Roman;sans-serif" w:hAnsi="Times New Roman;sans-serif"/>
                  <w:b w:val="false"/>
                  <w:color w:val="000080"/>
                  <w:sz w:val="20"/>
                  <w:u w:val="single"/>
                </w:rPr>
                <w:t xml:space="preserve"> months ended </w:t>
              </w:r>
            </w:hyperlink>
            <w:hyperlink w:anchor="i15f4e0e2e2df4b58946341f0fc470b04_22">
              <w:r>
                <w:rPr>
                  <w:rStyle w:val="InternetLink"/>
                  <w:rFonts w:ascii="Times New Roman;sans-serif" w:hAnsi="Times New Roman;sans-serif"/>
                  <w:b w:val="false"/>
                  <w:color w:val="000080"/>
                  <w:sz w:val="20"/>
                  <w:u w:val="single"/>
                </w:rPr>
                <w:t>September</w:t>
              </w:r>
            </w:hyperlink>
            <w:hyperlink w:anchor="i15f4e0e2e2df4b58946341f0fc470b04_22">
              <w:r>
                <w:rPr>
                  <w:rStyle w:val="InternetLink"/>
                  <w:rFonts w:ascii="Times New Roman;sans-serif" w:hAnsi="Times New Roman;sans-serif"/>
                  <w:b w:val="false"/>
                  <w:color w:val="000080"/>
                  <w:sz w:val="20"/>
                  <w:u w:val="single"/>
                </w:rPr>
                <w:t xml:space="preserve"> 30, 2023 and 2022</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22">
              <w:r>
                <w:rPr>
                  <w:rStyle w:val="InternetLink"/>
                  <w:rFonts w:ascii="Times New Roman;sans-serif" w:hAnsi="Times New Roman;sans-serif"/>
                  <w:b w:val="false"/>
                  <w:strike w:val="false"/>
                  <w:dstrike w:val="false"/>
                  <w:color w:val="000000"/>
                  <w:sz w:val="20"/>
                  <w:u w:val="none"/>
                  <w:effect w:val="none"/>
                </w:rPr>
                <w:t>6</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25">
              <w:r>
                <w:rPr>
                  <w:rStyle w:val="InternetLink"/>
                  <w:rFonts w:ascii="Times New Roman;sans-serif" w:hAnsi="Times New Roman;sans-serif"/>
                  <w:b w:val="false"/>
                  <w:color w:val="000080"/>
                  <w:sz w:val="20"/>
                  <w:u w:val="single"/>
                </w:rPr>
                <w:t xml:space="preserve">Consolidated Statements of Cash Flows for the </w:t>
              </w:r>
            </w:hyperlink>
            <w:hyperlink w:anchor="i15f4e0e2e2df4b58946341f0fc470b04_25">
              <w:r>
                <w:rPr>
                  <w:rStyle w:val="InternetLink"/>
                  <w:rFonts w:ascii="Times New Roman;sans-serif" w:hAnsi="Times New Roman;sans-serif"/>
                  <w:b w:val="false"/>
                  <w:color w:val="000080"/>
                  <w:sz w:val="20"/>
                  <w:u w:val="single"/>
                </w:rPr>
                <w:t>nine</w:t>
              </w:r>
            </w:hyperlink>
            <w:hyperlink w:anchor="i15f4e0e2e2df4b58946341f0fc470b04_25">
              <w:r>
                <w:rPr>
                  <w:rStyle w:val="InternetLink"/>
                  <w:rFonts w:ascii="Times New Roman;sans-serif" w:hAnsi="Times New Roman;sans-serif"/>
                  <w:b w:val="false"/>
                  <w:color w:val="000080"/>
                  <w:sz w:val="20"/>
                  <w:u w:val="single"/>
                </w:rPr>
                <w:t xml:space="preserve"> </w:t>
              </w:r>
            </w:hyperlink>
            <w:hyperlink w:anchor="i15f4e0e2e2df4b58946341f0fc470b04_25">
              <w:r>
                <w:rPr>
                  <w:rStyle w:val="InternetLink"/>
                  <w:rFonts w:ascii="Times New Roman;sans-serif" w:hAnsi="Times New Roman;sans-serif"/>
                  <w:b w:val="false"/>
                  <w:color w:val="000080"/>
                  <w:sz w:val="20"/>
                  <w:u w:val="single"/>
                </w:rPr>
                <w:t xml:space="preserve">months ended </w:t>
              </w:r>
            </w:hyperlink>
            <w:hyperlink w:anchor="i15f4e0e2e2df4b58946341f0fc470b04_25">
              <w:r>
                <w:rPr>
                  <w:rStyle w:val="InternetLink"/>
                  <w:rFonts w:ascii="Times New Roman;sans-serif" w:hAnsi="Times New Roman;sans-serif"/>
                  <w:b w:val="false"/>
                  <w:color w:val="000080"/>
                  <w:sz w:val="20"/>
                  <w:u w:val="single"/>
                </w:rPr>
                <w:t>September</w:t>
              </w:r>
            </w:hyperlink>
            <w:hyperlink w:anchor="i15f4e0e2e2df4b58946341f0fc470b04_25">
              <w:r>
                <w:rPr>
                  <w:rStyle w:val="InternetLink"/>
                  <w:rFonts w:ascii="Times New Roman;sans-serif" w:hAnsi="Times New Roman;sans-serif"/>
                  <w:b w:val="false"/>
                  <w:color w:val="000080"/>
                  <w:sz w:val="20"/>
                  <w:u w:val="single"/>
                </w:rPr>
                <w:t xml:space="preserve"> 30, 2023 and 2022</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25">
              <w:r>
                <w:rPr>
                  <w:rStyle w:val="InternetLink"/>
                  <w:rFonts w:ascii="Times New Roman;sans-serif" w:hAnsi="Times New Roman;sans-serif"/>
                  <w:b w:val="false"/>
                  <w:strike w:val="false"/>
                  <w:dstrike w:val="false"/>
                  <w:color w:val="000000"/>
                  <w:sz w:val="20"/>
                  <w:u w:val="none"/>
                  <w:effect w:val="none"/>
                </w:rPr>
                <w:t>7</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28">
              <w:r>
                <w:rPr>
                  <w:rStyle w:val="InternetLink"/>
                  <w:rFonts w:ascii="Times New Roman;sans-serif" w:hAnsi="Times New Roman;sans-serif"/>
                  <w:b w:val="false"/>
                  <w:color w:val="0000FF"/>
                  <w:sz w:val="20"/>
                  <w:u w:val="single"/>
                </w:rPr>
                <w:t>Notes to the Consolidated Financial Statements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28">
              <w:r>
                <w:rPr>
                  <w:rStyle w:val="InternetLink"/>
                  <w:rFonts w:ascii="Times New Roman;sans-serif" w:hAnsi="Times New Roman;sans-serif"/>
                  <w:b w:val="false"/>
                  <w:strike w:val="false"/>
                  <w:dstrike w:val="false"/>
                  <w:color w:val="000000"/>
                  <w:sz w:val="20"/>
                  <w:u w:val="none"/>
                  <w:effect w:val="none"/>
                </w:rPr>
                <w:t>8</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70">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70">
              <w:r>
                <w:rPr>
                  <w:rStyle w:val="InternetLink"/>
                  <w:rFonts w:ascii="Times New Roman;sans-serif" w:hAnsi="Times New Roman;sans-serif"/>
                  <w:b w:val="false"/>
                  <w:strike w:val="false"/>
                  <w:dstrike w:val="false"/>
                  <w:color w:val="000000"/>
                  <w:sz w:val="20"/>
                  <w:u w:val="none"/>
                  <w:effect w:val="none"/>
                </w:rPr>
                <w:t>18</w:t>
              </w:r>
            </w:hyperlink>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91">
              <w:r>
                <w:rPr>
                  <w:rStyle w:val="InternetLink"/>
                  <w:rFonts w:ascii="Times New Roman;sans-serif" w:hAnsi="Times New Roman;sans-serif"/>
                  <w:b/>
                  <w:color w:val="0000FF"/>
                  <w:sz w:val="20"/>
                  <w:u w:val="single"/>
                </w:rPr>
                <w:t>Item 3. Quantitative and Qualitative Disclosures About Market Risk</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91">
              <w:r>
                <w:rPr>
                  <w:rStyle w:val="InternetLink"/>
                  <w:rFonts w:ascii="Times New Roman;sans-serif" w:hAnsi="Times New Roman;sans-serif"/>
                  <w:b w:val="false"/>
                  <w:strike w:val="false"/>
                  <w:dstrike w:val="false"/>
                  <w:color w:val="000000"/>
                  <w:sz w:val="20"/>
                  <w:u w:val="none"/>
                  <w:effect w:val="none"/>
                </w:rPr>
                <w:t>24</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94">
              <w:r>
                <w:rPr>
                  <w:rStyle w:val="InternetLink"/>
                  <w:rFonts w:ascii="Times New Roman;sans-serif" w:hAnsi="Times New Roman;sans-serif"/>
                  <w:b/>
                  <w:color w:val="0000FF"/>
                  <w:sz w:val="20"/>
                  <w:u w:val="single"/>
                </w:rPr>
                <w:t>Item 4. Controls and Procedures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94">
              <w:r>
                <w:rPr>
                  <w:rStyle w:val="InternetLink"/>
                  <w:rFonts w:ascii="Times New Roman;sans-serif" w:hAnsi="Times New Roman;sans-serif"/>
                  <w:b w:val="false"/>
                  <w:strike w:val="false"/>
                  <w:dstrike w:val="false"/>
                  <w:color w:val="000000"/>
                  <w:sz w:val="20"/>
                  <w:u w:val="none"/>
                  <w:effect w:val="none"/>
                </w:rPr>
                <w:t>24</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15f4e0e2e2df4b58946341f0fc470b04_97">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00">
              <w:r>
                <w:rPr>
                  <w:rStyle w:val="InternetLink"/>
                  <w:rFonts w:ascii="Times New Roman;sans-serif" w:hAnsi="Times New Roman;sans-serif"/>
                  <w:b/>
                  <w:color w:val="0000FF"/>
                  <w:sz w:val="20"/>
                  <w:u w:val="single"/>
                </w:rPr>
                <w:t>Item 1. Legal Proceedings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00">
              <w:r>
                <w:rPr>
                  <w:rStyle w:val="InternetLink"/>
                  <w:rFonts w:ascii="Times New Roman;sans-serif" w:hAnsi="Times New Roman;sans-serif"/>
                  <w:b w:val="false"/>
                  <w:strike w:val="false"/>
                  <w:dstrike w:val="false"/>
                  <w:color w:val="000000"/>
                  <w:sz w:val="20"/>
                  <w:u w:val="none"/>
                  <w:effect w:val="none"/>
                </w:rPr>
                <w:t>26</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03">
              <w:r>
                <w:rPr>
                  <w:rStyle w:val="InternetLink"/>
                  <w:rFonts w:ascii="Times New Roman;sans-serif" w:hAnsi="Times New Roman;sans-serif"/>
                  <w:b/>
                  <w:color w:val="0000FF"/>
                  <w:sz w:val="20"/>
                  <w:u w:val="single"/>
                </w:rPr>
                <w:t>Item 1A. Risk Factors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03">
              <w:r>
                <w:rPr>
                  <w:rStyle w:val="InternetLink"/>
                  <w:rFonts w:ascii="Times New Roman;sans-serif" w:hAnsi="Times New Roman;sans-serif"/>
                  <w:b w:val="false"/>
                  <w:strike w:val="false"/>
                  <w:dstrike w:val="false"/>
                  <w:color w:val="000000"/>
                  <w:sz w:val="20"/>
                  <w:u w:val="none"/>
                  <w:effect w:val="none"/>
                </w:rPr>
                <w:t>26</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06">
              <w:r>
                <w:rPr>
                  <w:rStyle w:val="InternetLink"/>
                  <w:rFonts w:ascii="Times New Roman;sans-serif" w:hAnsi="Times New Roman;sans-serif"/>
                  <w:b/>
                  <w:color w:val="0000FF"/>
                  <w:sz w:val="20"/>
                  <w:u w:val="single"/>
                </w:rPr>
                <w:t>Item 2. Unregistered Sales of Equity Securities and Use of Proceeds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06">
              <w:r>
                <w:rPr>
                  <w:rStyle w:val="InternetLink"/>
                  <w:rFonts w:ascii="Times New Roman;sans-serif" w:hAnsi="Times New Roman;sans-serif"/>
                  <w:b w:val="false"/>
                  <w:strike w:val="false"/>
                  <w:dstrike w:val="false"/>
                  <w:color w:val="000000"/>
                  <w:sz w:val="20"/>
                  <w:u w:val="none"/>
                  <w:effect w:val="none"/>
                </w:rPr>
                <w:t>28</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09">
              <w:r>
                <w:rPr>
                  <w:rStyle w:val="InternetLink"/>
                  <w:rFonts w:ascii="Times New Roman;sans-serif" w:hAnsi="Times New Roman;sans-serif"/>
                  <w:b/>
                  <w:color w:val="0000FF"/>
                  <w:sz w:val="20"/>
                  <w:u w:val="single"/>
                </w:rPr>
                <w:t>Item 3. Defaults Upon Senior Securities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09">
              <w:r>
                <w:rPr>
                  <w:rStyle w:val="InternetLink"/>
                  <w:rFonts w:ascii="Times New Roman;sans-serif" w:hAnsi="Times New Roman;sans-serif"/>
                  <w:b w:val="false"/>
                  <w:strike w:val="false"/>
                  <w:dstrike w:val="false"/>
                  <w:color w:val="000000"/>
                  <w:sz w:val="20"/>
                  <w:u w:val="none"/>
                  <w:effect w:val="none"/>
                </w:rPr>
                <w:t>28</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12">
              <w:r>
                <w:rPr>
                  <w:rStyle w:val="InternetLink"/>
                  <w:rFonts w:ascii="Times New Roman;sans-serif" w:hAnsi="Times New Roman;sans-serif"/>
                  <w:b/>
                  <w:color w:val="0000FF"/>
                  <w:sz w:val="20"/>
                  <w:u w:val="single"/>
                </w:rPr>
                <w:t>Item 4. Mine Safety Disclosures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12">
              <w:r>
                <w:rPr>
                  <w:rStyle w:val="InternetLink"/>
                  <w:rFonts w:ascii="Times New Roman;sans-serif" w:hAnsi="Times New Roman;sans-serif"/>
                  <w:b w:val="false"/>
                  <w:strike w:val="false"/>
                  <w:dstrike w:val="false"/>
                  <w:color w:val="000000"/>
                  <w:sz w:val="20"/>
                  <w:u w:val="none"/>
                  <w:effect w:val="none"/>
                </w:rPr>
                <w:t>28</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15">
              <w:r>
                <w:rPr>
                  <w:rStyle w:val="InternetLink"/>
                  <w:rFonts w:ascii="Times New Roman;sans-serif" w:hAnsi="Times New Roman;sans-serif"/>
                  <w:b/>
                  <w:color w:val="0000FF"/>
                  <w:sz w:val="20"/>
                  <w:u w:val="single"/>
                </w:rPr>
                <w:t>Item 5. Other Information</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15">
              <w:r>
                <w:rPr>
                  <w:rStyle w:val="InternetLink"/>
                  <w:rFonts w:ascii="Times New Roman;sans-serif" w:hAnsi="Times New Roman;sans-serif"/>
                  <w:b w:val="false"/>
                  <w:strike w:val="false"/>
                  <w:dstrike w:val="false"/>
                  <w:color w:val="000000"/>
                  <w:sz w:val="20"/>
                  <w:u w:val="none"/>
                  <w:effect w:val="none"/>
                </w:rPr>
                <w:t>29</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21">
              <w:r>
                <w:rPr>
                  <w:rStyle w:val="InternetLink"/>
                  <w:rFonts w:ascii="Times New Roman;sans-serif" w:hAnsi="Times New Roman;sans-serif"/>
                  <w:b/>
                  <w:color w:val="0000FF"/>
                  <w:sz w:val="20"/>
                  <w:u w:val="single"/>
                </w:rPr>
                <w:t>Item 6. Exhibits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21">
              <w:r>
                <w:rPr>
                  <w:rStyle w:val="InternetLink"/>
                  <w:rFonts w:ascii="Times New Roman;sans-serif" w:hAnsi="Times New Roman;sans-serif"/>
                  <w:b w:val="false"/>
                  <w:strike w:val="false"/>
                  <w:dstrike w:val="false"/>
                  <w:color w:val="000000"/>
                  <w:sz w:val="20"/>
                  <w:u w:val="none"/>
                  <w:effect w:val="none"/>
                </w:rPr>
                <w:t>29</w:t>
              </w:r>
            </w:hyperlink>
          </w:p>
        </w:tc>
      </w:tr>
      <w:tr>
        <w:trPr/>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f4e0e2e2df4b58946341f0fc470b04_124">
              <w:r>
                <w:rPr>
                  <w:rStyle w:val="InternetLink"/>
                  <w:rFonts w:ascii="Times New Roman;sans-serif" w:hAnsi="Times New Roman;sans-serif"/>
                  <w:b/>
                  <w:color w:val="0000FF"/>
                  <w:sz w:val="20"/>
                  <w:u w:val="single"/>
                </w:rPr>
                <w:t>Signatures</w:t>
              </w:r>
            </w:hyperlink>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f4e0e2e2df4b58946341f0fc470b04_124">
              <w:r>
                <w:rPr>
                  <w:rStyle w:val="InternetLink"/>
                  <w:rFonts w:ascii="Times New Roman;sans-serif" w:hAnsi="Times New Roman;sans-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39"/>
        <w:gridCol w:w="2160"/>
        <w:gridCol w:w="2172"/>
        <w:gridCol w:w="268"/>
        <w:gridCol w:w="1030"/>
        <w:gridCol w:w="149"/>
        <w:gridCol w:w="109"/>
        <w:gridCol w:w="109"/>
        <w:gridCol w:w="109"/>
        <w:gridCol w:w="259"/>
        <w:gridCol w:w="994"/>
        <w:gridCol w:w="207"/>
      </w:tblGrid>
      <w:tr>
        <w:trPr/>
        <w:tc>
          <w:tcPr>
            <w:tcW w:w="263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of $2,289 and $2,365</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70,797 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356,464 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$84,168 and $69,881</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 net</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right-of-use assets, net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$27,336 and $31,077</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458,432</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444,180</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obligation</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obligation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53,547 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$0.000001, 25,000 shares authorized, none issued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$0.000001, 120,000 shares authorized, 73,483 and 72,734 shares issued and outstanding</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(104,004)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(137,586)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404,885 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364,425 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458,432</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444,180</w:t>
            </w: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957"/>
        <w:gridCol w:w="1321"/>
        <w:gridCol w:w="1329"/>
        <w:gridCol w:w="218"/>
        <w:gridCol w:w="747"/>
        <w:gridCol w:w="112"/>
        <w:gridCol w:w="112"/>
        <w:gridCol w:w="112"/>
        <w:gridCol w:w="112"/>
        <w:gridCol w:w="218"/>
        <w:gridCol w:w="856"/>
        <w:gridCol w:w="112"/>
        <w:gridCol w:w="109"/>
        <w:gridCol w:w="109"/>
        <w:gridCol w:w="109"/>
        <w:gridCol w:w="211"/>
        <w:gridCol w:w="826"/>
        <w:gridCol w:w="109"/>
        <w:gridCol w:w="109"/>
        <w:gridCol w:w="109"/>
        <w:gridCol w:w="109"/>
        <w:gridCol w:w="211"/>
        <w:gridCol w:w="826"/>
        <w:gridCol w:w="162"/>
      </w:tblGrid>
      <w:tr>
        <w:trPr/>
        <w:tc>
          <w:tcPr>
            <w:tcW w:w="195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estimated fair value of acquisition-related contingent consideration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SHARE:</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6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74,349 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72,785 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72,448 </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66" w:type="dxa"/>
        <w:jc w:val="left"/>
        <w:tblInd w:w="0" w:type="dxa"/>
        <w:tblLayout w:type="fixed"/>
        <w:tblCellMar>
          <w:top w:w="28" w:type="dxa"/>
          <w:left w:w="28" w:type="dxa"/>
          <w:bottom w:w="28" w:type="dxa"/>
          <w:right w:w="28" w:type="dxa"/>
        </w:tblCellMar>
      </w:tblPr>
      <w:tblGrid>
        <w:gridCol w:w="1239"/>
        <w:gridCol w:w="1088"/>
        <w:gridCol w:w="1092"/>
        <w:gridCol w:w="238"/>
        <w:gridCol w:w="814"/>
        <w:gridCol w:w="123"/>
        <w:gridCol w:w="123"/>
        <w:gridCol w:w="123"/>
        <w:gridCol w:w="123"/>
        <w:gridCol w:w="238"/>
        <w:gridCol w:w="780"/>
        <w:gridCol w:w="123"/>
        <w:gridCol w:w="109"/>
        <w:gridCol w:w="109"/>
        <w:gridCol w:w="109"/>
        <w:gridCol w:w="220"/>
        <w:gridCol w:w="752"/>
        <w:gridCol w:w="113"/>
        <w:gridCol w:w="113"/>
        <w:gridCol w:w="113"/>
        <w:gridCol w:w="113"/>
        <w:gridCol w:w="220"/>
        <w:gridCol w:w="831"/>
        <w:gridCol w:w="160"/>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59"/>
        <w:gridCol w:w="2399"/>
        <w:gridCol w:w="2412"/>
        <w:gridCol w:w="211"/>
        <w:gridCol w:w="827"/>
        <w:gridCol w:w="109"/>
        <w:gridCol w:w="109"/>
        <w:gridCol w:w="109"/>
        <w:gridCol w:w="109"/>
        <w:gridCol w:w="211"/>
        <w:gridCol w:w="794"/>
        <w:gridCol w:w="156"/>
      </w:tblGrid>
      <w:tr>
        <w:trPr/>
        <w:tc>
          <w:tcPr>
            <w:tcW w:w="275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impairments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credit losses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Unrealized foreign currency gain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on finance leases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sale of fixed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the estimated fair value of acquisition-related contingent consideration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acquisition-related contingent consideration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operating activities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short-term investments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and redemptions of short-term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 under government contracts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funding under government contract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payments for lease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acquisition-related contingent consideration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BEGINNING OF PERIOD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116,762 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SUPPLEMENTAL DISCLOSURES OF CASH FLOW INFORMATION:</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(refunds)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investing and financing activities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property and equipment purchases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property and equipment purchases under government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Unrealized gain on marketable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120" w:after="283"/>
        <w:jc w:val="both"/>
        <w:rPr/>
      </w:pPr>
      <w:r>
        <w:rPr>
          <w:rFonts w:ascii="Times New Roman;sans-serif" w:hAnsi="Times New Roman;sans-serif"/>
          <w:b w:val="false"/>
          <w:i/>
          <w:color w:val="000000"/>
          <w:sz w:val="20"/>
          <w:u w:val="single"/>
        </w:rPr>
        <w:t>Principles of Consolidation and Basis of Presentation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accompanying interim unaudited consolidated financial statements include the accounts of 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2022. Results of operations for the three and nine months ended September 30, 2023 are not necessarily indicative of the results of operations expected for the full year.</w:t>
      </w:r>
    </w:p>
    <w:p>
      <w:pPr>
        <w:pStyle w:val="TextBody"/>
        <w:bidi w:val="0"/>
        <w:spacing w:lineRule="auto" w:line="288" w:before="240" w:after="283"/>
        <w:jc w:val="both"/>
        <w:rPr/>
      </w:pPr>
      <w:r>
        <w:rPr>
          <w:rFonts w:ascii="Times New Roman;sans-serif" w:hAnsi="Times New Roman;sans-serif"/>
          <w:b w:val="false"/>
          <w:i/>
          <w:color w:val="000000"/>
          <w:sz w:val="20"/>
          <w:u w:val="single"/>
        </w:rPr>
        <w:t>Summary of Significant Accounting Policies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There have been no changes to the Company's significant accounting policies described in its Annual Report on Form 10-K for the fiscal year ended December 31, 2022 that have had a material impact on the consolidated financial statements and related notes except as discussed herein. See Note 11 for the discussion regarding the change in business segments.</w:t>
      </w:r>
    </w:p>
    <w:p>
      <w:pPr>
        <w:pStyle w:val="TextBody"/>
        <w:bidi w:val="0"/>
        <w:spacing w:lineRule="auto" w:line="288" w:before="240" w:after="283"/>
        <w:jc w:val="both"/>
        <w:rPr/>
      </w:pPr>
      <w:r>
        <w:rPr>
          <w:rFonts w:ascii="Times New Roman;sans-serif" w:hAnsi="Times New Roman;sans-serif"/>
          <w:b w:val="false"/>
          <w:i/>
          <w:color w:val="000000"/>
          <w:sz w:val="20"/>
          <w:u w:val="single"/>
        </w:rPr>
        <w:t>Cash Equivalents &amp; Short-Term Investments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Company considers all investments in debt securities to be available-for-sale securities. These securities consist of guaranteed investment certificates and corporate bonds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an allowance for credit loss for its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available-for-sale securities (in thousands):</w:t>
      </w:r>
    </w:p>
    <w:tbl>
      <w:tblPr>
        <w:tblW w:w="10205" w:type="dxa"/>
        <w:jc w:val="left"/>
        <w:tblInd w:w="0" w:type="dxa"/>
        <w:tblLayout w:type="fixed"/>
        <w:tblCellMar>
          <w:top w:w="28" w:type="dxa"/>
          <w:left w:w="28" w:type="dxa"/>
          <w:bottom w:w="28" w:type="dxa"/>
          <w:right w:w="28" w:type="dxa"/>
        </w:tblCellMar>
      </w:tblPr>
      <w:tblGrid>
        <w:gridCol w:w="2097"/>
        <w:gridCol w:w="1608"/>
        <w:gridCol w:w="1613"/>
        <w:gridCol w:w="211"/>
        <w:gridCol w:w="721"/>
        <w:gridCol w:w="109"/>
        <w:gridCol w:w="109"/>
        <w:gridCol w:w="109"/>
        <w:gridCol w:w="109"/>
        <w:gridCol w:w="257"/>
        <w:gridCol w:w="495"/>
        <w:gridCol w:w="134"/>
        <w:gridCol w:w="109"/>
        <w:gridCol w:w="109"/>
        <w:gridCol w:w="109"/>
        <w:gridCol w:w="233"/>
        <w:gridCol w:w="537"/>
        <w:gridCol w:w="121"/>
        <w:gridCol w:w="109"/>
        <w:gridCol w:w="109"/>
        <w:gridCol w:w="109"/>
        <w:gridCol w:w="211"/>
        <w:gridCol w:w="721"/>
        <w:gridCol w:w="156"/>
      </w:tblGrid>
      <w:tr>
        <w:trPr/>
        <w:tc>
          <w:tcPr>
            <w:tcW w:w="209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investment certificates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investment certificates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September 30, 2023, maturities of the Company's available-for-sale securities were as follows: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u w:val="single"/>
        </w:rPr>
        <w:t>Fair Value of Financial Instruments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As of September 30, 2023 and December 31, 2022, the carrying values of cash and cash equivalents, accounts receivable, accounts payable, and accrued expenses approximate their respective fair values based on their short-term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of all financial assets and liabilities that are being measured and reported on a fair value basis are required to be classified and disclosed in one of the following three categories: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which are observable, either directly or indirectly, for substantially the full term of the asset or liability;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Prices or valuation techniques that require inputs that are both significant to the fair value measurement and unobservable (i.e., supported by little or no market activity).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available-for-sale corporate bonds are measured as Level 2 instruments and the Company's available-for-sale guaranteed investment certificates are measured as Level 1 instruments as of September 30, 2023 and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 at September 30, 2023 and December 31, 2022 was $37.1 million and $1.7 million, respectively, invested in money market funds. These money market funds have investments in government securities and are measured as Level 1 instruments. Included in cash and cash equivalents at September 30, 2023 was $14.7 million of guaranteed investment certificates which are also measured as Level 1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September 30, 2023 and December 31, 2022 was $0.6 million and $0.7 million,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pStyle w:val="TextBody"/>
        <w:bidi w:val="0"/>
        <w:spacing w:lineRule="auto" w:line="288" w:before="240" w:after="283"/>
        <w:jc w:val="both"/>
        <w:rPr/>
      </w:pPr>
      <w:r>
        <w:rPr>
          <w:rFonts w:ascii="Times New Roman;sans-serif" w:hAnsi="Times New Roman;sans-serif"/>
          <w:b w:val="false"/>
          <w:i/>
          <w:color w:val="000000"/>
          <w:sz w:val="20"/>
          <w:u w:val="single"/>
        </w:rPr>
        <w:t>Foreign Currency Translation</w:t>
      </w:r>
      <w:r>
        <w:rPr>
          <w:rFonts w:ascii="Times New Roman;sans-serif" w:hAnsi="Times New Roman;sans-serif"/>
          <w:b w:val="false"/>
          <w:color w:val="000000"/>
          <w:sz w:val="20"/>
        </w:rPr>
        <w:t>. Net foreign exchange gains and (losses) resulting from foreign currency transactions that are included in other income in the Company's consolidated statements of operations were $(0.1) million and $2.3 million for the three months ended September 30, 2023 and 2022, respectively. Net foreign exchange gains and (losses) resulting from foreign currency transactions for the nine months ended September 30, 2023 and 2022 were $(0.7) million and $2.4 million, respectively.</w:t>
      </w:r>
    </w:p>
    <w:p>
      <w:pPr>
        <w:pStyle w:val="TextBody"/>
        <w:bidi w:val="0"/>
        <w:spacing w:lineRule="auto" w:line="288" w:before="240" w:after="283"/>
        <w:jc w:val="both"/>
        <w:rPr/>
      </w:pPr>
      <w:r>
        <w:rPr>
          <w:rFonts w:ascii="Times New Roman;sans-serif" w:hAnsi="Times New Roman;sans-serif"/>
          <w:b w:val="false"/>
          <w:i/>
          <w:color w:val="000000"/>
          <w:sz w:val="20"/>
          <w:u w:val="single"/>
        </w:rPr>
        <w:t>Impairment of Long-Lived Assets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Long-lived assets, which include property, plant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expected to be generated from the use and eventual disposition of the asset. If indicators of impairment exist, the Company measures the amount of such impairment by comparing the carrying value of the assets to the fair value of these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identified a triggering event to test for the recoverability of intangible assets in the third quarter given the decline in the Company's market capitalization leading up to and as of its annual goodwill impairment testing date. The Company performed an undiscounted cash flow analysis and determined the carrying value of the developed technology, trade names, and customer relationships intangible assets could not be recovered through the sum of the undiscounted future cash flows. The Company used an income approach to determine the fair value of the developed technology and customer relationship intangible assets and the relief from royalty method for the trade names. For the three months ended September 30, 2023, the Company determined the developed technology, trade names, and customer relationships intangible assets associated with Diversigen and Novosanis were impaired as the fair value of the intangible assets did not exceed their carrying value. A full impairment loss of $6.2 million is recorded on the consolidated statement of operations for the three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impairment of property, plant and equipment for the three months ended September 30, 2023 related to this triggering event. See Note 4 for discussion of equipment impairments recorded in the first half of 2023. </w:t>
      </w:r>
    </w:p>
    <w:p>
      <w:pPr>
        <w:pStyle w:val="TextBody"/>
        <w:bidi w:val="0"/>
        <w:spacing w:lineRule="auto" w:line="288" w:before="240" w:after="283"/>
        <w:jc w:val="both"/>
        <w:rPr/>
      </w:pPr>
      <w:r>
        <w:rPr>
          <w:rFonts w:ascii="Times New Roman;sans-serif" w:hAnsi="Times New Roman;sans-serif"/>
          <w:b w:val="false"/>
          <w:i/>
          <w:color w:val="000000"/>
          <w:sz w:val="20"/>
          <w:u w:val="single"/>
        </w:rPr>
        <w:t>Impairment of Goodwill</w:t>
      </w:r>
      <w:r>
        <w:rPr>
          <w:rFonts w:ascii="Times New Roman;sans-serif" w:hAnsi="Times New Roman;sans-serif"/>
          <w:b w:val="false"/>
          <w:color w:val="000000"/>
          <w:sz w:val="20"/>
        </w:rPr>
        <w:t>. During the second quarter of 2022, we determined that a triggering event occurred in relation to the depressed market price of the Company's common stock and corresponding significant decline in our market capitalization. As a result, we performed an interim goodwill impairment test and concluded that the carrying value of our Diagnostics reporting unit exceeded its estimated fair value and the goodwill balance for that segment was fully impaired. Thus, we recognized a pre-tax impairment charge of $3.6 million during the three months ended June 30, 2022, which is reported in loss on impairments in our condensed consolidated statement of operations.</w:t>
      </w:r>
    </w:p>
    <w:p>
      <w:pPr>
        <w:pStyle w:val="TextBody"/>
        <w:bidi w:val="0"/>
        <w:spacing w:lineRule="auto" w:line="288" w:before="240" w:after="283"/>
        <w:jc w:val="both"/>
        <w:rPr/>
      </w:pPr>
      <w:r>
        <w:rPr>
          <w:rFonts w:ascii="Times New Roman;sans-serif" w:hAnsi="Times New Roman;sans-serif"/>
          <w:b w:val="false"/>
          <w:i/>
          <w:color w:val="000000"/>
          <w:sz w:val="20"/>
          <w:u w:val="single"/>
        </w:rPr>
        <w:t>Accumulated Other Comprehensive Loss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Changes in accumulated other comprehensive loss by component is listed below (in thousands):</w:t>
      </w:r>
    </w:p>
    <w:tbl>
      <w:tblPr>
        <w:tblW w:w="7725" w:type="dxa"/>
        <w:jc w:val="left"/>
        <w:tblInd w:w="0" w:type="dxa"/>
        <w:tblLayout w:type="fixed"/>
        <w:tblCellMar>
          <w:top w:w="28" w:type="dxa"/>
          <w:left w:w="28" w:type="dxa"/>
          <w:bottom w:w="28" w:type="dxa"/>
          <w:right w:w="28" w:type="dxa"/>
        </w:tblCellMar>
      </w:tblPr>
      <w:tblGrid>
        <w:gridCol w:w="988"/>
        <w:gridCol w:w="869"/>
        <w:gridCol w:w="873"/>
        <w:gridCol w:w="275"/>
        <w:gridCol w:w="1038"/>
        <w:gridCol w:w="142"/>
        <w:gridCol w:w="109"/>
        <w:gridCol w:w="109"/>
        <w:gridCol w:w="109"/>
        <w:gridCol w:w="454"/>
        <w:gridCol w:w="1036"/>
        <w:gridCol w:w="235"/>
        <w:gridCol w:w="109"/>
        <w:gridCol w:w="109"/>
        <w:gridCol w:w="109"/>
        <w:gridCol w:w="211"/>
        <w:gridCol w:w="79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Foreign Currency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Marketable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u w:val="single"/>
        </w:rPr>
        <w:t>Immaterial Correction of Errors.</w:t>
      </w:r>
      <w:r>
        <w:rPr>
          <w:color w:val="000000"/>
        </w:rPr>
        <w:t xml:space="preserve"> </w:t>
      </w:r>
      <w:r>
        <w:rPr>
          <w:rFonts w:ascii="Times New Roman;sans-serif" w:hAnsi="Times New Roman;sans-serif"/>
          <w:b w:val="false"/>
          <w:color w:val="000000"/>
          <w:sz w:val="20"/>
        </w:rPr>
        <w:t>Inventories, accounts payable and cost of products and services were reduced by $0.5 million, $1.3 million and $0.8 million, respectively, as of and for the year ended December 31, 2022 to correct for the accounting of a vendor rebate earned in 2022. The tax impact of the vendor rebate was negligible. This correction was deemed to be immaterial to the consolidated financial statements as of and for the year ended December 31, 2022. For the three and nine months ended September 30, 2022, cost of products and services sold was reduced by $0.3 million and $0.6 million, respectively. The respective operating activities on the consolidated statement of cash flows for the nine months ended September 30, 2022 has also been adjusted. Furthermore, stockholder's equity at September 30, 2022 has been adjusted to reflect the reduction in cost of products and services sold.</w:t>
      </w:r>
    </w:p>
    <w:p>
      <w:pPr>
        <w:pStyle w:val="TextBody"/>
        <w:bidi w:val="0"/>
        <w:spacing w:lineRule="auto" w:line="288" w:before="240" w:after="283"/>
        <w:jc w:val="both"/>
        <w:rPr/>
      </w:pPr>
      <w:r>
        <w:rPr>
          <w:rFonts w:ascii="Times New Roman;sans-serif" w:hAnsi="Times New Roman;sans-serif"/>
          <w:b w:val="false"/>
          <w:i/>
          <w:color w:val="000000"/>
          <w:sz w:val="20"/>
          <w:u w:val="single"/>
        </w:rPr>
        <w:t>Reclassification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Certain prior period amounts have been reclassified to conform to current year presentations.</w:t>
      </w:r>
      <w:r>
        <w:rPr>
          <w:color w:val="000000"/>
        </w:rPr>
        <w:t xml:space="preserve"> </w:t>
      </w:r>
      <w:r>
        <w:rPr>
          <w:rFonts w:ascii="Times New Roman;sans-serif" w:hAnsi="Times New Roman;sans-serif"/>
          <w:b w:val="false"/>
          <w:color w:val="000000"/>
          <w:sz w:val="20"/>
        </w:rPr>
        <w:t>For the three and nine months ended September 30, 2022, $0.3 million and $0.9 million of research and development expenses were reclassified to other income in relation to the U.S. Department of Defense (the “DOD”) engineering consulting costs further described in Note 2. This reclassification was made to conform to the presentation in the Company's Annual Report on Form 10-K for the year ended December 31, 2022.</w:t>
      </w:r>
    </w:p>
    <w:p>
      <w:pPr>
        <w:pStyle w:val="TextBody"/>
        <w:bidi w:val="0"/>
        <w:spacing w:lineRule="auto" w:line="288" w:before="240" w:after="283"/>
        <w:jc w:val="both"/>
        <w:rPr/>
      </w:pPr>
      <w:r>
        <w:rPr>
          <w:rFonts w:ascii="Times New Roman;sans-serif" w:hAnsi="Times New Roman;sans-serif"/>
          <w:b w:val="false"/>
          <w:i/>
          <w:color w:val="000000"/>
          <w:sz w:val="20"/>
          <w:u w:val="single"/>
        </w:rPr>
        <w:t>Change in Accounting Estimate.</w:t>
      </w:r>
      <w:r>
        <w:rPr>
          <w:color w:val="000000"/>
        </w:rPr>
        <w:t xml:space="preserve"> </w:t>
      </w:r>
      <w:r>
        <w:rPr>
          <w:rFonts w:ascii="Times New Roman;sans-serif" w:hAnsi="Times New Roman;sans-serif"/>
          <w:b w:val="false"/>
          <w:color w:val="000000"/>
          <w:sz w:val="20"/>
        </w:rPr>
        <w:t>During the three months ended June 30, 2023, the Company shortened the useful lives of machinery and equipment utilized for InteliSwab® production in Thailand. This reduction in useful lives resulted in $6.9 million of accelerated depreciation during the three months ended June 30, 2023, recorded in cost of products and services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2.    Government Capital Contracts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entered into an agreement for $109.0 million in funding from the DOD, in coordination with the Department of Health and Human Services, to build additional manufacturing capacity in the United States for its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COVID-19 Rapid Tests as part of the nation’s pandemic preparedness plan. Funding will be paid to the Company based on achievement of milestones through December 2023 for the design, acquisition, installation, qualification and acceptance of the manufacturing equipment, as set forth in the agreement. In accordance with the milestone payment schedule, 15% of the total will not be billed and funded until the completion of the final validation testing, which occurred in October 2023. The Company began making payments to vendors for the capital project during the fourth quarter of 2021. The Company began receiving funds from the DOD in January 2022 and has received $84.6 million, as of September 30, 2023. The remaining $24.4 million was received in October 2023.</w:t>
      </w:r>
    </w:p>
    <w:p>
      <w:pPr>
        <w:pStyle w:val="TextBody"/>
        <w:bidi w:val="0"/>
        <w:spacing w:lineRule="auto" w:line="288" w:before="240" w:after="283"/>
        <w:jc w:val="both"/>
        <w:rPr/>
      </w:pPr>
      <w:r>
        <w:rPr>
          <w:rFonts w:ascii="Times New Roman;sans-serif" w:hAnsi="Times New Roman;sans-serif"/>
          <w:b w:val="false"/>
          <w:color w:val="000000"/>
          <w:sz w:val="20"/>
        </w:rPr>
        <w:t xml:space="preserve">Activity for these capital contracts is accounted for pursuant to International Accounting Standards ("IAS") 20, </w:t>
      </w:r>
      <w:r>
        <w:rPr>
          <w:rFonts w:ascii="Times New Roman;sans-serif" w:hAnsi="Times New Roman;sans-serif"/>
          <w:b w:val="false"/>
          <w:i/>
          <w:color w:val="000000"/>
          <w:sz w:val="20"/>
        </w:rPr>
        <w:t>Accounting for Government Grants and Disclosure of Government Assistance</w:t>
      </w:r>
      <w:r>
        <w:rPr>
          <w:rFonts w:ascii="Times New Roman;sans-serif" w:hAnsi="Times New Roman;sans-serif"/>
          <w:b w:val="false"/>
          <w:color w:val="000000"/>
          <w:sz w:val="20"/>
        </w:rPr>
        <w:t>. Funding received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earned for the Company's guaranteed profit which covers project management costs are recognized straight-line in other income over the term of the government contract. Any amount received in excess of the guaranteed profit discussed above will be recorded in other income at time of payment. The Company recognized $0.6 million of such income, which is reported as other income in the Company's consolidated statement of operations for both the three months ended September 30, 2023 and 2022. The Company recognized $1.7 million of such income, for both the nine months ended September 30,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DOD also reimburses the Company for certain engineering consulting costs. These expenses are reflected in research and development as incurred with the corresponding reimbursement presented in other income. For the three months ended September 30, 2023 and 2022, $0.4 million and $0.3 million, respectively, were recorded in research and development and other income. For the nine months ended September 30, 2023 and 2022, $2.0 million and $0.9 million, respectively, were recorded in research and development and other income.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corresponding to government contracts included in the Company's consolidated balance sheet are as follows (in thousands):</w:t>
      </w:r>
    </w:p>
    <w:tbl>
      <w:tblPr>
        <w:tblW w:w="6429" w:type="dxa"/>
        <w:jc w:val="left"/>
        <w:tblInd w:w="0" w:type="dxa"/>
        <w:tblLayout w:type="fixed"/>
        <w:tblCellMar>
          <w:top w:w="28" w:type="dxa"/>
          <w:left w:w="28" w:type="dxa"/>
          <w:bottom w:w="28" w:type="dxa"/>
          <w:right w:w="28" w:type="dxa"/>
        </w:tblCellMar>
      </w:tblPr>
      <w:tblGrid>
        <w:gridCol w:w="1384"/>
        <w:gridCol w:w="1218"/>
        <w:gridCol w:w="1222"/>
        <w:gridCol w:w="257"/>
        <w:gridCol w:w="750"/>
        <w:gridCol w:w="132"/>
        <w:gridCol w:w="109"/>
        <w:gridCol w:w="109"/>
        <w:gridCol w:w="109"/>
        <w:gridCol w:w="265"/>
        <w:gridCol w:w="681"/>
        <w:gridCol w:w="193"/>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receivables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activity corresponding to the government contracts included in the Company's consolidated statements of cash flows is as follows (in thousands):</w:t>
      </w:r>
    </w:p>
    <w:tbl>
      <w:tblPr>
        <w:tblW w:w="7121" w:type="dxa"/>
        <w:jc w:val="left"/>
        <w:tblInd w:w="0" w:type="dxa"/>
        <w:tblLayout w:type="fixed"/>
        <w:tblCellMar>
          <w:top w:w="28" w:type="dxa"/>
          <w:left w:w="28" w:type="dxa"/>
          <w:bottom w:w="28" w:type="dxa"/>
          <w:right w:w="28" w:type="dxa"/>
        </w:tblCellMar>
      </w:tblPr>
      <w:tblGrid>
        <w:gridCol w:w="1631"/>
        <w:gridCol w:w="1438"/>
        <w:gridCol w:w="1446"/>
        <w:gridCol w:w="231"/>
        <w:gridCol w:w="790"/>
        <w:gridCol w:w="119"/>
        <w:gridCol w:w="109"/>
        <w:gridCol w:w="109"/>
        <w:gridCol w:w="109"/>
        <w:gridCol w:w="221"/>
        <w:gridCol w:w="757"/>
        <w:gridCol w:w="161"/>
      </w:tblGrid>
      <w:tr>
        <w:trPr/>
        <w:tc>
          <w:tcPr>
            <w:tcW w:w="16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assets, cumulative</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for funding earned to date, not yet received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for funding received to date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3.    Inventories (in thousands)</w:t>
      </w:r>
    </w:p>
    <w:tbl>
      <w:tblPr>
        <w:tblW w:w="4031" w:type="dxa"/>
        <w:jc w:val="left"/>
        <w:tblInd w:w="0" w:type="dxa"/>
        <w:tblLayout w:type="fixed"/>
        <w:tblCellMar>
          <w:top w:w="28" w:type="dxa"/>
          <w:left w:w="28" w:type="dxa"/>
          <w:bottom w:w="28" w:type="dxa"/>
          <w:right w:w="28" w:type="dxa"/>
        </w:tblCellMar>
      </w:tblPr>
      <w:tblGrid>
        <w:gridCol w:w="516"/>
        <w:gridCol w:w="453"/>
        <w:gridCol w:w="456"/>
        <w:gridCol w:w="231"/>
        <w:gridCol w:w="790"/>
        <w:gridCol w:w="11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4.    Property, Plant and Equipment, net (in thousands)</w:t>
      </w:r>
    </w:p>
    <w:tbl>
      <w:tblPr>
        <w:tblW w:w="5516" w:type="dxa"/>
        <w:jc w:val="left"/>
        <w:tblInd w:w="0" w:type="dxa"/>
        <w:tblLayout w:type="fixed"/>
        <w:tblCellMar>
          <w:top w:w="28" w:type="dxa"/>
          <w:left w:w="28" w:type="dxa"/>
          <w:bottom w:w="28" w:type="dxa"/>
          <w:right w:w="28" w:type="dxa"/>
        </w:tblCellMar>
      </w:tblPr>
      <w:tblGrid>
        <w:gridCol w:w="1054"/>
        <w:gridCol w:w="923"/>
        <w:gridCol w:w="933"/>
        <w:gridCol w:w="231"/>
        <w:gridCol w:w="790"/>
        <w:gridCol w:w="119"/>
        <w:gridCol w:w="109"/>
        <w:gridCol w:w="109"/>
        <w:gridCol w:w="109"/>
        <w:gridCol w:w="221"/>
        <w:gridCol w:w="757"/>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determined several manufacturing lines will not be utilized due to changes in forecasted demand for the products the equipment is intended to produce. Additionally, the Company elected not to proceed with certain leasehold improvements to its research and development laboratories. As a result of these decisions, the Company determined that the carrying values of the equipment and leasehold improvements made to date are not recoverable and recorded aggregate pre-tax asset impairment charges of $1.3 million during the nine months ended September 30, 2023. No property, plant and equipment impairment charges were recorded during the three months ended September 30,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2022, the Company determined several manufacturing lines and associated supporting assets would not be utilized due to changes in forecasted demand for the products the lines are intended to produce. As a result of this decision, the Company determined that the carrying values of the equipment and supporting assets were not recoverable and recorded aggregate pre-tax asset impairment charges during the three and nine months ended September 30, 2022 of $6.6 million and $13.5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extremely specialized nature of the equipment and various market data points, the estimated fair value was zero. These charges are reported within loss on impairments in the consolidated statement of operations.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5.    Accrued Expenses and other current liabilities (in thousands)</w:t>
      </w:r>
    </w:p>
    <w:tbl>
      <w:tblPr>
        <w:tblW w:w="4945" w:type="dxa"/>
        <w:jc w:val="left"/>
        <w:tblInd w:w="0" w:type="dxa"/>
        <w:tblLayout w:type="fixed"/>
        <w:tblCellMar>
          <w:top w:w="28" w:type="dxa"/>
          <w:left w:w="28" w:type="dxa"/>
          <w:bottom w:w="28" w:type="dxa"/>
          <w:right w:w="28" w:type="dxa"/>
        </w:tblCellMar>
      </w:tblPr>
      <w:tblGrid>
        <w:gridCol w:w="846"/>
        <w:gridCol w:w="745"/>
        <w:gridCol w:w="748"/>
        <w:gridCol w:w="231"/>
        <w:gridCol w:w="790"/>
        <w:gridCol w:w="119"/>
        <w:gridCol w:w="109"/>
        <w:gridCol w:w="109"/>
        <w:gridCol w:w="109"/>
        <w:gridCol w:w="221"/>
        <w:gridCol w:w="757"/>
        <w:gridCol w:w="161"/>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benefits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6.    Termination Benefits</w:t>
      </w:r>
    </w:p>
    <w:p>
      <w:pPr>
        <w:pStyle w:val="TextBody"/>
        <w:bidi w:val="0"/>
        <w:spacing w:lineRule="auto" w:line="288" w:before="120" w:after="283"/>
        <w:jc w:val="both"/>
        <w:rPr/>
      </w:pPr>
      <w:r>
        <w:rPr>
          <w:rFonts w:ascii="Times New Roman;sans-serif" w:hAnsi="Times New Roman;sans-serif"/>
          <w:b w:val="false"/>
          <w:color w:val="000000"/>
          <w:sz w:val="20"/>
        </w:rPr>
        <w:t xml:space="preserve">During the first and second quarters of 2023, the Company executed a reduction in workforce. This was accounted for pursuant to Accounting Standards Codification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included in the Company's consolidated statements of operations are as follows (in thousands):</w:t>
      </w:r>
    </w:p>
    <w:tbl>
      <w:tblPr>
        <w:tblW w:w="4687" w:type="dxa"/>
        <w:jc w:val="left"/>
        <w:tblInd w:w="0" w:type="dxa"/>
        <w:tblLayout w:type="fixed"/>
        <w:tblCellMar>
          <w:top w:w="28" w:type="dxa"/>
          <w:left w:w="28" w:type="dxa"/>
          <w:bottom w:w="28" w:type="dxa"/>
          <w:right w:w="28" w:type="dxa"/>
        </w:tblCellMar>
      </w:tblPr>
      <w:tblGrid>
        <w:gridCol w:w="1042"/>
        <w:gridCol w:w="917"/>
        <w:gridCol w:w="920"/>
        <w:gridCol w:w="109"/>
        <w:gridCol w:w="109"/>
        <w:gridCol w:w="342"/>
        <w:gridCol w:w="999"/>
        <w:gridCol w:w="24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$0.9 million accrued and had paid $2.4 million related to the reduction in workforce. No additional expense was incurred during the three months ended September 30, 2023.</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7.    Revenues</w:t>
      </w:r>
    </w:p>
    <w:p>
      <w:pPr>
        <w:pStyle w:val="TextBody"/>
        <w:bidi w:val="0"/>
        <w:spacing w:lineRule="auto" w:line="288" w:before="120" w:after="283"/>
        <w:jc w:val="both"/>
        <w:rPr/>
      </w:pPr>
      <w:r>
        <w:rPr>
          <w:rFonts w:ascii="Times New Roman;sans-serif" w:hAnsi="Times New Roman;sans-serif"/>
          <w:b w:val="false"/>
          <w:i/>
          <w:color w:val="000000"/>
          <w:sz w:val="20"/>
          <w:u w:val="single"/>
        </w:rPr>
        <w:t>Revenues by product line</w:t>
      </w:r>
      <w:r>
        <w:rPr>
          <w:rFonts w:ascii="Times New Roman;sans-serif" w:hAnsi="Times New Roman;sans-serif"/>
          <w:b w:val="false"/>
          <w:color w:val="000000"/>
          <w:sz w:val="20"/>
        </w:rPr>
        <w:t>. The following table represents total net revenues by product line (in thousands):</w:t>
      </w:r>
    </w:p>
    <w:tbl>
      <w:tblPr>
        <w:tblW w:w="8838" w:type="dxa"/>
        <w:jc w:val="left"/>
        <w:tblInd w:w="0" w:type="dxa"/>
        <w:tblLayout w:type="fixed"/>
        <w:tblCellMar>
          <w:top w:w="28" w:type="dxa"/>
          <w:left w:w="28" w:type="dxa"/>
          <w:bottom w:w="28" w:type="dxa"/>
          <w:right w:w="28" w:type="dxa"/>
        </w:tblCellMar>
      </w:tblPr>
      <w:tblGrid>
        <w:gridCol w:w="1148"/>
        <w:gridCol w:w="1004"/>
        <w:gridCol w:w="1013"/>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COVID-19 </w:t>
            </w:r>
            <w:r>
              <w:rPr>
                <w:rFonts w:ascii="Times New Roman;sans-serif" w:hAnsi="Times New Roman;sans-serif"/>
                <w:b w:val="false"/>
                <w:color w:val="000000"/>
                <w:sz w:val="13"/>
              </w:rPr>
              <w:t>(1)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Molecular Products </w:t>
            </w:r>
            <w:r>
              <w:rPr>
                <w:rFonts w:ascii="Times New Roman;sans-serif" w:hAnsi="Times New Roman;sans-serif"/>
                <w:b w:val="false"/>
                <w:color w:val="000000"/>
                <w:sz w:val="13"/>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HCV</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assessment testing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 and service revenues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Non-product and services revenues </w:t>
            </w:r>
            <w:r>
              <w:rPr>
                <w:rFonts w:ascii="Times New Roman;sans-serif" w:hAnsi="Times New Roman;sans-serif"/>
                <w:b w:val="false"/>
                <w:color w:val="000000"/>
                <w:sz w:val="13"/>
              </w:rPr>
              <w:t>(3)</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COVID-19 Diagnostics and COVID-19 Molecular Products.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Non-product and services revenues include funded research and development contracts, royalty income and grant revenues.</w:t>
      </w:r>
    </w:p>
    <w:p>
      <w:pPr>
        <w:pStyle w:val="TextBody"/>
        <w:bidi w:val="0"/>
        <w:spacing w:lineRule="auto" w:line="288" w:before="240" w:after="283"/>
        <w:jc w:val="both"/>
        <w:rPr/>
      </w:pPr>
      <w:r>
        <w:rPr>
          <w:rFonts w:ascii="Times New Roman;sans-serif" w:hAnsi="Times New Roman;sans-serif"/>
          <w:b w:val="false"/>
          <w:i/>
          <w:color w:val="000000"/>
          <w:sz w:val="20"/>
          <w:u w:val="single"/>
        </w:rPr>
        <w:t>Revenues by geographic area</w:t>
      </w:r>
      <w:r>
        <w:rPr>
          <w:rFonts w:ascii="Times New Roman;sans-serif" w:hAnsi="Times New Roman;sans-serif"/>
          <w:b w:val="false"/>
          <w:color w:val="000000"/>
          <w:sz w:val="20"/>
        </w:rPr>
        <w:t>. The following table represents total net revenues by geographic area, based on the location of the customer (in thousands):</w:t>
      </w:r>
    </w:p>
    <w:tbl>
      <w:tblPr>
        <w:tblW w:w="6888" w:type="dxa"/>
        <w:jc w:val="left"/>
        <w:tblInd w:w="0" w:type="dxa"/>
        <w:tblLayout w:type="fixed"/>
        <w:tblCellMar>
          <w:top w:w="28" w:type="dxa"/>
          <w:left w:w="28" w:type="dxa"/>
          <w:bottom w:w="28" w:type="dxa"/>
          <w:right w:w="28" w:type="dxa"/>
        </w:tblCellMar>
      </w:tblPr>
      <w:tblGrid>
        <w:gridCol w:w="441"/>
        <w:gridCol w:w="386"/>
        <w:gridCol w:w="388"/>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u w:val="single"/>
        </w:rPr>
        <w:t>Customer and Vendor Concentrations</w:t>
      </w:r>
      <w:r>
        <w:rPr>
          <w:rFonts w:ascii="Times New Roman;sans-serif" w:hAnsi="Times New Roman;sans-serif"/>
          <w:b w:val="false"/>
          <w:color w:val="000000"/>
          <w:sz w:val="20"/>
        </w:rPr>
        <w:t>. At September 30, 2023, one non-commercial customer accounted for 52% of the Company's consolidated accounts receivable. The same non-commercial customer accounted for 57% of the Company's consolidated accounts receivable as of December 31, 2022. The same non-commercial customer also accounted for 56% and 69% of net consolidated revenues for the three months ended September 30, 2023 and 2022, respectively. The same non-commercial customer also accounted for 66% and 53% of net consolidated revenues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 </w:t>
      </w:r>
    </w:p>
    <w:p>
      <w:pPr>
        <w:pStyle w:val="TextBody"/>
        <w:bidi w:val="0"/>
        <w:spacing w:lineRule="auto" w:line="288" w:before="240" w:after="283"/>
        <w:jc w:val="both"/>
        <w:rPr/>
      </w:pPr>
      <w:r>
        <w:rPr>
          <w:rFonts w:ascii="Times New Roman;sans-serif" w:hAnsi="Times New Roman;sans-serif"/>
          <w:b w:val="false"/>
          <w:i/>
          <w:color w:val="000000"/>
          <w:sz w:val="20"/>
          <w:u w:val="single"/>
        </w:rPr>
        <w:t>Deferred Revenue</w:t>
      </w:r>
      <w:r>
        <w:rPr>
          <w:rFonts w:ascii="Times New Roman;sans-serif" w:hAnsi="Times New Roman;sans-serif"/>
          <w:b w:val="false"/>
          <w:color w:val="000000"/>
          <w:sz w:val="20"/>
        </w:rPr>
        <w:t>. The Company records deferred revenue when funds are received prior to the recognition of the associated revenue. Deferred revenue as of September 30, 2023 and December 31, 2022 included customer prepayments of $1.4 million and $1.5 million, respectively. Deferred revenue as of September 30, 2023 and December 31, 2022 also included $0.4 million and $0.7 million, respectively, associated with a long-term contract that has variable pricing based on volume. The average price over the life of the contract was determined and revenue is recognized at that average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(benefits) are as follows (in thousands):</w:t>
      </w:r>
    </w:p>
    <w:tbl>
      <w:tblPr>
        <w:tblW w:w="8780" w:type="dxa"/>
        <w:jc w:val="left"/>
        <w:tblInd w:w="0" w:type="dxa"/>
        <w:tblLayout w:type="fixed"/>
        <w:tblCellMar>
          <w:top w:w="28" w:type="dxa"/>
          <w:left w:w="28" w:type="dxa"/>
          <w:bottom w:w="28" w:type="dxa"/>
          <w:right w:w="28" w:type="dxa"/>
        </w:tblCellMar>
      </w:tblPr>
      <w:tblGrid>
        <w:gridCol w:w="1136"/>
        <w:gridCol w:w="996"/>
        <w:gridCol w:w="1003"/>
        <w:gridCol w:w="249"/>
        <w:gridCol w:w="727"/>
        <w:gridCol w:w="128"/>
        <w:gridCol w:w="128"/>
        <w:gridCol w:w="128"/>
        <w:gridCol w:w="128"/>
        <w:gridCol w:w="249"/>
        <w:gridCol w:w="816"/>
        <w:gridCol w:w="128"/>
        <w:gridCol w:w="109"/>
        <w:gridCol w:w="109"/>
        <w:gridCol w:w="109"/>
        <w:gridCol w:w="248"/>
        <w:gridCol w:w="724"/>
        <w:gridCol w:w="128"/>
        <w:gridCol w:w="128"/>
        <w:gridCol w:w="128"/>
        <w:gridCol w:w="128"/>
        <w:gridCol w:w="248"/>
        <w:gridCol w:w="724"/>
        <w:gridCol w:w="181"/>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(benefit)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expense (benefit)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for the nine months ended September 30, 2022 includes $1.7 million of Canadian withholding tax on the repatriation of $65.0 million of unremitted earnings from Canada to the United States. The increase in income tax expense for three months ended September 30, 2023 is due to an increase in the income before taxes for both the U.S. and Canadian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asset as of September 30, 2023 relate to foreign net operating losses. The significant components of the Company's total deferred tax liability at December 31, 2022 relate to the tax effects of the basis difference between the intangible assets acquired in its acquisitions for financial reporting and for tax purposes along with basis differences arising from accelerated tax depreciation of fixed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recorded to the extent it is more likely than not that some portion or all of the deferred tax assets will not be realized. A full valuation allowance was recorded on the Company’s U.S. deferred tax assets as of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9.    Income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outstanding common stock options, unvested restricted stock, and unvested performance stock units representing 2,027 shares and 2,048 shares, respectively, were excluded from the computation of diluted earnings per share as their inclusion would have been anti-dilutive. For the nine months ended September 30, 2022 outstanding common stock options, unvested restricted stock, and unvested performance stock units representing 1,734 shares, were excluded from the computation of diluted loss per share as their inclusion would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For the nine months ended September 30, 2022, outstanding common stock options, unvested restricted stock, and unvested performance stock units representing, 383 were excluded from the computation of diluted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pPr>
      <w:r>
        <w:rPr>
          <w:rFonts w:ascii="Times New Roman;sans-serif" w:hAnsi="Times New Roman;sans-serif"/>
          <w:b/>
          <w:color w:val="000000"/>
          <w:sz w:val="18"/>
        </w:rPr>
        <w:t>10.    </w:t>
      </w:r>
      <w:r>
        <w:rPr>
          <w:rFonts w:ascii="Times New Roman;sans-serif" w:hAnsi="Times New Roman;sans-serif"/>
          <w:b/>
          <w:color w:val="000000"/>
          <w:sz w:val="20"/>
        </w:rPr>
        <w:t>Stockholders’ Equity</w:t>
      </w:r>
    </w:p>
    <w:p>
      <w:pPr>
        <w:pStyle w:val="TextBody"/>
        <w:bidi w:val="0"/>
        <w:spacing w:lineRule="auto" w:line="288" w:before="120" w:after="283"/>
        <w:jc w:val="both"/>
        <w:rPr/>
      </w:pPr>
      <w:r>
        <w:rPr>
          <w:rFonts w:ascii="Times New Roman;sans-serif" w:hAnsi="Times New Roman;sans-serif"/>
          <w:b w:val="false"/>
          <w:i/>
          <w:color w:val="000000"/>
          <w:sz w:val="20"/>
        </w:rPr>
        <w:t>Reconciliation of the changes in stockholder's equity for the three and nine months ended September 30, 2023 and 2022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92"/>
        <w:gridCol w:w="711"/>
        <w:gridCol w:w="713"/>
        <w:gridCol w:w="224"/>
        <w:gridCol w:w="224"/>
        <w:gridCol w:w="228"/>
        <w:gridCol w:w="109"/>
        <w:gridCol w:w="109"/>
        <w:gridCol w:w="109"/>
        <w:gridCol w:w="211"/>
        <w:gridCol w:w="406"/>
        <w:gridCol w:w="109"/>
        <w:gridCol w:w="109"/>
        <w:gridCol w:w="109"/>
        <w:gridCol w:w="109"/>
        <w:gridCol w:w="211"/>
        <w:gridCol w:w="826"/>
        <w:gridCol w:w="109"/>
        <w:gridCol w:w="109"/>
        <w:gridCol w:w="109"/>
        <w:gridCol w:w="109"/>
        <w:gridCol w:w="244"/>
        <w:gridCol w:w="857"/>
        <w:gridCol w:w="128"/>
        <w:gridCol w:w="109"/>
        <w:gridCol w:w="109"/>
        <w:gridCol w:w="109"/>
        <w:gridCol w:w="211"/>
        <w:gridCol w:w="862"/>
        <w:gridCol w:w="109"/>
        <w:gridCol w:w="109"/>
        <w:gridCol w:w="109"/>
        <w:gridCol w:w="109"/>
        <w:gridCol w:w="211"/>
        <w:gridCol w:w="826"/>
        <w:gridCol w:w="158"/>
      </w:tblGrid>
      <w:tr>
        <w:trPr/>
        <w:tc>
          <w:tcPr>
            <w:tcW w:w="9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 xml:space="preserve">Comprehensive </w:t>
              <w:br/>
              <w:t xml:space="preserve">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options</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404,885 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911"/>
        <w:gridCol w:w="619"/>
        <w:gridCol w:w="621"/>
        <w:gridCol w:w="360"/>
        <w:gridCol w:w="361"/>
        <w:gridCol w:w="228"/>
        <w:gridCol w:w="109"/>
        <w:gridCol w:w="109"/>
        <w:gridCol w:w="109"/>
        <w:gridCol w:w="211"/>
        <w:gridCol w:w="406"/>
        <w:gridCol w:w="109"/>
        <w:gridCol w:w="109"/>
        <w:gridCol w:w="109"/>
        <w:gridCol w:w="109"/>
        <w:gridCol w:w="211"/>
        <w:gridCol w:w="826"/>
        <w:gridCol w:w="109"/>
        <w:gridCol w:w="109"/>
        <w:gridCol w:w="109"/>
        <w:gridCol w:w="109"/>
        <w:gridCol w:w="244"/>
        <w:gridCol w:w="855"/>
        <w:gridCol w:w="128"/>
        <w:gridCol w:w="109"/>
        <w:gridCol w:w="109"/>
        <w:gridCol w:w="109"/>
        <w:gridCol w:w="211"/>
        <w:gridCol w:w="857"/>
        <w:gridCol w:w="109"/>
        <w:gridCol w:w="109"/>
        <w:gridCol w:w="109"/>
        <w:gridCol w:w="109"/>
        <w:gridCol w:w="211"/>
        <w:gridCol w:w="826"/>
        <w:gridCol w:w="157"/>
      </w:tblGrid>
      <w:tr>
        <w:trPr/>
        <w:tc>
          <w:tcPr>
            <w:tcW w:w="9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options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11.    Business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on the basis of products and services under a new organizational structure.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segments into one operating segment with sales, marketing, product development and research teams covering all product lines and reporting to a Chief Product Officer. Resources are allocated and performance is assessed on a consolidated basis by the Company's Chief Executive Officer, whom the Company has determined to be its Chief Operating Decision Maker ("CODM"). The CODM reviews the business based on individual product success. Therefore, the Company's historical reportable segments, Diagnostics and Molecular Solutions are now considered one reportable segment and there will no longer be a distinction between Diagnostics and Molecular Solutions, only the Company holistically.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pStyle w:val="TextBody"/>
        <w:bidi w:val="0"/>
        <w:spacing w:before="120" w:after="283"/>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has appealed the grant of summary judgment to the Court of Appeal on June 8, 2023. Second, the District Court denied Spectrum’s motion to amend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Both parties have filed motions seeking sanctions in the District Court. Those motions remain pending. DNAG filed its opening appellate brief on September 28, 2023. Spectrum’s responsive appellate brief is due December 22, 2023. Oral argument in the appeal has not been scheduled. An inter partes review is currently pending before the PTO regarding the second asserted patent. Oral argument in the inter partes review is currently scheduled for November 14, 2023. On September 15, 2023, Spectrum filed a petition for inter partes review of a third patent, which DNAG did not assert in the District Court. An optional preliminary patent owner response is due in December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2022 filed with the Securities and Exchange Commission on March 3, 2023.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2022 and the “Risk Factors” section of subsequent Quarterly Reports on Form 10-Q, the Company's actual results or timing of certain events could differ materially from the results or timing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OraSure Technologies transforms health through powerful insight by providing access to accurate, essential information. In 2022, the Company's business consisted of two segments: its “Diagnostics” segment, and its “Molecular Solutions” segment. In February 2023, the Company announced a corporate restructuring to combine the commercial and innovation teams across the two segments into one business unit with sales, marketing, product development, and research teams covering multiple product lines. This change is intended to accelerate innovation, enhance customer experience and result in operational synergies.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Company's business consists of the development, manufacture, marketing, and sale of simple, easy to use diagnostic products and specimen collection devices using the Company's proprietary technologies, as well as other diagnostic products including immunoassays and other </w:t>
      </w:r>
      <w:r>
        <w:rPr>
          <w:rFonts w:ascii="Times New Roman;sans-serif" w:hAnsi="Times New Roman;sans-serif"/>
          <w:b w:val="false"/>
          <w:i/>
          <w:color w:val="000000"/>
          <w:sz w:val="20"/>
        </w:rPr>
        <w:t xml:space="preserve">in vitro </w:t>
      </w:r>
      <w:r>
        <w:rPr>
          <w:rFonts w:ascii="Times New Roman;sans-serif" w:hAnsi="Times New Roman;sans-serif"/>
          <w:b w:val="false"/>
          <w:color w:val="000000"/>
          <w:sz w:val="20"/>
        </w:rPr>
        <w:t xml:space="preserve">diagnostic tests that are used on other specimen types. The Company's diagnostic products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market in the U.S. and, in the case of the HIV product, as a self-test to individuals in a number of other countries.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also includes molecular collection kits and services used by clinical laboratories, direct-to-consumer laboratories, researchers, pharmaceutical companies, and animal health service and product providers. These revenues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analytical services for both genomics and microbiome customers to more fully meet their needs. These services are primarily provided to pharmaceutical, biotech companies, and research institutions.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 compared to September 30, 2022.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an outline of total consolidated net revenues (dollars in thousands) for the three months ended September 30, 2023 and 2022:</w:t>
      </w:r>
    </w:p>
    <w:tbl>
      <w:tblPr>
        <w:tblW w:w="9964" w:type="dxa"/>
        <w:jc w:val="left"/>
        <w:tblInd w:w="0" w:type="dxa"/>
        <w:tblLayout w:type="fixed"/>
        <w:tblCellMar>
          <w:top w:w="28" w:type="dxa"/>
          <w:left w:w="28" w:type="dxa"/>
          <w:bottom w:w="28" w:type="dxa"/>
          <w:right w:w="28" w:type="dxa"/>
        </w:tblCellMar>
      </w:tblPr>
      <w:tblGrid>
        <w:gridCol w:w="1150"/>
        <w:gridCol w:w="1013"/>
        <w:gridCol w:w="1017"/>
        <w:gridCol w:w="211"/>
        <w:gridCol w:w="721"/>
        <w:gridCol w:w="109"/>
        <w:gridCol w:w="109"/>
        <w:gridCol w:w="109"/>
        <w:gridCol w:w="109"/>
        <w:gridCol w:w="211"/>
        <w:gridCol w:w="826"/>
        <w:gridCol w:w="109"/>
        <w:gridCol w:w="109"/>
        <w:gridCol w:w="109"/>
        <w:gridCol w:w="109"/>
        <w:gridCol w:w="218"/>
        <w:gridCol w:w="218"/>
        <w:gridCol w:w="483"/>
        <w:gridCol w:w="109"/>
        <w:gridCol w:w="109"/>
        <w:gridCol w:w="109"/>
        <w:gridCol w:w="241"/>
        <w:gridCol w:w="225"/>
        <w:gridCol w:w="524"/>
        <w:gridCol w:w="210"/>
        <w:gridCol w:w="210"/>
        <w:gridCol w:w="210"/>
        <w:gridCol w:w="241"/>
        <w:gridCol w:w="225"/>
        <w:gridCol w:w="61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 Revenues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Diagnostics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Diagnostics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Molecular Products</w:t>
            </w:r>
            <w:r>
              <w:rPr>
                <w:color w:val="000000"/>
              </w:rPr>
              <w:t xml:space="preserve">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products and services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Molecular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HIV and HCV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Risk assessment testing and other product and services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Non-product and services revenues include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revenues decreased 23% to $89.2 million for the three months ended September 30, 2023 from $116.5 million for the three months ended September 30, 2022. </w:t>
      </w:r>
    </w:p>
    <w:p>
      <w:pPr>
        <w:pStyle w:val="TextBody"/>
        <w:bidi w:val="0"/>
        <w:spacing w:lineRule="auto" w:line="288" w:before="240" w:after="283"/>
        <w:jc w:val="both"/>
        <w:rPr/>
      </w:pPr>
      <w:r>
        <w:rPr>
          <w:rFonts w:ascii="Times New Roman;sans-serif" w:hAnsi="Times New Roman;sans-serif"/>
          <w:b w:val="false"/>
          <w:color w:val="000000"/>
          <w:sz w:val="20"/>
        </w:rPr>
        <w:t>COVID-19 Diagnostics revenues decreased by 37% to $50.1 million for the three months ended September 30, 2023 compared to $79.6 million in three months ended September 30, 2022 due to decreased sales of the Company's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tests through its U.S. government procurement contracts. We expect this decline in revenue to continue in the fourth quarter but at a lower 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Diagnostics products increased 59% to $19.6 million for the three months ended September 30, 2023 from $12.3 million for the three months ended September 30,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international markets due to customer ordering patterns.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Products revenues decreased 4% to $15.2 million for the three months ended September 30, 2023 from $15.8 million for the three months ended September 30, 2022. Sales of the Company's Molecular Products are being impacted by macro-economic factors in the markets in which its customers operate and as a result, one of the Company's larger customers scaled down purchasing after they reorganized their business. These declines in revenues were partially offset by new customer sales in the animal and genetic testing markets.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products and services revenues increased 13% to $3.2 million for the three months ended September 30, 2023 from $2.8 million for the three months ended September 30,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Molecular Services revenues, which are largely derived from the Company's laboratory services, decreased 57% to $0.8 million for the three months ended September 30, 2023 from $2.0 million for the three months ended September 30, 2022. The decrease in services revenues was largely due to completion of a large customer's clinical trial project and increased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COVID-19 Molecular Products collection kits decreased by 85% to $0.05 million for the three months ended September 30, 2023 from $0.4 million for the three months ended September 30, 2022 due to decline in demand for COVID PCR testing given the availability of rapid antigen tests.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Non-Product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Non-product and services revenues decreased 95% to $0.2 million for the three months ended September 30, 2023 from $3.6 million for the three months ended September 30, 2022 as a result lower funding for research and development activities and lower royalty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120" w:after="283"/>
        <w:jc w:val="both"/>
        <w:rPr/>
      </w:pPr>
      <w:r>
        <w:rPr>
          <w:rFonts w:ascii="Times New Roman;sans-serif" w:hAnsi="Times New Roman;sans-serif"/>
          <w:b w:val="false"/>
          <w:color w:val="000000"/>
          <w:sz w:val="20"/>
        </w:rPr>
        <w:t>Consolidated gross profit margin increased to 49.7% for the three months ended September 30, 2023 from 39.9% for the three months ended September 30, 2022. This increase in margins was driven by InteliSwab® sales which generated higher margins due to reduced costs associated with manufacturing efficiencies and a packaging change implemented during the first quarter of 2023</w:t>
      </w:r>
      <w:r>
        <w:rPr>
          <w:rFonts w:ascii="Times New Roman;sans-serif" w:hAnsi="Times New Roman;sans-serif"/>
          <w:b w:val="false"/>
          <w:color w:val="000000"/>
          <w:sz w:val="20"/>
          <w:shd w:fill="FFFFFF" w:val="clear"/>
        </w:rPr>
        <w:t xml:space="preserve">. Also contributing to improved margins is </w:t>
      </w:r>
      <w:r>
        <w:rPr>
          <w:rFonts w:ascii="Times New Roman;sans-serif" w:hAnsi="Times New Roman;sans-serif"/>
          <w:b w:val="false"/>
          <w:color w:val="000000"/>
          <w:sz w:val="20"/>
        </w:rPr>
        <w:t xml:space="preserve">lower product scrap expense, and improved overhead absorption. These improvement in margins were partially offset by a decrease in non-product revenues which contribute 100% to gross margin. Gross margins in the fourth quarter to are expected to moderate and not remain at this level due to product mix shifts, including the anticipated reduction in InteliSwab volume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for the three months ended September 30, 2023 was $10.9 million, a $10.0 million improvement from the $0.9 million operating income reported for the three months ended September 30, 2022. Results for the three months ended September 30, 2023 were positively impacted by lower operating expense and impairment losses. Results for the three months ended September 30, 2022 included $6.6 million of impairment losses compared to $6.2 million for the three months ended September 30, 2023. Impairment losses in the third quarter of 2023 were comprised of intangible impairments whereas impairment in the third quarter of 2022 was associated with idle manufacturing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 the third quarter of 2023, excluding the impairment charge, decreased $11.8 million compared to the third quarter of 2022 reflecting the impact of the Company's cost saving measures and headcount reductions.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16% to $8.5 million for the three months ended September 30, 2023 from $10.1 million for the three months ended September 30, 2022 largely due a decrease in spend on COVID-19 product development, a decrease in employee costs associated with a reduction in headcount, and lower spending on lab supplies.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35% to $8.7 million for the three months ended September 30, 2023 from $13.5 million for the three months ended September 30, 2022 due to lower employee costs associated with a decrease in headcount, decreased spend on advertising and consulting fees and a decrease in our provision for uncollectible accounts.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35% to $10.1 million for the three months ended September 30, 2023 from $15.5 million for the three months ended September 30, 2022 largely due to a decrease in legal fees as well as lower sales tax penalties, lower staffing costs due to a reduction in headcount, and lower project management fees related to our $109 million manufacturing expansion contract.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above contributed to the Company's operating income of $10.9 million for the three months ended September 30, 2023, which included a non-cash impairment charge of $6.2 million, non-cash charges of $3.4 million for depreciation and amortization, and $2.6 million for stock-based compensation. The Company's operating income of $0.9 million for the three months ended September 30, 2022 included a non-cash impairment charge of $6.6 million, non-cash charges of $3.9 million for depreciation and amortization, and $2.3 million for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three months ended September 30, 2023 was $2.6 million compared to $3.6 million for the three months ended September 30, 2022. This decrease is largely due to lower foreign currency gains offset by higher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believe the full valuation allowance established against its total U.S. deferred tax asset is appropriate as the facts and circumstances necessitating the allowance have not changed. For the three months ended September 30, 2023, the Company recorded U.S. state income tax expense of $1.1 million compared to $40.0 thousand benefit for the three months ended September 30, 2022 and a foreign tax expense of $1.2 million for the three months ended September 30, 2023 compared to $1.1 million benefit for the three months ended September 30, 2022. The overall increase in tax expense is associated with a projected increase in earnings in both the U.S. and in Canada.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 compared to September 30, 2022.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an outline of total consolidated net revenues (dollars in thousands) for the nine months ended September 30, 2023 and 2022:</w:t>
      </w:r>
    </w:p>
    <w:tbl>
      <w:tblPr>
        <w:tblW w:w="10084" w:type="dxa"/>
        <w:jc w:val="left"/>
        <w:tblInd w:w="0" w:type="dxa"/>
        <w:tblLayout w:type="fixed"/>
        <w:tblCellMar>
          <w:top w:w="28" w:type="dxa"/>
          <w:left w:w="28" w:type="dxa"/>
          <w:bottom w:w="28" w:type="dxa"/>
          <w:right w:w="28" w:type="dxa"/>
        </w:tblCellMar>
      </w:tblPr>
      <w:tblGrid>
        <w:gridCol w:w="1150"/>
        <w:gridCol w:w="1013"/>
        <w:gridCol w:w="1017"/>
        <w:gridCol w:w="211"/>
        <w:gridCol w:w="826"/>
        <w:gridCol w:w="109"/>
        <w:gridCol w:w="109"/>
        <w:gridCol w:w="109"/>
        <w:gridCol w:w="109"/>
        <w:gridCol w:w="211"/>
        <w:gridCol w:w="826"/>
        <w:gridCol w:w="109"/>
        <w:gridCol w:w="109"/>
        <w:gridCol w:w="109"/>
        <w:gridCol w:w="109"/>
        <w:gridCol w:w="218"/>
        <w:gridCol w:w="218"/>
        <w:gridCol w:w="483"/>
        <w:gridCol w:w="109"/>
        <w:gridCol w:w="109"/>
        <w:gridCol w:w="109"/>
        <w:gridCol w:w="241"/>
        <w:gridCol w:w="225"/>
        <w:gridCol w:w="524"/>
        <w:gridCol w:w="210"/>
        <w:gridCol w:w="210"/>
        <w:gridCol w:w="210"/>
        <w:gridCol w:w="271"/>
        <w:gridCol w:w="210"/>
        <w:gridCol w:w="61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 Revenues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Diagnostics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Diagnostics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Molecular Products</w:t>
            </w:r>
            <w:r>
              <w:rPr>
                <w:color w:val="000000"/>
              </w:rPr>
              <w:t xml:space="preserve">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products and services </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Molecular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HIV and HCV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Risk assessment testing and other product and services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Non-product and services revenues include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product and services revenues increased 25% to $329.6 million for the nine months ended September 30, 2023 from $264.4 million for the nine months ended September 30,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COVID-19 Diagnostics revenues increased 49% to $215.9 million for the nine months ended September 30, 2023 compared to $144.8 million for the nine months ended September 30, 2022 due to increased sales of the Company's InteliSwab® tests through its government procurement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Diagnostics products increased 50% to $56.5 million for the nine months ended September 30, 2023 from $37.8 million for the nine months ended September 30,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international markets.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Molecular Products revenues decreased 20% to $41.2 million for the nine months ended September 30, 2023 from $51.3 million for the nine months ended September 30, 2022. Sales of the Company's Molecular Products are being impacted by macro-economic factors in the markets in which its customers operate and customer ordering patterns. These declines in revenue are being partially offset by new customer revenues in the animal, pharma, and genetic testing markets.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products and services revenues increased 4% to $9.3 million for the nine months ended September 30, 2023 from $8.9 million for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Services revenues, which are largely derived from the Company's laboratory services, decreased 27% to $3.6 million for the nine months ended September 30, 2023 from $4.9 million for the nine months ended September 30, 2022. The decline in services revenues was the result of the loss of two customers in 2022 : one customer ceased operations in 2022 and the other deprioritized microbiome studies coupled with the completion of certain large clinical trial studies and timing of research studies.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COVID-19 Molecular Products collection kits decreased significantly by 97% to $0.2 million for the nine months ended September 30, 2023 from $9.5 million for the nine months ended September 30, 2022 due to decline in demand for COVID PCR testing given the availability of rapid antigen tests.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Non-Product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Non-product and services revenues decreased 59% to $2.9 million for the nine months ended September 30, 2023 from $7.2 million for the nine months ended September 30, 2022 as a result of lower funding received on research and development activities and lower royalty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120" w:after="283"/>
        <w:jc w:val="both"/>
        <w:rPr/>
      </w:pPr>
      <w:r>
        <w:rPr>
          <w:rFonts w:ascii="Times New Roman;sans-serif" w:hAnsi="Times New Roman;sans-serif"/>
          <w:b w:val="false"/>
          <w:color w:val="000000"/>
          <w:sz w:val="20"/>
        </w:rPr>
        <w:t>Consolidated gross profit margin increased to 41.4% for the nine months ended September 30, 2023 from 37.3% for the nine months ended September 30, 2022. This improvement in margins was driven by InteliSwab® sales which generated higher margins due to reduced costs associated with improved manufacturing efficiencies and a packaging change implemented during the first quarter of 2023,</w:t>
      </w:r>
      <w:r>
        <w:rPr>
          <w:color w:val="000000"/>
          <w:shd w:fill="FFFFFF" w:val="clear"/>
        </w:rPr>
        <w:t xml:space="preserve"> </w:t>
      </w:r>
      <w:r>
        <w:rPr>
          <w:rFonts w:ascii="Times New Roman;sans-serif" w:hAnsi="Times New Roman;sans-serif"/>
          <w:b w:val="false"/>
          <w:color w:val="000000"/>
          <w:sz w:val="20"/>
          <w:shd w:fill="FFFFFF" w:val="clear"/>
        </w:rPr>
        <w:t>and lower freight charges.</w:t>
      </w:r>
      <w:r>
        <w:rPr>
          <w:color w:val="000000"/>
        </w:rPr>
        <w:t xml:space="preserve"> </w:t>
      </w:r>
      <w:r>
        <w:rPr>
          <w:rFonts w:ascii="Times New Roman;sans-serif" w:hAnsi="Times New Roman;sans-serif"/>
          <w:b w:val="false"/>
          <w:color w:val="000000"/>
          <w:sz w:val="20"/>
        </w:rPr>
        <w:t xml:space="preserve">Lower product scrap expense in 2023 compared to 2022 also contributed to the margins improvement. These improved margins were partially offset by $7.0 million of accelerated depreciation recorded in the second quarter of 2023 associated with the wind-down of InteliSwab® manual assembly in Thailand as the Company on-shores and automates the manufacturing of this product at its Pennsylvania facilities and lower COVID-19 Molecular Products revenue which historically generated higher margins.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for the nine months ended September 30, 2023 was $28.8 million, a $65.6 million improvement from the $36.8 million operating loss reported for the nine months ended September 30, 2022. Results for the nine months ended September 30, 2023 were positively impacted by the increase in revenues and gross margins described above and were positively impacted by reduced operating expense and lower impairment losses. Results for the nine months ended September 30, 2022 included $17.1 million of impairment losses compared to $7.5 million for the nine months ended September 30,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 the nine months ended September 30, 2023, excluding the impairment charges, decreased $18.0 million compared to the nine months ended September 30,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to $26.7 million for the nine months ended September 30, 2023 from $28.2 million for the nine months ended September 30, 2022, largely due to a decline in spend on COVID-19 development and lower staffing costs due to a decrease in headcount, partially offset by increased engineering consulting spend associated with our $109 million manufacturing expansion contract.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22% to $29.4 million for the nine months ended September 30, 2023 from $37.9 million for the nine months ended September 30, 2022 due to decreased employee costs associated with the reduction in headcount, a decrease in the Company's reserve for expected credit losses and lower advertising, marketing, sales meeting, and consulting spend.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15% to $44.2 million for the nine months ended September 30, 2023 from $52.3 million for the nine months ended September 30, 2022 largely due a decrease in consulting fees, lower project management fees associated with the $109 million DOD manufacturing expansion contract, lower employee costs associated with lower headcount, severance, stock compensation expense and recruitment fees. In the first nine months of 2022, the Company incurred high severance and stock compensation expense associated with the accelerated vesting of shares under the Company's former CEO's and general counsel's employment agreements and higher recruitment expense associated with the new CEO search. Also contributing to the decrease in expense was lower consulting fees, lower board of director fees, due to fewer board members, and lower sales tax penalties. These decreases in expense were partially offset by increased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above contributed to the Company's operating income of $28.8 million for the nine months ended September 30, 2023, which included non-cash impairment charges of $7.5 million largely related to equipment that will no longer be used in production and intangible asset impairment, non-cash charges of $17.4 million for depreciation and amortization, and $7.6 million for stock-based compensation. The Company's operating loss of $36.8 million for the nine months ended September 30, 2022 included a non-cash impairment charge of $17.1 million, non-cash charges of $11.4 million for depreciation and amortization, and $9.1 million for stock-based compensation.</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nine months ended September 30, 2023 was $6.8 million compared to $5.5 million for the nine months ended September 30, 2022. This increase is largely due to higher interest income and higher reimbursement of costs incurred under the Company's DOD expansion contract which are presented in research and development expenses offset by lower foreign currency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INCOME TAXES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believe the full valuation allowance established against its total U.S. deferred tax asset is appropriate as the facts and circumstances necessitating the allowance have not changed. For the nine months ended September 30, 2023, the Company recorded U.S. state tax expense of $2.4 million, and a foreign tax benefit of $0.4 million. For the the nine months ended September 30, 2022, the Company recorded U.S. state tax expense of $0.4 million, a foreign tax benefit of $0.4 million, and foreign withholding tax of $1.7 million associated with the Company's repatriation of $65.0 million of cash from Canada to the United States. The 2023 U.S. state tax expense is higher due to higher expected US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tbl>
      <w:tblPr>
        <w:tblW w:w="5802" w:type="dxa"/>
        <w:jc w:val="left"/>
        <w:tblInd w:w="0" w:type="dxa"/>
        <w:tblLayout w:type="fixed"/>
        <w:tblCellMar>
          <w:top w:w="28" w:type="dxa"/>
          <w:left w:w="28" w:type="dxa"/>
          <w:bottom w:w="28" w:type="dxa"/>
          <w:right w:w="28" w:type="dxa"/>
        </w:tblCellMar>
      </w:tblPr>
      <w:tblGrid>
        <w:gridCol w:w="864"/>
        <w:gridCol w:w="758"/>
        <w:gridCol w:w="763"/>
        <w:gridCol w:w="284"/>
        <w:gridCol w:w="1114"/>
        <w:gridCol w:w="147"/>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and available-for-sale securities increased to $224.9 million at September 30, 2023 from $110.8 million at December 31, 2022. $78.9 million or 35% of the $224.9 million in cash and cash equivalents is held by DNAG, the Company's Canadian subsidiary. In 2022, the Company repatriated $65.0 million of cash into the United States and incurred $1.7 million of Canadian withholding tax. Further repatriation of cash from Canada into the United States could have additional adverse tax consequences. It is still the Company's intention going forward to continue to permanently reinvest the historical undistributed earnings of the Company's foreign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working capital increased to $315.5 million at September 30, 2023 from $256.1 million at December 31, 2022. Working capital increased primarily due to the increase in cash and cash equivalents and lower accounts payable balances. Working capital is primarily a function of sales, purchase volumes, inventory requirements, and vendor payment terms.</w:t>
      </w:r>
    </w:p>
    <w:p>
      <w:pPr>
        <w:pStyle w:val="TextBody"/>
        <w:bidi w:val="0"/>
        <w:spacing w:lineRule="auto" w:line="288" w:before="3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Analysis of the Company's Cash Flows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net cash provided by operating activities was $100.2 million. Cash flows from operations can be significantly impacted by factors such as timing of receipt from customers, inventory purchases, and payments to vendors. The Company's net income of $33.6 million included non-cash charges of depreciation and amortization expense of $17.4 million, stock-based compensation expense of $7.6 million, impairment charges taken for idle equipment and intangible assets of $7.5 million and a non-cash deferred tax benefit of $0.5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120" w:after="283"/>
        <w:jc w:val="both"/>
        <w:rPr/>
      </w:pPr>
      <w:r>
        <w:rPr>
          <w:rFonts w:ascii="Times New Roman;sans-serif" w:hAnsi="Times New Roman;sans-serif"/>
          <w:b w:val="false"/>
          <w:color w:val="000000"/>
          <w:sz w:val="20"/>
        </w:rPr>
        <w:t>Cash provided by the working capital accounts included a decrease in inventory of $36.4 million as the Company fulfilled demand for its InteliSwab® product, a decrease in accounts receivable of $17.5 million largely associated with collections of monies due from the U.S. government for InteliSwab</w:t>
      </w:r>
      <w:r>
        <w:rPr>
          <w:rFonts w:ascii="Times New Roman;sans-serif" w:hAnsi="Times New Roman;sans-serif"/>
          <w:b w:val="false"/>
          <w:color w:val="000000"/>
          <w:sz w:val="9"/>
        </w:rPr>
        <w:t>®</w:t>
      </w:r>
      <w:r>
        <w:rPr>
          <w:color w:val="000000"/>
        </w:rPr>
        <w:t xml:space="preserve"> </w:t>
      </w:r>
      <w:r>
        <w:rPr>
          <w:rFonts w:ascii="Times New Roman;sans-serif" w:hAnsi="Times New Roman;sans-serif"/>
          <w:b w:val="false"/>
          <w:color w:val="000000"/>
          <w:sz w:val="20"/>
        </w:rPr>
        <w:t>shipments, a $10.5 million decrease in prepaid and other assets as the Company received payment of its Employee Retention Credit filed for in 2021 and taxes refunds associated with Canadian income tax returns. Offsetting these increases in cash is a decrease in accounts payable of $25.1 million associated with the timing of payment of vendor invoices and a decrease in accrued expenses of $4.0 million.</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$35.6 million for the nine months ended September 30, 2023, which reflects proceeds from the maturities of investments of $95.0 million, $24.3 million in reimbursement received under the Company's $109 million contract with the U.S. government offset by $74.7 in purchases of investments, $4.5 million to build additional manufacturing capacity as required by the contract, and $4.5 million to acquire property and equipment to support the normal operations of the business.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$2.7 million for the nine months ended September 30, 2023, which is largely comprised of $1.9 million used for the repurchase of common stock to satisfy withholding taxes related to the vesting of restricted shares awarded to the Company's employees.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timing of reimbursement under its $109 million DOD contract,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obligations to make future payments under contracts existing at December 31, 2022 is included in Item 7, Management’s Discussion and Analysis of Financial Condition and Results of Operations, of its Annual Report on Form 10-K for the year ended December 31, 2022. As of September 30, 2023, there were no significant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more detailed review of the Company's critical accounting policies is contained in its Annual Report on Form 10-K for the year ended December 31, 2022 filed with the SEC. No material changes have been made to such critical accounting policies during the nine months ended September 30, 2023.</w:t>
      </w:r>
    </w:p>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assessment of its sensitivity to market risk since its presentation set forth in Item 7A, "Quantitative and Qualitative Disclosures About Market Risk," in its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68" w:before="0" w:after="0"/>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Evaluation of Disclosure Controls and Procedures</w:t>
      </w:r>
      <w:r>
        <w:rPr>
          <w:rFonts w:ascii="Times New Roman;sans-serif" w:hAnsi="Times New Roman;sans-serif"/>
          <w:b w:val="false"/>
          <w:color w:val="000000"/>
          <w:sz w:val="20"/>
        </w:rPr>
        <w:t xml:space="preserve">. We maintain “disclosure controls and procedures,” as defined in Rules 13a-15(e) and Rule 15d-15(e) under the Exchange Act that are designed to ensure that information required to be disclosed by a company in the reports that it files or submits under the Exchange Act is recorded, processed, summarized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with the participation of our Chief Executive Officer and Chief Financial Officer, evaluated the effectiveness of our disclosure controls and procedures as of September 30, 2023. Based on the evaluation of our disclosure controls and procedures as of September 30, 2023, our Chief Executive Officer and Chief Financial Officer concluded that as of such date, our disclosure controls and procedures were not effective due to the existence of the material weakness described below. However, our management, including our Chief Executive Officer and our Chief Financial Officer, has concluded that, notwithstanding the identified material weakness in our internal control over financial reporting, the financial statements in this Quarterly Report fairly present, in all material respects, our financial position, results of operations and cash flows for the periods presented in conformity with U.S. GAAP.</w:t>
      </w:r>
    </w:p>
    <w:p>
      <w:pPr>
        <w:pStyle w:val="TextBody"/>
        <w:bidi w:val="0"/>
        <w:spacing w:before="0" w:after="0"/>
        <w:ind w:left="0" w:right="0" w:firstLine="555"/>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(b) </w:t>
      </w:r>
      <w:r>
        <w:rPr>
          <w:rFonts w:ascii="Times New Roman;sans-serif" w:hAnsi="Times New Roman;sans-serif"/>
          <w:b w:val="false"/>
          <w:color w:val="000000"/>
          <w:sz w:val="20"/>
          <w:u w:val="single"/>
          <w:shd w:fill="FFFFFF" w:val="clear"/>
        </w:rPr>
        <w:t>Material Weakness in Internal Control Over Financial Reporting.</w:t>
      </w:r>
      <w:r>
        <w:rPr>
          <w:color w:val="000000"/>
          <w:shd w:fill="FFFFFF" w:val="clear"/>
        </w:rPr>
        <w:t xml:space="preserve"> </w:t>
      </w:r>
      <w:r>
        <w:rPr>
          <w:rFonts w:ascii="Times New Roman;sans-serif" w:hAnsi="Times New Roman;sans-serif"/>
          <w:b w:val="false"/>
          <w:color w:val="000000"/>
          <w:sz w:val="20"/>
        </w:rPr>
        <w:t>In the third quarter of fiscal 2023, we identified a material weakness in our internal control over financial reporting related to customer pricing in the revenue recognition process.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control related to the validation of accurate pricing in customer sales orders did not operate effectively to detect an error in prices, which resulted in the recognition of revenue at an inaccurate price during the six months ended June 30, 2023. Although the resulting error was not material to those financial statements, we concluded that the control deficiency represents a material weakness. The financial statements for the nine months ended September 30, 2023 were not impacted by this material weakness and are not misstated. A remediation plan is being put in place to correct this control deficiency.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Changes in Internal Control Over Financial Reporting</w:t>
      </w:r>
      <w:r>
        <w:rPr>
          <w:rFonts w:ascii="Times New Roman;sans-serif" w:hAnsi="Times New Roman;sans-serif"/>
          <w:b w:val="false"/>
          <w:color w:val="000000"/>
          <w:sz w:val="20"/>
        </w:rPr>
        <w:t>. Except for the identification of and ongoing steps to remediate the material weakness in our internal control over financial reporting as described above, there was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pStyle w:val="TextBody"/>
        <w:bidi w:val="0"/>
        <w:spacing w:lineRule="auto" w:line="28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Spectrum Patent Litigation</w:t>
      </w:r>
    </w:p>
    <w:p>
      <w:pPr>
        <w:pStyle w:val="TextBody"/>
        <w:bidi w:val="0"/>
        <w:spacing w:lineRule="auto" w:line="264"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has appealed the grant of summary judgment to the Court of Appeal on June 8, 2023. Second, the District Court denied Spectrum’s motion to amend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Both parties have filed motions seeking sanctions in the District Court. Those motions remain pending. DNAG filed its opening appellate brief on September 28, 2023. Spectrum’s responsive appellate brief is due December 22, 2023. Oral argument in the appeal has not been scheduled. An inter partes review is currently pending before the PTO regarding the second asserted patent. Oral argument in the inter partes review is currently scheduled for November 14, 2023. On September 15, 2023, Spectrum filed a petition for inter partes review of a third patent, which DNAG did not assert in the District Court. An optional preliminary patent owner response is due in December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entitled “Risk Factors,” in the Company's Annual Report on Form 10-K for the year ended December 31, 2022, other than as set forth below.</w:t>
      </w:r>
    </w:p>
    <w:p>
      <w:pPr>
        <w:pStyle w:val="TextBody"/>
        <w:bidi w:val="0"/>
        <w:spacing w:before="120" w:after="283"/>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identified a material weakness in our internal control over financial reporting. Failure to remediate such material weakness or any other material weakness that we may identify in the future could result in material misstatements in our financial statements or cause us to fail to meet our periodic reporting obligations.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Sarbanes-Oxley Act of 2002, our management is required to report on, and our independent registered public accounting firm is required to attest to, the effectiveness of our internal control over financial reporting. The rules governing the standards that must be met for management to determine the adequacy of our internal control over financial reporting are complex and require significant documentation, testing, and possible remediation if a deficiency is identified.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in accordance with legal requirements. Any failure to achieve and maintain an effective internal control environment could result in materially misstated consolidated financial statements and a failure to meet our reporting obligations, which would likely cause investors to lose confidence in our reported financial information. This could result in significant expenses to remediate any internal control deficiency and lead to a decline in our stock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identified a material weakness in our internal control over financial reporting related to customer pricing in the revenue recognition process and concluded that our disclosure controls and procedures were not effective due to the existence of the material weakness as of September 30,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weakness will not be remediated until all necessary internal controls have been implemented, tested and determined to be operating effectively. In addition, we may need to take additional measures to address such material weakness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 will not result in a material misstatement of our consolidated financial statements. Moreover, other material weaknesses or deficiencies may develop or be identified in the future. If we are unable to correct material weaknesses or deficiencies in internal controls in a timely manner, our ability to record, process, summarize and report financial information accurately and within the time periods specified in the rules and forms of the SEC, will be adversely affected. This failure could negatively affect the market price and trading liquidity of our common stock, cause investors to lose confidence in our reported financial information, subject us to civil and criminal investigations and penalties, and otherwise have a material adverse effect on our consolidated balance sheet, results of operations or our stock price.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this material weakness, see Item 4, Controls and Procures of Part II in this Quarterly report on Form 10-Q.</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An Impairment of Goodwill Could Reduce the Company's Earnings.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the year, the Company's consider whether any events or changes in the business environment have occurred which indicate that goodwill may be impaired. For example, a significant decline in the closing share price of the Company's common stock and market capitalization may suggest that the fair value of the Company's reporting unit has fallen below its carrying amount, indicating that an interim goodwill impairment test is required. The Company monitors changes in its stock price during interim periods between annual goodwill impairment tests and consider overall stock market conditions, the underlying reasons for the decline in the Company's stock price, the significance of the decline, and the duration of time that the Company's securities have been trading at a lower value.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its annual goodwill impairment assessment as of July 31, 2023 using a quantitative assessment given the volatility in the Company's stock and the decline in its market capitalization. This assessment resulted in no impairment.</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Security Breaches and Other Disruptions Could Compromise Our Information, Expose Us To Liability and Harm Our Reputation and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collect and store sensitive data, including intellectual property, personal information, our proprietary business information and that of our customers, suppliers and business partners, and personally identifiable information of our employees in our data centers and on our networks. Secure maintenance and transmission of this information is critical to our operations business strategy. We generally rely on commercially available systems, software, tools and domestically available monitoring to provide security for processing, transmitting and storing this sensitive date.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could result in unauthorized access to our computer systems or our third-party IT service provider’s systems and, if successful, misappropriate personal or confidential information. We have in the past and may in the future experience phishing and other security incidents, and such attacks are an ongoing threat. Due to the nature of some of these attacks, there is a risk that they may remain undetected for a period of time. If successful, these activities could lead to service interruptions, extortion, theft of confidential, personal or proprietary information, the compromise of data integrity or unauthorized information disclosure. Any technology service interruption or breach of our systems could adversely affect our business operations and/or result in the loss of personal data, confidential information or intellectual property. Such incidents could require disclosure to government authorities and/or regulators and could require notification to impacted individuals and any incident could result in financial, legal, business and reputational harm to us. We maintain cyber liability insurance; however, this insurance may not be sufficient to cover the financial, legal, business or reputational losses that may result from an interruption or breach of our systems.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outsourced significant elements of our IT infrastructure and, as a result, we manage relationships with third-party providers who may or could have access to our confidential information. We rely on technology developed, supplied and/or maintained by third-parties that may make us vulnerable to “supply chain” style cyber-attacks. Further, technology and security vulnerabilities of acquisitions, business partners or third-party providers may not be identified during due diligence or soon enough to mitigate exploitation. The size and complexity of our IT and information security systems, and those of our third-party providers (and the large amounts of confidential information that is present on them), make such systems potentially vulnerable to service interruptions or to security breaches from inadvertent or intentional actions by, but not limited to, our employees, service providers, business partners, customers or malicious attackers. In addition, a contractor or other third party with whom we do business may attempt to circumvent our security measures or obtain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and may purposefully or inadvertently cause a breach involving sensitive information. While we will continue to evaluate and implement additional protective measures to reduce the risk and detect cyber incidents, cyberattacks are becoming more sophisticated and frequent and the techniques used in such attacks change rapidly. Despite our cybersecurity measures (including employee and third-party training, monitoring of networks and systems and maintenance of back up of protective systems) which are continuously reviewed and upgraded, our information technology networks and infrastructure may still be vulnerable to damage, disruptions or shutdowns due to attack by hackers or breaches, voyeur or malfeasance.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the most well protected IT networks, systems and facilities remain potentially vulnerable because the techniques used in attempted security breaches are continually evolving and generally are not recognized until launched against a target or, in some cases, are designed not to be detected and, in fact, may not be detected. Any such compromise of our or our third party’s IT service providers’ data security and access, public disclosure, or loss of personal or confidential business information, could result in legal claims and proceedings, liability under laws to protect privacy of personal information, and regulatory penalties, and could disrupt our operations, require significant management attention and resources to remedy any damages that result, and damage our reputation and customers willingness to transact business with us, any of which could adversely affect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our activities continue to evolve and expand, we may be subject to additional laws which impose further restrictions on the transfer, access, use, and disclosure of health and other personal information which may impact our business either directly or indirectly. Our failure to comply with applicable privacy or security laws or significant changes in these laws could significantly impact our business and future business plans.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bl>
      <w:tblPr>
        <w:tblW w:w="10205" w:type="dxa"/>
        <w:jc w:val="left"/>
        <w:tblInd w:w="0" w:type="dxa"/>
        <w:tblLayout w:type="fixed"/>
        <w:tblCellMar>
          <w:top w:w="28" w:type="dxa"/>
          <w:left w:w="28" w:type="dxa"/>
          <w:bottom w:w="28" w:type="dxa"/>
          <w:right w:w="28" w:type="dxa"/>
        </w:tblCellMar>
      </w:tblPr>
      <w:tblGrid>
        <w:gridCol w:w="1001"/>
        <w:gridCol w:w="747"/>
        <w:gridCol w:w="750"/>
        <w:gridCol w:w="109"/>
        <w:gridCol w:w="109"/>
        <w:gridCol w:w="109"/>
        <w:gridCol w:w="471"/>
        <w:gridCol w:w="443"/>
        <w:gridCol w:w="445"/>
        <w:gridCol w:w="109"/>
        <w:gridCol w:w="109"/>
        <w:gridCol w:w="109"/>
        <w:gridCol w:w="109"/>
        <w:gridCol w:w="109"/>
        <w:gridCol w:w="109"/>
        <w:gridCol w:w="291"/>
        <w:gridCol w:w="705"/>
        <w:gridCol w:w="150"/>
        <w:gridCol w:w="109"/>
        <w:gridCol w:w="109"/>
        <w:gridCol w:w="109"/>
        <w:gridCol w:w="464"/>
        <w:gridCol w:w="464"/>
        <w:gridCol w:w="466"/>
        <w:gridCol w:w="109"/>
        <w:gridCol w:w="109"/>
        <w:gridCol w:w="109"/>
        <w:gridCol w:w="731"/>
        <w:gridCol w:w="595"/>
        <w:gridCol w:w="847"/>
      </w:tblGrid>
      <w:tr>
        <w:trPr/>
        <w:tc>
          <w:tcPr>
            <w:tcW w:w="100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Maximum number (or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 value)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 shares that may yet be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repurchased under the plans</w:t>
            </w:r>
          </w:p>
          <w:p>
            <w:pPr>
              <w:pStyle w:val="TableContents"/>
              <w:bidi w:val="0"/>
              <w:spacing w:lineRule="auto" w:line="240" w:before="0" w:after="0"/>
              <w:jc w:val="center"/>
              <w:rPr/>
            </w:pPr>
            <w:r>
              <w:rPr>
                <w:rFonts w:ascii="Times New Roman;sans-serif" w:hAnsi="Times New Roman;sans-serif"/>
                <w:b/>
                <w:color w:val="000000"/>
                <w:sz w:val="20"/>
              </w:rPr>
              <w:t xml:space="preserve">or programs </w:t>
            </w:r>
            <w:r>
              <w:rPr>
                <w:rFonts w:ascii="Times New Roman;sans-serif" w:hAnsi="Times New Roman;sans-serif"/>
                <w:b/>
                <w:color w:val="000000"/>
                <w:sz w:val="13"/>
              </w:rPr>
              <w:t>(1, 2)</w:t>
            </w:r>
          </w:p>
        </w:tc>
      </w:tr>
      <w:tr>
        <w:trPr/>
        <w:tc>
          <w:tcPr>
            <w:tcW w:w="2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(1)On August 5, 2008, the Company's Board of Directors approved a share repurchase program pursuant to which the Company is permitted to acquire up to $25.0 million of outstanding shares. This share repurchase program may be discontinued at any time.</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(2)This column represents the amount that remains available under the $25.0 million repurchase plan, as of the period indicated. The Company has made no commitment to purchase any shares under this plan.</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(3)Pursuant to the OraSure Technologies, Inc. Stock Award Plan, and in connection with the vesting of restricted and performance shares, these shares were retired to satisfy minimum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2665"/>
        <w:gridCol w:w="2665"/>
        <w:gridCol w:w="377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30930xexx311.htm">
              <w:r>
                <w:rPr>
                  <w:rStyle w:val="InternetLink"/>
                  <w:rFonts w:ascii="Times New Roman;sans-serif" w:hAnsi="Times New Roman;sans-serif"/>
                  <w:b w:val="false"/>
                  <w:color w:val="0000FF"/>
                  <w:sz w:val="20"/>
                  <w:u w:val="single"/>
                </w:rPr>
                <w:t>Certification of Carrie Eglinton-Manner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30930xexx312.htm">
              <w:r>
                <w:rPr>
                  <w:rStyle w:val="InternetLink"/>
                  <w:rFonts w:ascii="Times New Roman;sans-serif" w:hAnsi="Times New Roman;sans-serif"/>
                  <w:b w:val="false"/>
                  <w:color w:val="0000FF"/>
                  <w:sz w:val="20"/>
                  <w:u w:val="single"/>
                </w:rPr>
                <w:t>Certification of Kenneth J. McGrath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30930xexx321.htm">
              <w:r>
                <w:rPr>
                  <w:rStyle w:val="InternetLink"/>
                  <w:rFonts w:ascii="Times New Roman;sans-serif" w:hAnsi="Times New Roman;sans-serif"/>
                  <w:b w:val="false"/>
                  <w:color w:val="0000FF"/>
                  <w:sz w:val="20"/>
                  <w:u w:val="single"/>
                </w:rPr>
                <w:t>Certification of Carrie Eglinton-Manner required by Rule 13a-14(b) or Rule 15d-14(b) under the Securities Exchange Act of 1934, as amended, and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30930xexx322.htm">
              <w:r>
                <w:rPr>
                  <w:rStyle w:val="InternetLink"/>
                  <w:rFonts w:ascii="Times New Roman;sans-serif" w:hAnsi="Times New Roman;sans-serif"/>
                  <w:b w:val="false"/>
                  <w:color w:val="0000FF"/>
                  <w:sz w:val="20"/>
                  <w:u w:val="single"/>
                </w:rPr>
                <w:t>Certification of Kenneth J. McGrath required by Rule 13a-14(b) or Rule 15d-14(b) under the Securities Exchange Act of 1934, as amended, and 18 U.S.C. Section 1350, as Adopted Pursuant to Section 906 of the Sarbanes-Oxley Act of 2002</w:t>
              </w:r>
            </w:hyperlink>
            <w:r>
              <w:rPr>
                <w:rFonts w:ascii="Times New Roman;sans-serif" w:hAnsi="Times New Roman;sans-serif"/>
                <w:b w:val="false"/>
                <w:color w:val="000000"/>
                <w:sz w:val="20"/>
              </w:rPr>
              <w: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from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5f4e0e2e2df4b58946341f0fc470b04_10">
        <w:r>
          <w:rPr>
            <w:rStyle w:val="InternetLink"/>
          </w:rPr>
          <w:t>Table of Content</w:t>
        </w:r>
      </w:hyperlink>
      <w:hyperlink w:anchor="i15f4e0e2e2df4b58946341f0fc470b04_10">
        <w:r>
          <w:rPr>
            <w:rStyle w:val="InternetLink"/>
          </w:rPr>
          <w: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770" w:type="dxa"/>
        <w:jc w:val="left"/>
        <w:tblInd w:w="0" w:type="dxa"/>
        <w:tblLayout w:type="fixed"/>
        <w:tblCellMar>
          <w:top w:w="28" w:type="dxa"/>
          <w:left w:w="28" w:type="dxa"/>
          <w:bottom w:w="28" w:type="dxa"/>
          <w:right w:w="28" w:type="dxa"/>
        </w:tblCellMar>
      </w:tblPr>
      <w:tblGrid>
        <w:gridCol w:w="759"/>
        <w:gridCol w:w="668"/>
        <w:gridCol w:w="672"/>
        <w:gridCol w:w="469"/>
        <w:gridCol w:w="469"/>
        <w:gridCol w:w="469"/>
        <w:gridCol w:w="1538"/>
        <w:gridCol w:w="1538"/>
        <w:gridCol w:w="218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ORASURE TECHNOLOGIES,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/s/Michele M. Anthony</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Michele M. Anthony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Chief Accounting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Carrie Eglinton Manner,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759"/>
        <w:gridCol w:w="668"/>
        <w:gridCol w:w="672"/>
        <w:gridCol w:w="940"/>
        <w:gridCol w:w="940"/>
        <w:gridCol w:w="133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J. McGrath,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09" w:type="dxa"/>
        <w:jc w:val="left"/>
        <w:tblInd w:w="0" w:type="dxa"/>
        <w:tblLayout w:type="fixed"/>
        <w:tblCellMar>
          <w:top w:w="28" w:type="dxa"/>
          <w:left w:w="28" w:type="dxa"/>
          <w:bottom w:w="28" w:type="dxa"/>
          <w:right w:w="28" w:type="dxa"/>
        </w:tblCellMar>
      </w:tblPr>
      <w:tblGrid>
        <w:gridCol w:w="759"/>
        <w:gridCol w:w="668"/>
        <w:gridCol w:w="672"/>
        <w:gridCol w:w="763"/>
        <w:gridCol w:w="763"/>
        <w:gridCol w:w="10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September 30, 2023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pPr>
      <w:r>
        <w:rPr>
          <w:rFonts w:ascii="Times New Roman;sans-serif" w:hAnsi="Times New Roman;sans-serif"/>
          <w:b/>
          <w:color w:val="000000"/>
          <w:sz w:val="20"/>
        </w:rPr>
        <w:t>18 U.S.C.</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color w:val="000000"/>
          <w:sz w:val="20"/>
        </w:rPr>
        <w:t>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September 30, 2023 as filed with the Securities and Exchange Commission on the date hereof (the “Report”), I, Kenneth J. McGrath, Chief Financial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15895</Words>
  <Characters>90471</Characters>
  <CharactersWithSpaces>105516</CharactersWithSpaces>
  <Paragraphs>1849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