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rFonts w:ascii="Times New Roman;sans-serif" w:hAnsi="Times New Roman;sans-serif"/>
          <w:b w:val="false"/>
          <w:color w:val="000000"/>
          <w:sz w:val="20"/>
        </w:rPr>
        <w:t>_________</w:t>
      </w:r>
      <w:r>
        <w:rPr>
          <w:rFonts w:ascii="Times New Roman;sans-serif" w:hAnsi="Times New Roman;sans-serif"/>
          <w:b/>
          <w:color w:val="000000"/>
          <w:sz w:val="20"/>
        </w:rPr>
        <w:t xml:space="preserve">to </w:t>
      </w:r>
      <w:r>
        <w:rPr>
          <w:rFonts w:ascii="Times New Roman;sans-serif" w:hAnsi="Times New Roman;sans-serif"/>
          <w:b w:val="false"/>
          <w:color w:val="000000"/>
          <w:sz w:val="20"/>
        </w:rPr>
        <w:t xml:space="preserve">_________ </w:t>
      </w:r>
      <w:r>
        <w:rPr>
          <w:rFonts w:ascii="Times New Roman;sans-serif" w:hAnsi="Times New Roman;sans-serif"/>
          <w:b/>
          <w:color w:val="000000"/>
          <w:sz w:val="20"/>
        </w:rPr>
        <w: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001-16537</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60" w:after="283"/>
        <w:jc w:val="center"/>
        <w:rPr>
          <w:rFonts w:ascii="Times New Roman;sans-serif" w:hAnsi="Times New Roman;sans-serif"/>
          <w:b/>
          <w:color w:val="000000"/>
          <w:sz w:val="40"/>
        </w:rPr>
      </w:pPr>
      <w:r>
        <w:rPr>
          <w:rFonts w:ascii="Times New Roman;sans-serif" w:hAnsi="Times New Roman;sans-serif"/>
          <w:b/>
          <w:color w:val="000000"/>
          <w:sz w:val="40"/>
        </w:rPr>
        <w:t>ORASURE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tbl>
      <w:tblPr>
        <w:tblW w:w="5039" w:type="dxa"/>
        <w:jc w:val="left"/>
        <w:tblInd w:w="0" w:type="dxa"/>
        <w:tblLayout w:type="fixed"/>
        <w:tblCellMar>
          <w:top w:w="28" w:type="dxa"/>
          <w:left w:w="28" w:type="dxa"/>
          <w:bottom w:w="28" w:type="dxa"/>
          <w:right w:w="28" w:type="dxa"/>
        </w:tblCellMar>
      </w:tblPr>
      <w:tblGrid>
        <w:gridCol w:w="879"/>
        <w:gridCol w:w="771"/>
        <w:gridCol w:w="779"/>
        <w:gridCol w:w="762"/>
        <w:gridCol w:w="762"/>
        <w:gridCol w:w="1086"/>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36-4370966</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tbl>
      <w:tblPr>
        <w:tblW w:w="4949" w:type="dxa"/>
        <w:jc w:val="left"/>
        <w:tblInd w:w="0" w:type="dxa"/>
        <w:tblLayout w:type="fixed"/>
        <w:tblCellMar>
          <w:top w:w="28" w:type="dxa"/>
          <w:left w:w="28" w:type="dxa"/>
          <w:bottom w:w="28" w:type="dxa"/>
          <w:right w:w="28" w:type="dxa"/>
        </w:tblCellMar>
      </w:tblPr>
      <w:tblGrid>
        <w:gridCol w:w="1470"/>
        <w:gridCol w:w="1291"/>
        <w:gridCol w:w="1304"/>
        <w:gridCol w:w="259"/>
        <w:gridCol w:w="259"/>
        <w:gridCol w:w="366"/>
      </w:tblGrid>
      <w:tr>
        <w:trPr/>
        <w:tc>
          <w:tcPr>
            <w:tcW w:w="147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220 East First Street, Bethlehem, Pennsylvania</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18015</w:t>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(610) 882-1820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337" w:type="dxa"/>
        <w:jc w:val="left"/>
        <w:tblInd w:w="0" w:type="dxa"/>
        <w:tblLayout w:type="fixed"/>
        <w:tblCellMar>
          <w:top w:w="28" w:type="dxa"/>
          <w:left w:w="28" w:type="dxa"/>
          <w:bottom w:w="28" w:type="dxa"/>
          <w:right w:w="28" w:type="dxa"/>
        </w:tblCellMar>
      </w:tblPr>
      <w:tblGrid>
        <w:gridCol w:w="1414"/>
        <w:gridCol w:w="1243"/>
        <w:gridCol w:w="1257"/>
        <w:gridCol w:w="109"/>
        <w:gridCol w:w="109"/>
        <w:gridCol w:w="109"/>
        <w:gridCol w:w="314"/>
        <w:gridCol w:w="314"/>
        <w:gridCol w:w="316"/>
        <w:gridCol w:w="109"/>
        <w:gridCol w:w="109"/>
        <w:gridCol w:w="109"/>
        <w:gridCol w:w="1118"/>
        <w:gridCol w:w="1118"/>
        <w:gridCol w:w="1589"/>
      </w:tblGrid>
      <w:tr>
        <w:trPr/>
        <w:tc>
          <w:tcPr>
            <w:tcW w:w="141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br/>
              <w:t>Symbol(s)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9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$0.000001 par value per share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OSUR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0" w:after="283"/>
        <w:ind w:left="0" w:right="0" w:firstLine="126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 w:after="283"/>
        <w:ind w:left="0" w:right="0" w:firstLine="126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 w:after="283"/>
        <w:ind w:left="0" w:right="0" w:firstLine="126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 w:after="283"/>
        <w:ind w:left="0" w:right="0" w:firstLine="1260"/>
        <w:jc w:val="left"/>
        <w:rPr/>
      </w:pPr>
      <w:r>
        <w:rPr>
          <w:rFonts w:ascii="Times New Roman;sans-serif" w:hAnsi="Times New Roman;sans-serif"/>
          <w:b w:val="false"/>
          <w:color w:val="000000"/>
          <w:sz w:val="20"/>
        </w:rPr>
        <w:t xml:space="preserve">Indicate by checkmark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2, 2024, the registrant had 74,568,307 shares of common stock, $0.000001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certain “forward-looking statements” within the meaning of the Federal securities laws. These may include statements about the Company's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the Company's future operations, results of operations or financial position. These statements often include words, such as “believes,” “expects,” “anticipates,” “intends,” “plans,” “estimates,” “may,” “will,” “should,” “could,” or similar expressions.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are not guarantees of future performance or results. Known and unknown factors that could cause actual performance or results to be materially different from those expressed or implied in these statements include, but are not limited to: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Market acceptance of, and the Company's ability to market and sell, its products and services, whether through its internal, direct sales force or third parties;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Failure of distributors or other customers to meet purchase forecasts, historic purchase levels or minimum purchase requirements for the Company's products;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Significant customer concentrations that exist or may develop in the future;</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manufacture products in accordance with applicable specifications, performance standards and quality requirements;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achieve the anticipated cost savings as a result of its business restructuring, including from in-sourcing third party manufacturing and exiting microbiome services;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obtain, and timing and cost of obtaining, necessary regulatory approvals for new products or new indications or applications for existing products; ability to comply with applicable regulatory requirements;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effectively resolve warning letters, audit observations and other findings or comments from the U.S. Food and Drug Administration or other regulators;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Changes in relationships, including disputes or disagreements, with strategic partners or other parties and reliance on strategic partners for the performance of critical activities under collaborative arrangements;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meet increased demand for its products;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impact of replacing distributors on the Company's business;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Inventory levels at distributors and other customers;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achieve its financial and strategic objectives and continue to increase its revenues, including the ability to expand international sales;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impact of competitors, competing products and technology changes on the Company's business;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Reduction or deferral of public funding available to customers;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Competition from new or better technology or lower cost products;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develop, commercialize and market new products;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fulfill its commitments under its contract with the U.S. government for InteliSwab</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COVID-19 Rapid Tests;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Changes in market acceptance of products based on product performance or other factors, including changes in testing guidelines, algorithms or other recommendations by the Centers for Disease Control and Prevention (the "CDC") or other agencies;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fund research and development and other products and operations;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obtain and maintain new or existing product distribution channels;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Reliance on sole supply sources for critical products and components;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Availability of related products produced by third parties or products required for use of the Company's products;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impact of contracting with the U.S. government on the Company's business;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impact of negative economic conditions on the Company's business;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achieve and maintain sustained profitability;</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increase its gross margins;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utilize net operating loss carry forwards or other deferred tax assets;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Volatility of the Company's stock price;</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Uncertainty relating to patent protection and potential patent infringement claims;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Uncertainty and costs of litigation relating to patents and other intellectual property;</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Availability of licenses to patents or other technology;</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Ability to enter into international manufacturing agreements;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Obstacles to international marketing and manufacturing of products;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impact of changes in international funding sources and testing algorithms on international sales;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Adverse movements in foreign currency exchange rates;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Loss or impairment of sources of capital;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attract and retain qualified personnel;</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exposure to product liability and other types of litigation;</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Changes in international, federal or state laws and regulations;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Customer consolidations and inventory practices;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Equipment failures and ability to obtain needed raw materials and components;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impact of terrorist attacks and civil unrest, hostilities and war;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impact of cybersecurity incidents and other disruptions involving our computer systems or those of our third-party IT service providers, suppliers and customers; and</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General political, business and economic conditions, including interest rates and inflationary pressures.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factors that could affect the Company's results are discussed more fully under the section titled “Risk Factors,” set forth in Part II, Item 1A of this Quarterly Report on Form 10-Q, if any, in Part I, Item 1A of the Company's Annual Report on Form 10-K for the fiscal year ended December 31, 2023 filed with the Securities and Exchange Commission (the “SEC”) on March 11, 2024, and in subsequent SEC filings.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report and the Company undertakes no duty to update these statements, unless it is required to do so by law. If the Company does update one or more forward-looking statements, no inference should be drawn that it will make updates with respect to other forward-looking statements or that it will make any further updates to those forward-looking statements at any future time.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Investors should also be aware that while the Company does, from time to time, communicate with securities analysts, it is against the Company's policy to disclose any material non-public information or other confidential commercial information. Accordingly, stockholders should not assume that the Company agrees with any statement or report issued by any analyst irrespective of the content of the statement or report. Furthermore, the Company has a policy against issuing or confirming financial forecasts or projections issued by others. Thus, to the extent that reports issued by securities analysts contain any projections, forecasts or opinions, such reports are not the responsibility of OraSure.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157"/>
        <w:gridCol w:w="2690"/>
        <w:gridCol w:w="2690"/>
        <w:gridCol w:w="484"/>
        <w:gridCol w:w="484"/>
        <w:gridCol w:w="700"/>
      </w:tblGrid>
      <w:tr>
        <w:trPr/>
        <w:tc>
          <w:tcPr>
            <w:tcW w:w="3157"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f96a18d5da104defaf58ca763f738054_10">
              <w:r>
                <w:rPr>
                  <w:rStyle w:val="InternetLink"/>
                  <w:rFonts w:ascii="Times New Roman;sans-serif" w:hAnsi="Times New Roman;sans-serif"/>
                  <w:b/>
                  <w:strike w:val="false"/>
                  <w:dstrike w:val="false"/>
                  <w:color w:val="000000"/>
                  <w:sz w:val="20"/>
                  <w:u w:val="none"/>
                  <w:effect w:val="none"/>
                </w:rPr>
                <w:t>PART I. FINANCIAL INFORMATION</w:t>
              </w:r>
            </w:hyperlink>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No.</w:t>
            </w:r>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a18d5da104defaf58ca763f738054_13">
              <w:r>
                <w:rPr>
                  <w:rStyle w:val="InternetLink"/>
                  <w:rFonts w:ascii="Times New Roman;sans-serif" w:hAnsi="Times New Roman;sans-serif"/>
                  <w:b/>
                  <w:strike w:val="false"/>
                  <w:dstrike w:val="false"/>
                  <w:color w:val="000000"/>
                  <w:sz w:val="20"/>
                  <w:u w:val="none"/>
                  <w:effect w:val="none"/>
                </w:rPr>
                <w:t>Item 1. Financial Statements (Unaudited)</w:t>
              </w:r>
            </w:hyperlink>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a18d5da104defaf58ca763f738054_16">
              <w:r>
                <w:rPr>
                  <w:rStyle w:val="InternetLink"/>
                  <w:rFonts w:ascii="Times New Roman;sans-serif" w:hAnsi="Times New Roman;sans-serif"/>
                  <w:b w:val="false"/>
                  <w:color w:val="000080"/>
                  <w:sz w:val="20"/>
                  <w:u w:val="single"/>
                </w:rPr>
                <w:t xml:space="preserve">Consolidated Balance Sheets at </w:t>
              </w:r>
            </w:hyperlink>
            <w:hyperlink w:anchor="if96a18d5da104defaf58ca763f738054_16">
              <w:r>
                <w:rPr>
                  <w:rStyle w:val="InternetLink"/>
                  <w:rFonts w:ascii="Times New Roman;sans-serif" w:hAnsi="Times New Roman;sans-serif"/>
                  <w:b w:val="false"/>
                  <w:color w:val="000080"/>
                  <w:sz w:val="20"/>
                  <w:u w:val="single"/>
                </w:rPr>
                <w:t>June 30</w:t>
              </w:r>
            </w:hyperlink>
            <w:hyperlink w:anchor="if96a18d5da104defaf58ca763f738054_16">
              <w:r>
                <w:rPr>
                  <w:rStyle w:val="InternetLink"/>
                  <w:rFonts w:ascii="Times New Roman;sans-serif" w:hAnsi="Times New Roman;sans-serif"/>
                  <w:b w:val="false"/>
                  <w:color w:val="000080"/>
                  <w:sz w:val="20"/>
                  <w:u w:val="single"/>
                </w:rPr>
                <w:t>, 2024 and December 31, 2023</w:t>
              </w:r>
            </w:hyperlink>
          </w:p>
        </w:tc>
        <w:tc>
          <w:tcPr>
            <w:tcW w:w="16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a18d5da104defaf58ca763f738054_16">
              <w:r>
                <w:rPr>
                  <w:rStyle w:val="InternetLink"/>
                  <w:rFonts w:ascii="Times New Roman;sans-serif" w:hAnsi="Times New Roman;sans-serif"/>
                  <w:b w:val="false"/>
                  <w:strike w:val="false"/>
                  <w:dstrike w:val="false"/>
                  <w:color w:val="000000"/>
                  <w:sz w:val="20"/>
                  <w:u w:val="none"/>
                  <w:effect w:val="none"/>
                </w:rPr>
                <w:t>3</w:t>
              </w:r>
            </w:hyperlink>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a18d5da104defaf58ca763f738054_19">
              <w:r>
                <w:rPr>
                  <w:rStyle w:val="InternetLink"/>
                  <w:rFonts w:ascii="Times New Roman;sans-serif" w:hAnsi="Times New Roman;sans-serif"/>
                  <w:b w:val="false"/>
                  <w:color w:val="000080"/>
                  <w:sz w:val="20"/>
                  <w:u w:val="single"/>
                </w:rPr>
                <w:t xml:space="preserve">Consolidated Statements of Operations for the three </w:t>
              </w:r>
            </w:hyperlink>
            <w:hyperlink w:anchor="if96a18d5da104defaf58ca763f738054_19">
              <w:r>
                <w:rPr>
                  <w:rStyle w:val="InternetLink"/>
                  <w:rFonts w:ascii="Times New Roman;sans-serif" w:hAnsi="Times New Roman;sans-serif"/>
                  <w:b w:val="false"/>
                  <w:color w:val="000080"/>
                  <w:sz w:val="20"/>
                  <w:u w:val="single"/>
                </w:rPr>
                <w:t xml:space="preserve">and six </w:t>
              </w:r>
            </w:hyperlink>
            <w:hyperlink w:anchor="if96a18d5da104defaf58ca763f738054_19">
              <w:r>
                <w:rPr>
                  <w:rStyle w:val="InternetLink"/>
                  <w:rFonts w:ascii="Times New Roman;sans-serif" w:hAnsi="Times New Roman;sans-serif"/>
                  <w:b w:val="false"/>
                  <w:color w:val="000080"/>
                  <w:sz w:val="20"/>
                  <w:u w:val="single"/>
                </w:rPr>
                <w:t xml:space="preserve">months ended </w:t>
              </w:r>
            </w:hyperlink>
            <w:hyperlink w:anchor="if96a18d5da104defaf58ca763f738054_19">
              <w:r>
                <w:rPr>
                  <w:rStyle w:val="InternetLink"/>
                  <w:rFonts w:ascii="Times New Roman;sans-serif" w:hAnsi="Times New Roman;sans-serif"/>
                  <w:b w:val="false"/>
                  <w:color w:val="000080"/>
                  <w:sz w:val="20"/>
                  <w:u w:val="single"/>
                </w:rPr>
                <w:t>June 30</w:t>
              </w:r>
            </w:hyperlink>
            <w:hyperlink w:anchor="if96a18d5da104defaf58ca763f738054_19">
              <w:r>
                <w:rPr>
                  <w:rStyle w:val="InternetLink"/>
                  <w:rFonts w:ascii="Times New Roman;sans-serif" w:hAnsi="Times New Roman;sans-serif"/>
                  <w:b w:val="false"/>
                  <w:color w:val="000080"/>
                  <w:sz w:val="20"/>
                  <w:u w:val="single"/>
                </w:rPr>
                <w:t xml:space="preserve">, 2024 and 2023 </w:t>
              </w:r>
            </w:hyperlink>
          </w:p>
        </w:tc>
        <w:tc>
          <w:tcPr>
            <w:tcW w:w="16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a18d5da104defaf58ca763f738054_19">
              <w:r>
                <w:rPr>
                  <w:rStyle w:val="InternetLink"/>
                  <w:rFonts w:ascii="Times New Roman;sans-serif" w:hAnsi="Times New Roman;sans-serif"/>
                  <w:b w:val="false"/>
                  <w:strike w:val="false"/>
                  <w:dstrike w:val="false"/>
                  <w:color w:val="000000"/>
                  <w:sz w:val="20"/>
                  <w:u w:val="none"/>
                  <w:effect w:val="none"/>
                </w:rPr>
                <w:t>4</w:t>
              </w:r>
            </w:hyperlink>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a18d5da104defaf58ca763f738054_22">
              <w:r>
                <w:rPr>
                  <w:rStyle w:val="InternetLink"/>
                  <w:rFonts w:ascii="Times New Roman;sans-serif" w:hAnsi="Times New Roman;sans-serif"/>
                  <w:b w:val="false"/>
                  <w:color w:val="000080"/>
                  <w:sz w:val="20"/>
                  <w:u w:val="single"/>
                </w:rPr>
                <w:t>Consolidated Statements of Comprehensive Income (Loss) for the three</w:t>
              </w:r>
            </w:hyperlink>
            <w:hyperlink w:anchor="if96a18d5da104defaf58ca763f738054_22">
              <w:r>
                <w:rPr>
                  <w:rStyle w:val="InternetLink"/>
                  <w:rFonts w:ascii="Times New Roman;sans-serif" w:hAnsi="Times New Roman;sans-serif"/>
                  <w:b w:val="false"/>
                  <w:color w:val="000080"/>
                  <w:sz w:val="20"/>
                  <w:u w:val="single"/>
                </w:rPr>
                <w:t xml:space="preserve"> and six</w:t>
              </w:r>
            </w:hyperlink>
            <w:hyperlink w:anchor="if96a18d5da104defaf58ca763f738054_22">
              <w:r>
                <w:rPr>
                  <w:rStyle w:val="InternetLink"/>
                  <w:rFonts w:ascii="Times New Roman;sans-serif" w:hAnsi="Times New Roman;sans-serif"/>
                  <w:b w:val="false"/>
                  <w:color w:val="000080"/>
                  <w:sz w:val="20"/>
                  <w:u w:val="single"/>
                </w:rPr>
                <w:t xml:space="preserve"> months ended </w:t>
              </w:r>
            </w:hyperlink>
            <w:hyperlink w:anchor="if96a18d5da104defaf58ca763f738054_22">
              <w:r>
                <w:rPr>
                  <w:rStyle w:val="InternetLink"/>
                  <w:rFonts w:ascii="Times New Roman;sans-serif" w:hAnsi="Times New Roman;sans-serif"/>
                  <w:b w:val="false"/>
                  <w:color w:val="000080"/>
                  <w:sz w:val="20"/>
                  <w:u w:val="single"/>
                </w:rPr>
                <w:t>June 30</w:t>
              </w:r>
            </w:hyperlink>
            <w:hyperlink w:anchor="if96a18d5da104defaf58ca763f738054_22">
              <w:r>
                <w:rPr>
                  <w:rStyle w:val="InternetLink"/>
                  <w:rFonts w:ascii="Times New Roman;sans-serif" w:hAnsi="Times New Roman;sans-serif"/>
                  <w:b w:val="false"/>
                  <w:color w:val="000080"/>
                  <w:sz w:val="20"/>
                  <w:u w:val="single"/>
                </w:rPr>
                <w:t>, 2024 and 2023</w:t>
              </w:r>
            </w:hyperlink>
          </w:p>
        </w:tc>
        <w:tc>
          <w:tcPr>
            <w:tcW w:w="16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a18d5da104defaf58ca763f738054_22">
              <w:r>
                <w:rPr>
                  <w:rStyle w:val="InternetLink"/>
                  <w:rFonts w:ascii="Times New Roman;sans-serif" w:hAnsi="Times New Roman;sans-serif"/>
                  <w:b w:val="false"/>
                  <w:strike w:val="false"/>
                  <w:dstrike w:val="false"/>
                  <w:color w:val="000000"/>
                  <w:sz w:val="20"/>
                  <w:u w:val="none"/>
                  <w:effect w:val="none"/>
                </w:rPr>
                <w:t>5</w:t>
              </w:r>
            </w:hyperlink>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a18d5da104defaf58ca763f738054_25">
              <w:r>
                <w:rPr>
                  <w:rStyle w:val="InternetLink"/>
                  <w:rFonts w:ascii="Times New Roman;sans-serif" w:hAnsi="Times New Roman;sans-serif"/>
                  <w:b w:val="false"/>
                  <w:color w:val="000080"/>
                  <w:sz w:val="20"/>
                  <w:u w:val="single"/>
                </w:rPr>
                <w:t xml:space="preserve">Consolidated Statements of Cash Flows for the </w:t>
              </w:r>
            </w:hyperlink>
            <w:hyperlink w:anchor="if96a18d5da104defaf58ca763f738054_25">
              <w:r>
                <w:rPr>
                  <w:rStyle w:val="InternetLink"/>
                  <w:rFonts w:ascii="Times New Roman;sans-serif" w:hAnsi="Times New Roman;sans-serif"/>
                  <w:b w:val="false"/>
                  <w:color w:val="000080"/>
                  <w:sz w:val="20"/>
                  <w:u w:val="single"/>
                </w:rPr>
                <w:t>six</w:t>
              </w:r>
            </w:hyperlink>
            <w:hyperlink w:anchor="if96a18d5da104defaf58ca763f738054_25">
              <w:r>
                <w:rPr>
                  <w:rStyle w:val="InternetLink"/>
                  <w:rFonts w:ascii="Times New Roman;sans-serif" w:hAnsi="Times New Roman;sans-serif"/>
                  <w:b w:val="false"/>
                  <w:color w:val="000080"/>
                  <w:sz w:val="20"/>
                  <w:u w:val="single"/>
                </w:rPr>
                <w:t xml:space="preserve"> months ended </w:t>
              </w:r>
            </w:hyperlink>
            <w:hyperlink w:anchor="if96a18d5da104defaf58ca763f738054_25">
              <w:r>
                <w:rPr>
                  <w:rStyle w:val="InternetLink"/>
                  <w:rFonts w:ascii="Times New Roman;sans-serif" w:hAnsi="Times New Roman;sans-serif"/>
                  <w:b w:val="false"/>
                  <w:color w:val="000080"/>
                  <w:sz w:val="20"/>
                  <w:u w:val="single"/>
                </w:rPr>
                <w:t>June 3</w:t>
              </w:r>
            </w:hyperlink>
            <w:hyperlink w:anchor="if96a18d5da104defaf58ca763f738054_25">
              <w:r>
                <w:rPr>
                  <w:rStyle w:val="InternetLink"/>
                  <w:rFonts w:ascii="Times New Roman;sans-serif" w:hAnsi="Times New Roman;sans-serif"/>
                  <w:b w:val="false"/>
                  <w:color w:val="000080"/>
                  <w:sz w:val="20"/>
                  <w:u w:val="single"/>
                </w:rPr>
                <w:t>0</w:t>
              </w:r>
            </w:hyperlink>
            <w:hyperlink w:anchor="if96a18d5da104defaf58ca763f738054_25">
              <w:r>
                <w:rPr>
                  <w:rStyle w:val="InternetLink"/>
                  <w:rFonts w:ascii="Times New Roman;sans-serif" w:hAnsi="Times New Roman;sans-serif"/>
                  <w:b w:val="false"/>
                  <w:color w:val="000080"/>
                  <w:sz w:val="20"/>
                  <w:u w:val="single"/>
                </w:rPr>
                <w:t>, 2024 and 2023</w:t>
              </w:r>
            </w:hyperlink>
          </w:p>
        </w:tc>
        <w:tc>
          <w:tcPr>
            <w:tcW w:w="16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a18d5da104defaf58ca763f738054_25">
              <w:r>
                <w:rPr>
                  <w:rStyle w:val="InternetLink"/>
                  <w:rFonts w:ascii="Times New Roman;sans-serif" w:hAnsi="Times New Roman;sans-serif"/>
                  <w:b w:val="false"/>
                  <w:strike w:val="false"/>
                  <w:dstrike w:val="false"/>
                  <w:color w:val="000000"/>
                  <w:sz w:val="20"/>
                  <w:u w:val="none"/>
                  <w:effect w:val="none"/>
                </w:rPr>
                <w:t>6</w:t>
              </w:r>
            </w:hyperlink>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a18d5da104defaf58ca763f738054_28">
              <w:r>
                <w:rPr>
                  <w:rStyle w:val="InternetLink"/>
                  <w:rFonts w:ascii="Times New Roman;sans-serif" w:hAnsi="Times New Roman;sans-serif"/>
                  <w:b w:val="false"/>
                  <w:color w:val="0000FF"/>
                  <w:sz w:val="20"/>
                  <w:u w:val="single"/>
                </w:rPr>
                <w:t>Notes to the Consolidated Financial Statements</w:t>
              </w:r>
            </w:hyperlink>
          </w:p>
        </w:tc>
        <w:tc>
          <w:tcPr>
            <w:tcW w:w="16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a18d5da104defaf58ca763f738054_28">
              <w:r>
                <w:rPr>
                  <w:rStyle w:val="InternetLink"/>
                  <w:rFonts w:ascii="Times New Roman;sans-serif" w:hAnsi="Times New Roman;sans-serif"/>
                  <w:b w:val="false"/>
                  <w:strike w:val="false"/>
                  <w:dstrike w:val="false"/>
                  <w:color w:val="000000"/>
                  <w:sz w:val="20"/>
                  <w:u w:val="none"/>
                  <w:effect w:val="none"/>
                </w:rPr>
                <w:t>7</w:t>
              </w:r>
            </w:hyperlink>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a18d5da104defaf58ca763f738054_109">
              <w:r>
                <w:rPr>
                  <w:rStyle w:val="InternetLink"/>
                  <w:rFonts w:ascii="Times New Roman;sans-serif" w:hAnsi="Times New Roman;sans-serif"/>
                  <w:b/>
                  <w:color w:val="0000FF"/>
                  <w:sz w:val="20"/>
                  <w:u w:val="single"/>
                </w:rPr>
                <w:t>Item 2. Management’s Discussion and Analysis of Financial Condition and Results of Operations</w:t>
              </w:r>
            </w:hyperlink>
          </w:p>
        </w:tc>
        <w:tc>
          <w:tcPr>
            <w:tcW w:w="16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a18d5da104defaf58ca763f738054_109">
              <w:r>
                <w:rPr>
                  <w:rStyle w:val="InternetLink"/>
                  <w:rFonts w:ascii="Times New Roman;sans-serif" w:hAnsi="Times New Roman;sans-serif"/>
                  <w:b w:val="false"/>
                  <w:strike w:val="false"/>
                  <w:dstrike w:val="false"/>
                  <w:color w:val="000000"/>
                  <w:sz w:val="20"/>
                  <w:u w:val="none"/>
                  <w:effect w:val="none"/>
                </w:rPr>
                <w:t>18</w:t>
              </w:r>
            </w:hyperlink>
          </w:p>
        </w:tc>
      </w:tr>
      <w:tr>
        <w:trPr/>
        <w:tc>
          <w:tcPr>
            <w:tcW w:w="85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a18d5da104defaf58ca763f738054_157">
              <w:r>
                <w:rPr>
                  <w:rStyle w:val="InternetLink"/>
                  <w:rFonts w:ascii="Times New Roman;sans-serif" w:hAnsi="Times New Roman;sans-serif"/>
                  <w:b/>
                  <w:color w:val="0000FF"/>
                  <w:sz w:val="20"/>
                  <w:u w:val="single"/>
                </w:rPr>
                <w:t>Item 3. Quantitative and Qualitative Disclosures About Market Risk</w:t>
              </w:r>
            </w:hyperlink>
          </w:p>
        </w:tc>
        <w:tc>
          <w:tcPr>
            <w:tcW w:w="16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a18d5da104defaf58ca763f738054_157">
              <w:r>
                <w:rPr>
                  <w:rStyle w:val="InternetLink"/>
                  <w:rFonts w:ascii="Times New Roman;sans-serif" w:hAnsi="Times New Roman;sans-serif"/>
                  <w:b w:val="false"/>
                  <w:strike w:val="false"/>
                  <w:dstrike w:val="false"/>
                  <w:color w:val="000000"/>
                  <w:sz w:val="20"/>
                  <w:u w:val="none"/>
                  <w:effect w:val="none"/>
                </w:rPr>
                <w:t>24</w:t>
              </w:r>
            </w:hyperlink>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a18d5da104defaf58ca763f738054_160">
              <w:r>
                <w:rPr>
                  <w:rStyle w:val="InternetLink"/>
                  <w:rFonts w:ascii="Times New Roman;sans-serif" w:hAnsi="Times New Roman;sans-serif"/>
                  <w:b/>
                  <w:color w:val="0000FF"/>
                  <w:sz w:val="20"/>
                  <w:u w:val="single"/>
                </w:rPr>
                <w:t>Item 4. Controls and Procedures</w:t>
              </w:r>
            </w:hyperlink>
          </w:p>
        </w:tc>
        <w:tc>
          <w:tcPr>
            <w:tcW w:w="16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a18d5da104defaf58ca763f738054_160">
              <w:r>
                <w:rPr>
                  <w:rStyle w:val="InternetLink"/>
                  <w:rFonts w:ascii="Times New Roman;sans-serif" w:hAnsi="Times New Roman;sans-serif"/>
                  <w:b w:val="false"/>
                  <w:strike w:val="false"/>
                  <w:dstrike w:val="false"/>
                  <w:color w:val="000000"/>
                  <w:sz w:val="20"/>
                  <w:u w:val="none"/>
                  <w:effect w:val="none"/>
                </w:rPr>
                <w:t>24</w:t>
              </w:r>
            </w:hyperlink>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f96a18d5da104defaf58ca763f738054_163">
              <w:r>
                <w:rPr>
                  <w:rStyle w:val="InternetLink"/>
                  <w:rFonts w:ascii="Times New Roman;sans-serif" w:hAnsi="Times New Roman;sans-serif"/>
                  <w:b/>
                  <w:strike w:val="false"/>
                  <w:dstrike w:val="false"/>
                  <w:color w:val="000000"/>
                  <w:sz w:val="20"/>
                  <w:u w:val="none"/>
                  <w:effect w:val="none"/>
                </w:rPr>
                <w:t>PART II. OTHER INFORMATION</w:t>
              </w:r>
            </w:hyperlink>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a18d5da104defaf58ca763f738054_166">
              <w:r>
                <w:rPr>
                  <w:rStyle w:val="InternetLink"/>
                  <w:rFonts w:ascii="Times New Roman;sans-serif" w:hAnsi="Times New Roman;sans-serif"/>
                  <w:b/>
                  <w:color w:val="0000FF"/>
                  <w:sz w:val="20"/>
                  <w:u w:val="single"/>
                </w:rPr>
                <w:t>Item 1. Legal Proceedings</w:t>
              </w:r>
            </w:hyperlink>
          </w:p>
        </w:tc>
        <w:tc>
          <w:tcPr>
            <w:tcW w:w="16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a18d5da104defaf58ca763f738054_166">
              <w:r>
                <w:rPr>
                  <w:rStyle w:val="InternetLink"/>
                  <w:rFonts w:ascii="Times New Roman;sans-serif" w:hAnsi="Times New Roman;sans-serif"/>
                  <w:b w:val="false"/>
                  <w:strike w:val="false"/>
                  <w:dstrike w:val="false"/>
                  <w:color w:val="000000"/>
                  <w:sz w:val="20"/>
                  <w:u w:val="none"/>
                  <w:effect w:val="none"/>
                </w:rPr>
                <w:t>25</w:t>
              </w:r>
            </w:hyperlink>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a18d5da104defaf58ca763f738054_169">
              <w:r>
                <w:rPr>
                  <w:rStyle w:val="InternetLink"/>
                  <w:rFonts w:ascii="Times New Roman;sans-serif" w:hAnsi="Times New Roman;sans-serif"/>
                  <w:b/>
                  <w:color w:val="0000FF"/>
                  <w:sz w:val="20"/>
                  <w:u w:val="single"/>
                </w:rPr>
                <w:t>Item 1A. Risk Factors</w:t>
              </w:r>
            </w:hyperlink>
          </w:p>
        </w:tc>
        <w:tc>
          <w:tcPr>
            <w:tcW w:w="16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a18d5da104defaf58ca763f738054_169">
              <w:r>
                <w:rPr>
                  <w:rStyle w:val="InternetLink"/>
                  <w:rFonts w:ascii="Times New Roman;sans-serif" w:hAnsi="Times New Roman;sans-serif"/>
                  <w:b w:val="false"/>
                  <w:strike w:val="false"/>
                  <w:dstrike w:val="false"/>
                  <w:color w:val="000000"/>
                  <w:sz w:val="20"/>
                  <w:u w:val="none"/>
                  <w:effect w:val="none"/>
                </w:rPr>
                <w:t>25</w:t>
              </w:r>
            </w:hyperlink>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a18d5da104defaf58ca763f738054_172">
              <w:r>
                <w:rPr>
                  <w:rStyle w:val="InternetLink"/>
                  <w:rFonts w:ascii="Times New Roman;sans-serif" w:hAnsi="Times New Roman;sans-serif"/>
                  <w:b/>
                  <w:color w:val="0000FF"/>
                  <w:sz w:val="20"/>
                  <w:u w:val="single"/>
                </w:rPr>
                <w:t>Item 2. Unregistered Sales of Equity Securities and Use of Proceeds</w:t>
              </w:r>
            </w:hyperlink>
          </w:p>
        </w:tc>
        <w:tc>
          <w:tcPr>
            <w:tcW w:w="16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a18d5da104defaf58ca763f738054_172">
              <w:r>
                <w:rPr>
                  <w:rStyle w:val="InternetLink"/>
                  <w:rFonts w:ascii="Times New Roman;sans-serif" w:hAnsi="Times New Roman;sans-serif"/>
                  <w:b w:val="false"/>
                  <w:strike w:val="false"/>
                  <w:dstrike w:val="false"/>
                  <w:color w:val="000000"/>
                  <w:sz w:val="20"/>
                  <w:u w:val="none"/>
                  <w:effect w:val="none"/>
                </w:rPr>
                <w:t>26</w:t>
              </w:r>
            </w:hyperlink>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a18d5da104defaf58ca763f738054_175">
              <w:r>
                <w:rPr>
                  <w:rStyle w:val="InternetLink"/>
                  <w:rFonts w:ascii="Times New Roman;sans-serif" w:hAnsi="Times New Roman;sans-serif"/>
                  <w:b/>
                  <w:color w:val="0000FF"/>
                  <w:sz w:val="20"/>
                  <w:u w:val="single"/>
                </w:rPr>
                <w:t>Item 3. Defaults Upon Senior Securities</w:t>
              </w:r>
            </w:hyperlink>
          </w:p>
        </w:tc>
        <w:tc>
          <w:tcPr>
            <w:tcW w:w="16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a18d5da104defaf58ca763f738054_175">
              <w:r>
                <w:rPr>
                  <w:rStyle w:val="InternetLink"/>
                  <w:rFonts w:ascii="Times New Roman;sans-serif" w:hAnsi="Times New Roman;sans-serif"/>
                  <w:b w:val="false"/>
                  <w:strike w:val="false"/>
                  <w:dstrike w:val="false"/>
                  <w:color w:val="000000"/>
                  <w:sz w:val="20"/>
                  <w:u w:val="none"/>
                  <w:effect w:val="none"/>
                </w:rPr>
                <w:t>26</w:t>
              </w:r>
            </w:hyperlink>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a18d5da104defaf58ca763f738054_178">
              <w:r>
                <w:rPr>
                  <w:rStyle w:val="InternetLink"/>
                  <w:rFonts w:ascii="Times New Roman;sans-serif" w:hAnsi="Times New Roman;sans-serif"/>
                  <w:b/>
                  <w:color w:val="0000FF"/>
                  <w:sz w:val="20"/>
                  <w:u w:val="single"/>
                </w:rPr>
                <w:t>Item 4. Mine Safety Disclosures</w:t>
              </w:r>
            </w:hyperlink>
          </w:p>
        </w:tc>
        <w:tc>
          <w:tcPr>
            <w:tcW w:w="16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a18d5da104defaf58ca763f738054_178">
              <w:r>
                <w:rPr>
                  <w:rStyle w:val="InternetLink"/>
                  <w:rFonts w:ascii="Times New Roman;sans-serif" w:hAnsi="Times New Roman;sans-serif"/>
                  <w:b w:val="false"/>
                  <w:strike w:val="false"/>
                  <w:dstrike w:val="false"/>
                  <w:color w:val="000000"/>
                  <w:sz w:val="20"/>
                  <w:u w:val="none"/>
                  <w:effect w:val="none"/>
                </w:rPr>
                <w:t>26</w:t>
              </w:r>
            </w:hyperlink>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a18d5da104defaf58ca763f738054_181">
              <w:r>
                <w:rPr>
                  <w:rStyle w:val="InternetLink"/>
                  <w:rFonts w:ascii="Times New Roman;sans-serif" w:hAnsi="Times New Roman;sans-serif"/>
                  <w:b/>
                  <w:color w:val="0000FF"/>
                  <w:sz w:val="20"/>
                  <w:u w:val="single"/>
                </w:rPr>
                <w:t>Item 5. Other Information</w:t>
              </w:r>
            </w:hyperlink>
          </w:p>
        </w:tc>
        <w:tc>
          <w:tcPr>
            <w:tcW w:w="16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a18d5da104defaf58ca763f738054_181">
              <w:r>
                <w:rPr>
                  <w:rStyle w:val="InternetLink"/>
                  <w:rFonts w:ascii="Times New Roman;sans-serif" w:hAnsi="Times New Roman;sans-serif"/>
                  <w:b w:val="false"/>
                  <w:strike w:val="false"/>
                  <w:dstrike w:val="false"/>
                  <w:color w:val="000000"/>
                  <w:sz w:val="20"/>
                  <w:u w:val="none"/>
                  <w:effect w:val="none"/>
                </w:rPr>
                <w:t>26</w:t>
              </w:r>
            </w:hyperlink>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a18d5da104defaf58ca763f738054_187">
              <w:r>
                <w:rPr>
                  <w:rStyle w:val="InternetLink"/>
                  <w:rFonts w:ascii="Times New Roman;sans-serif" w:hAnsi="Times New Roman;sans-serif"/>
                  <w:b/>
                  <w:color w:val="0000FF"/>
                  <w:sz w:val="20"/>
                  <w:u w:val="single"/>
                </w:rPr>
                <w:t>Item 6. Exhibits</w:t>
              </w:r>
            </w:hyperlink>
          </w:p>
        </w:tc>
        <w:tc>
          <w:tcPr>
            <w:tcW w:w="16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a18d5da104defaf58ca763f738054_187">
              <w:r>
                <w:rPr>
                  <w:rStyle w:val="InternetLink"/>
                  <w:rFonts w:ascii="Times New Roman;sans-serif" w:hAnsi="Times New Roman;sans-serif"/>
                  <w:b w:val="false"/>
                  <w:strike w:val="false"/>
                  <w:dstrike w:val="false"/>
                  <w:color w:val="000000"/>
                  <w:sz w:val="20"/>
                  <w:u w:val="none"/>
                  <w:effect w:val="none"/>
                </w:rPr>
                <w:t>27</w:t>
              </w:r>
            </w:hyperlink>
          </w:p>
        </w:tc>
      </w:tr>
      <w:tr>
        <w:trPr/>
        <w:tc>
          <w:tcPr>
            <w:tcW w:w="8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a18d5da104defaf58ca763f738054_190">
              <w:r>
                <w:rPr>
                  <w:rStyle w:val="InternetLink"/>
                  <w:rFonts w:ascii="Times New Roman;sans-serif" w:hAnsi="Times New Roman;sans-serif"/>
                  <w:b/>
                  <w:color w:val="0000FF"/>
                  <w:sz w:val="20"/>
                  <w:u w:val="single"/>
                </w:rPr>
                <w:t>Signatures</w:t>
              </w:r>
            </w:hyperlink>
          </w:p>
        </w:tc>
        <w:tc>
          <w:tcPr>
            <w:tcW w:w="16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a18d5da104defaf58ca763f738054_190">
              <w:r>
                <w:rPr>
                  <w:rStyle w:val="InternetLink"/>
                  <w:rFonts w:ascii="Times New Roman;sans-serif" w:hAnsi="Times New Roman;sans-serif"/>
                  <w:b w:val="false"/>
                  <w:strike w:val="false"/>
                  <w:dstrike w:val="false"/>
                  <w:color w:val="000000"/>
                  <w:sz w:val="20"/>
                  <w:u w:val="none"/>
                  <w:effect w:val="non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ORASURE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790"/>
        <w:gridCol w:w="2238"/>
        <w:gridCol w:w="2239"/>
        <w:gridCol w:w="211"/>
        <w:gridCol w:w="841"/>
        <w:gridCol w:w="109"/>
        <w:gridCol w:w="109"/>
        <w:gridCol w:w="109"/>
        <w:gridCol w:w="109"/>
        <w:gridCol w:w="253"/>
        <w:gridCol w:w="1011"/>
        <w:gridCol w:w="186"/>
      </w:tblGrid>
      <w:tr>
        <w:trPr/>
        <w:tc>
          <w:tcPr>
            <w:tcW w:w="2790"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290,407 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$1,065 and $1,216</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386,459 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of accumulated depreciation of $88,529 and $85,143</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right-of-use assets,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of accumulated amortization of $33,200 and $33,649</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method investee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96,386 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466,343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482,845</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$0.000001, 25,000 shares authorized, none issued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$0.000001, 120,000 shares authorized, 74,568 and 73,528 shares issued and outstanding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529,543 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430,671 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466,343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482,845</w:t>
            </w: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ORASURE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1946"/>
        <w:gridCol w:w="1302"/>
        <w:gridCol w:w="1310"/>
        <w:gridCol w:w="231"/>
        <w:gridCol w:w="790"/>
        <w:gridCol w:w="119"/>
        <w:gridCol w:w="119"/>
        <w:gridCol w:w="119"/>
        <w:gridCol w:w="119"/>
        <w:gridCol w:w="231"/>
        <w:gridCol w:w="790"/>
        <w:gridCol w:w="119"/>
        <w:gridCol w:w="109"/>
        <w:gridCol w:w="109"/>
        <w:gridCol w:w="109"/>
        <w:gridCol w:w="212"/>
        <w:gridCol w:w="831"/>
        <w:gridCol w:w="109"/>
        <w:gridCol w:w="109"/>
        <w:gridCol w:w="109"/>
        <w:gridCol w:w="109"/>
        <w:gridCol w:w="212"/>
        <w:gridCol w:w="831"/>
        <w:gridCol w:w="161"/>
      </w:tblGrid>
      <w:tr>
        <w:trPr/>
        <w:tc>
          <w:tcPr>
            <w:tcW w:w="194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r>
      <w:tr>
        <w:trPr/>
        <w:tc>
          <w:tcPr>
            <w:tcW w:w="4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services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85,441 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240,404 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 SOLD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impairments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estimated fair value of acquisition-related contingent consideration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(loss) income </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(BENEFIT) </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EQUITY INVESTMENT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PER SHARE:</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74,159 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73,324 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74,127 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74,115 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ORASURE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INCOME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741" w:type="dxa"/>
        <w:jc w:val="left"/>
        <w:tblInd w:w="0" w:type="dxa"/>
        <w:tblLayout w:type="fixed"/>
        <w:tblCellMar>
          <w:top w:w="28" w:type="dxa"/>
          <w:left w:w="28" w:type="dxa"/>
          <w:bottom w:w="28" w:type="dxa"/>
          <w:right w:w="28" w:type="dxa"/>
        </w:tblCellMar>
      </w:tblPr>
      <w:tblGrid>
        <w:gridCol w:w="1399"/>
        <w:gridCol w:w="1232"/>
        <w:gridCol w:w="1238"/>
        <w:gridCol w:w="256"/>
        <w:gridCol w:w="838"/>
        <w:gridCol w:w="132"/>
        <w:gridCol w:w="132"/>
        <w:gridCol w:w="132"/>
        <w:gridCol w:w="132"/>
        <w:gridCol w:w="256"/>
        <w:gridCol w:w="838"/>
        <w:gridCol w:w="132"/>
        <w:gridCol w:w="109"/>
        <w:gridCol w:w="109"/>
        <w:gridCol w:w="109"/>
        <w:gridCol w:w="235"/>
        <w:gridCol w:w="769"/>
        <w:gridCol w:w="121"/>
        <w:gridCol w:w="121"/>
        <w:gridCol w:w="121"/>
        <w:gridCol w:w="121"/>
        <w:gridCol w:w="235"/>
        <w:gridCol w:w="803"/>
        <w:gridCol w:w="171"/>
      </w:tblGrid>
      <w:tr>
        <w:trPr/>
        <w:tc>
          <w:tcPr>
            <w:tcW w:w="139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INCOME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ORASURE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896" w:type="dxa"/>
        <w:jc w:val="center"/>
        <w:tblInd w:w="0" w:type="dxa"/>
        <w:tblLayout w:type="fixed"/>
        <w:tblCellMar>
          <w:top w:w="28" w:type="dxa"/>
          <w:left w:w="28" w:type="dxa"/>
          <w:bottom w:w="28" w:type="dxa"/>
          <w:right w:w="28" w:type="dxa"/>
        </w:tblCellMar>
      </w:tblPr>
      <w:tblGrid>
        <w:gridCol w:w="2608"/>
        <w:gridCol w:w="2290"/>
        <w:gridCol w:w="2302"/>
        <w:gridCol w:w="213"/>
        <w:gridCol w:w="837"/>
        <w:gridCol w:w="110"/>
        <w:gridCol w:w="110"/>
        <w:gridCol w:w="110"/>
        <w:gridCol w:w="110"/>
        <w:gridCol w:w="213"/>
        <w:gridCol w:w="837"/>
        <w:gridCol w:w="156"/>
      </w:tblGrid>
      <w:tr>
        <w:trPr/>
        <w:tc>
          <w:tcPr>
            <w:tcW w:w="2608"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ACTIVITIES:</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Net (loss) income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(loss) income to net cash provided by operating activities: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on impairments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non-cash amortization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credit losses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Unrealized foreign currency (gain) loss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on finance leases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on equity investment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the estimated fair value of acquisition-related contingent consideration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 of acquisition-related contingent consideration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assets and liabilities: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expenses and other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operating activities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14,583 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63,270 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INVESTING ACTIVITIES:</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short-term investments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equity method investee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maturities and redemptions of short-term investments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property and equipment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property and equipment under government contracts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funding under government contract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(used in) investing activities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(40,865)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38,171 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ACTIVITIES:</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payments for lease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exercise of stock options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 of acquisition-related contingent consideration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 of common stock</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financing activities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(3,338)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FOREIGN EXCHANGE RATE CHANGES ON CASH</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(DECREASE) IN CASH AND CASH EQUIVALENTS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BEGINNING OF PERIOD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END OF PERIOD</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258,239 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185,936 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SUPPLEMENTAL DISCLOSURES OF CASH FLOW INFORMATION:</w:t>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for income taxes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Non-cash investing and financing activities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property and equipment purchases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ORASURE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1.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both"/>
        <w:rPr/>
      </w:pPr>
      <w:r>
        <w:rPr>
          <w:rFonts w:ascii="Times New Roman;sans-serif" w:hAnsi="Times New Roman;sans-serif"/>
          <w:b w:val="false"/>
          <w:i/>
          <w:color w:val="000000"/>
          <w:sz w:val="20"/>
        </w:rPr>
        <w:t>Principles of Consolidation and Basis of Presentation</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unaudited consolidated financial statements include the accounts of OraSure Technologies, Inc. (“OraSure”) and its wholly-owned subsidiaries, DNA Genotek Inc. (“DNAG”), Diversigen, Inc. (“Diversigen”), and Novosanis NV (“Novosanis”). All intercompany transactions and balances have been eliminated. References herein to “we,” “us,” “our,” or the “Company” mean OraSure and its consolidated subsidiaries, unless otherwise indicated. The unaudited financial statements, in the opinion of management, include all adjustments (consisting only of normal and recurring adjustments) necessary for a fair presentation of the Company's financial position and results of operations for these interim periods. These financial statements should be read in conjunction with the financial statements and notes thereto included in the Company's Annual Report on Form 10-K for the fiscal year ended December 31, 2023. Results of operations for the three and six months ended June 30, 2024 are not necessarily indicative of the results of operations expected for the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Summary of Significant Accounting Policies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to the Company's significant accounting policies described in its Annual Report on Form 10-K for the fiscal year ended December 31, 2023 that have had a material impact on the consolidated financial statements and related notes except as discussed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val="false"/>
          <w:i/>
          <w:color w:val="000000"/>
          <w:sz w:val="20"/>
        </w:rPr>
        <w:t>Cash Equivalents &amp; Short-Term Investments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investments in debt securities to be available-for-sale securities. These securities consist of guaranteed investment certificates purchased with maturities greater than ninety days. Securities with maturities ninety days or less are considered cash equivalents. Available-for-sale securities are carried at fair value, based upon quoted market prices, with unrealized gains and losses, if any, reported in stockholders’ equity as a component of accumulated other comprehensive loss.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available-for-sale securities (in thousands):</w:t>
      </w:r>
    </w:p>
    <w:tbl>
      <w:tblPr>
        <w:tblW w:w="10205" w:type="dxa"/>
        <w:jc w:val="left"/>
        <w:tblInd w:w="0" w:type="dxa"/>
        <w:tblLayout w:type="fixed"/>
        <w:tblCellMar>
          <w:top w:w="28" w:type="dxa"/>
          <w:left w:w="28" w:type="dxa"/>
          <w:bottom w:w="28" w:type="dxa"/>
          <w:right w:w="28" w:type="dxa"/>
        </w:tblCellMar>
      </w:tblPr>
      <w:tblGrid>
        <w:gridCol w:w="2164"/>
        <w:gridCol w:w="1718"/>
        <w:gridCol w:w="1652"/>
        <w:gridCol w:w="211"/>
        <w:gridCol w:w="616"/>
        <w:gridCol w:w="109"/>
        <w:gridCol w:w="109"/>
        <w:gridCol w:w="109"/>
        <w:gridCol w:w="109"/>
        <w:gridCol w:w="257"/>
        <w:gridCol w:w="495"/>
        <w:gridCol w:w="134"/>
        <w:gridCol w:w="109"/>
        <w:gridCol w:w="109"/>
        <w:gridCol w:w="109"/>
        <w:gridCol w:w="257"/>
        <w:gridCol w:w="495"/>
        <w:gridCol w:w="134"/>
        <w:gridCol w:w="109"/>
        <w:gridCol w:w="109"/>
        <w:gridCol w:w="109"/>
        <w:gridCol w:w="211"/>
        <w:gridCol w:w="616"/>
        <w:gridCol w:w="155"/>
      </w:tblGrid>
      <w:tr>
        <w:trPr/>
        <w:tc>
          <w:tcPr>
            <w:tcW w:w="2164"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2024</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Guaranteed investment certificates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At June 30, 2024, maturities of the Company's available-for-sale securities were as follows: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one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one year</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 available-for-sale securities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val="false"/>
          <w:i/>
          <w:color w:val="000000"/>
          <w:sz w:val="20"/>
        </w:rPr>
        <w:t>Fair Value of Financial Instruments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carrying values of cash and cash equivalents, accounts receivable, accounts payable, and accrued expenses approximate their respective fair values based on their short-term nature.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of all financial assets and liabilities that are being measured and reported on a fair value basis are required to be classified and disclosed in one of the following three categories: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Unadjusted quoted prices in active markets that are accessible at the measurement date for identical, unrestricted assets or liabilities;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Quoted prices in markets that are not active, or inputs which are observable, either directly or indirectly, for substantially the full term of the asset or liability; and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Prices or valuation techniques that require inputs that are both significant to the fair value measurement and unobservable (i.e., supported by little or no market activity).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guaranteed investment certificates are measured as Level 1 instruments as of June 30,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cash and cash equivalents at June 30, 2024 and December 31, 2023 was $60.3 million and $71.7 million, respectively, of guaranteed investment certificates. All of the Company's guaranteed investment certificates are measured as Level 1 instruments.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Also included in cash and cash equivalents at June 30, 2024 and December 31, 2023 was $115.6 million and $112.7 million, respectively, invested in money market funds. These money market funds have investments in U.S. government securities and are measured as Level 1 instruments.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a nonqualified deferred compensation plan for certain eligible employees and members of its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and company stock. The fair value of the plan assets as of both June 30, 2024 and December 31, 2023 was $0.7 million and was calculated using the quoted market prices of the assets as of those dates. All investments in the plan are classified as trading securities and measured as Level 1 financial instruments. The fair value of plan assets is included in both current assets and noncurrent assets with the same amount included in accrued expenses and other noncurrent liabilities in the accompanying consolidated balance sheets.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Method Investee</w:t>
      </w:r>
    </w:p>
    <w:p>
      <w:pPr>
        <w:pStyle w:val="TextBody"/>
        <w:bidi w:val="0"/>
        <w:spacing w:lineRule="auto" w:line="288" w:before="240" w:after="283"/>
        <w:jc w:val="both"/>
        <w:rPr/>
      </w:pPr>
      <w:r>
        <w:rPr>
          <w:rFonts w:ascii="Times New Roman;sans-serif" w:hAnsi="Times New Roman;sans-serif"/>
          <w:b w:val="false"/>
          <w:color w:val="000000"/>
          <w:sz w:val="20"/>
        </w:rPr>
        <w:t xml:space="preserve">In January 2024, the Company lead the Series B financing and entered into wide-ranging strategic distribution agreements with KKR Sapphiros L.P. ("Sapphiros"), a privately held consumer diagnostic portfolio company, and certain of its related entities. Through this relationship, the Company expects to be able to offer a more comprehensive range of low-cost diagnostic tests and molecular sample management solutions to the Company's customers globally. As of June 30, 2024, the Company had funded $28.3 million for an interest in Sapphiros, with an aggregate commitment of up to $30.0 million, of which the remainder was funded in July 2024. The Company has recorded the investment using the equity method in accordance with Accounting Standards Codification ("ASC") Topic 323, </w:t>
      </w:r>
      <w:r>
        <w:rPr>
          <w:rFonts w:ascii="Times New Roman;sans-serif" w:hAnsi="Times New Roman;sans-serif"/>
          <w:b w:val="false"/>
          <w:i/>
          <w:color w:val="000000"/>
          <w:sz w:val="20"/>
        </w:rPr>
        <w:t xml:space="preserve">Investments—Equity Method and Joint Ventures—Overall. </w:t>
      </w:r>
      <w:r>
        <w:rPr>
          <w:rFonts w:ascii="Times New Roman;sans-serif" w:hAnsi="Times New Roman;sans-serif"/>
          <w:b w:val="false"/>
          <w:color w:val="000000"/>
          <w:sz w:val="20"/>
        </w:rPr>
        <w:t>In accordance with the equity method, the Company's equity investment is presented net of its share of any gains or losses of the investee. The Company has elected as its accounting policy to recognize its share of any income or loss in Sapphiros on a three-month lag. The investment in Sapphiros of $27.8 million as of June 30, 2024 is included in the investment in equity method investee line of the Company's balance sheet and is measured as a Level 3 investment. The Company has no unconditional obligations or guarantees to, or in support of, our equity method investee and its operations. In conjunction with the preparation of the Company's June 30, 2024 financial statements, the Company considered whether the carrying values of Sapphiros was impaired and concluded that no such impairment existed. There was no similar investment as of December 31, 2023.</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foreign exchange gains and (losses) resulting from foreign currency transactions that are included in other income in the Company's consolidated statements of operations were $0.1 million and $(0.5) million for the three months ended June 30, 2024 and 2023, respectively. Net foreign exchange gains and (losses) resulting from foreign currency transactions for the six months ended June 30, 2024 and 2023 were $0.3 million and $(0.5)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 of Long-Lived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which include property, plant and equipment, definite-lived intangible assets, as well as right-of-use assets (ROU assets) of operating and finance leases, are tested for recoverability whenever events or changes in business circumstances indicate that the carrying amount of the assets may not be fully recoverable. The Company assesses the recoverability of the Company's long-lived assets by determining whether the carrying value of such assets can be recovered through the sum of the undiscounted future cash flows expected to be generated from the use and eventual disposition of the asset. If indicators of impairment exist, the Company measures the amount of such impairment by comparing the carrying value of the assets to the fair value of these assets, which is generally determined based on the present value of the expected future cash flows associated with the use of the assets. Expected future cash flows reflect the Company's assumptions about selling prices, volumes, costs and market conditions over a reasonable period of time.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2024, the Company identified a triggering event to test for the recoverability of all the property, plant, and equipment and ROU assets of both the Diversigen and Novosanis subsidiaries, given the Company's decision to initiate a strategic plan to transition away from the microbiome molecular sequencing services business and close its Belgian operations. The Company performed an undiscounted cash flow analysis and determined the carrying values of the property, plant and equipment and ROU assets could not be recovered through the sum of the undiscounted future cash flows and were impaired. During the six months ended June 30, 2024 the Company recognized aggregate pre-tax impairment charges of $1.2 million and $0.3 million to its operating and finance ROU assets, respectively. These charges are reported in the Company's consolidated statement of operations. The impact of the impairments on the Company's property, plant, equipment for the six months ended June 30, 2024 is discussed further in Note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val="false"/>
          <w:i/>
          <w:color w:val="000000"/>
          <w:sz w:val="20"/>
        </w:rPr>
        <w:t>Accumulated Other Comprehensive Loss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in accumulated other comprehensive loss by component is listed below (in thousands):</w:t>
      </w:r>
    </w:p>
    <w:tbl>
      <w:tblPr>
        <w:tblW w:w="5845" w:type="dxa"/>
        <w:jc w:val="left"/>
        <w:tblInd w:w="0" w:type="dxa"/>
        <w:tblLayout w:type="fixed"/>
        <w:tblCellMar>
          <w:top w:w="28" w:type="dxa"/>
          <w:left w:w="28" w:type="dxa"/>
          <w:bottom w:w="28" w:type="dxa"/>
          <w:right w:w="28" w:type="dxa"/>
        </w:tblCellMar>
      </w:tblPr>
      <w:tblGrid>
        <w:gridCol w:w="971"/>
        <w:gridCol w:w="855"/>
        <w:gridCol w:w="858"/>
        <w:gridCol w:w="275"/>
        <w:gridCol w:w="1038"/>
        <w:gridCol w:w="142"/>
        <w:gridCol w:w="109"/>
        <w:gridCol w:w="109"/>
        <w:gridCol w:w="109"/>
        <w:gridCol w:w="109"/>
        <w:gridCol w:w="109"/>
        <w:gridCol w:w="211"/>
        <w:gridCol w:w="79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Foreign Currency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2024</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(18,631)</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240" w:after="283"/>
        <w:jc w:val="both"/>
        <w:rPr/>
      </w:pPr>
      <w:r>
        <w:rPr>
          <w:rFonts w:ascii="Times New Roman;sans-serif" w:hAnsi="Times New Roman;sans-serif"/>
          <w:b w:val="false"/>
          <w:color w:val="000000"/>
          <w:sz w:val="20"/>
        </w:rPr>
        <w:t xml:space="preserve">In March 2024, the Financial Accounting Standards Board ("FASB") issued Accounting Standard Update ("ASU") No. 2024-01, </w:t>
      </w:r>
      <w:r>
        <w:rPr>
          <w:rFonts w:ascii="Times New Roman;sans-serif" w:hAnsi="Times New Roman;sans-serif"/>
          <w:b w:val="false"/>
          <w:i/>
          <w:color w:val="000000"/>
          <w:sz w:val="20"/>
        </w:rPr>
        <w:t>Compensation—Stock Compensation (Topic 718), Scope Application of Profits Interest and Similar Awards</w:t>
      </w:r>
      <w:r>
        <w:rPr>
          <w:rFonts w:ascii="Times New Roman;sans-serif" w:hAnsi="Times New Roman;sans-serif"/>
          <w:b w:val="false"/>
          <w:color w:val="000000"/>
          <w:sz w:val="20"/>
        </w:rPr>
        <w:t>. The purpose of this update was to provide illustrative examples to demonstrate how an entity should apply guidance to determine whether profits interests and similar awards should be accounted for in accordance with Topic 718. For public business entities, the amendments in this ASU are effective for fiscal years beginning after December 15, 2024, and interim periods within those fiscal periods. The amendments may be applied prospectively or retrospectively, and early adoption is permitted. Management is evaluating the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2.    Government Capital Contracts</w:t>
      </w:r>
    </w:p>
    <w:p>
      <w:pPr>
        <w:pStyle w:val="TextBody"/>
        <w:bidi w:val="0"/>
        <w:spacing w:lineRule="auto" w:line="288" w:before="120" w:after="283"/>
        <w:jc w:val="both"/>
        <w:rPr/>
      </w:pPr>
      <w:r>
        <w:rPr>
          <w:rFonts w:ascii="Times New Roman;sans-serif" w:hAnsi="Times New Roman;sans-serif"/>
          <w:b w:val="false"/>
          <w:color w:val="000000"/>
          <w:sz w:val="20"/>
        </w:rPr>
        <w:t>In September 2021, the Company entered into an agreement for $109.0 million in funding from the U.S. Department of Defense (the "DOD"), in coordination with the Department of Health and Human Services, to build additional manufacturing capacity in the United States for its InteliSwab</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COVID-19 Rapid Test as part of the nation’s pandemic preparedness plan. In accordance with the milestone payment schedule, 15% of the total was not billed and funded until the completion of the final validation testing, which occurred in October 2023. The Company began receiving funds from the DOD in January 2022 and has received $109.0 million as of December 31, 2023. In connection with the completion of the contract in the fourth quarter of 2023, all funds were received.</w:t>
      </w:r>
    </w:p>
    <w:p>
      <w:pPr>
        <w:pStyle w:val="TextBody"/>
        <w:bidi w:val="0"/>
        <w:spacing w:lineRule="auto" w:line="288" w:before="240" w:after="283"/>
        <w:jc w:val="both"/>
        <w:rPr/>
      </w:pPr>
      <w:r>
        <w:rPr>
          <w:rFonts w:ascii="Times New Roman;sans-serif" w:hAnsi="Times New Roman;sans-serif"/>
          <w:b w:val="false"/>
          <w:color w:val="000000"/>
          <w:sz w:val="20"/>
        </w:rPr>
        <w:t xml:space="preserve">Activity for these capital contracts was accounted for pursuant to International Accounting Standards ("IAS") 20, </w:t>
      </w:r>
      <w:r>
        <w:rPr>
          <w:rFonts w:ascii="Times New Roman;sans-serif" w:hAnsi="Times New Roman;sans-serif"/>
          <w:b w:val="false"/>
          <w:i/>
          <w:color w:val="000000"/>
          <w:sz w:val="20"/>
        </w:rPr>
        <w:t xml:space="preserve">Accounting for Government Grants and Disclosure of Government Assistance, </w:t>
      </w:r>
      <w:r>
        <w:rPr>
          <w:rFonts w:ascii="Times New Roman;sans-serif" w:hAnsi="Times New Roman;sans-serif"/>
          <w:b w:val="false"/>
          <w:color w:val="000000"/>
          <w:sz w:val="20"/>
        </w:rPr>
        <w:t>as there is not direct US GAAP guidance for this type of transaction. Funding received in relation to capital-related costs incurred for government contracts was recorded as a reduction to the cost of property, plant and equipment and reflected within investing activities in the consolidated statements of cash flows; and associated unpaid liabilities and government proceeds receivable were considered non-cash changes in such balances within the operating section of the consolidated statements of cash flows.</w:t>
      </w:r>
    </w:p>
    <w:p>
      <w:pPr>
        <w:pStyle w:val="TextBody"/>
        <w:bidi w:val="0"/>
        <w:spacing w:lineRule="auto" w:line="288" w:before="240" w:after="283"/>
        <w:jc w:val="both"/>
        <w:rPr/>
      </w:pPr>
      <w:r>
        <w:rPr>
          <w:rFonts w:ascii="Times New Roman;sans-serif" w:hAnsi="Times New Roman;sans-serif"/>
          <w:b w:val="false"/>
          <w:color w:val="000000"/>
          <w:sz w:val="20"/>
        </w:rPr>
        <w:t>Amounts earned for the Company's guaranteed profit which covered project management costs were recognized straight-line in other income over the term of the government contract. The Company recognized no such income during the three and six months ended June 30, 2024. The Company recognized $0.6 million</w:t>
      </w:r>
      <w:r>
        <w:rPr>
          <w:color w:val="000000"/>
        </w:rPr>
        <w:t xml:space="preserve"> </w:t>
      </w:r>
      <w:r>
        <w:rPr>
          <w:rFonts w:ascii="Times New Roman;sans-serif" w:hAnsi="Times New Roman;sans-serif"/>
          <w:b w:val="false"/>
          <w:color w:val="000000"/>
          <w:sz w:val="20"/>
        </w:rPr>
        <w:t xml:space="preserve">and $1.1 million of such income during the three and six months ended June 30, 2023, 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DOD also reimbursed the Company for certain engineering consulting costs. These expenses are reflected in research and development expenses as incurred with the corresponding amount presented in other income. The Company recognized no such costs during the three and six months ended June 30, 2024. The Company recognized $0.5 million and $1.6 million of such costs during the three and six months ended June 30, 2023,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activity corresponding to the government contracts included in the Company's consolidated statements of cash flows for the cumulative period ended December 31, 2023 is as follows (in thousands):</w:t>
      </w:r>
    </w:p>
    <w:tbl>
      <w:tblPr>
        <w:tblW w:w="4979" w:type="dxa"/>
        <w:jc w:val="left"/>
        <w:tblInd w:w="0" w:type="dxa"/>
        <w:tblLayout w:type="fixed"/>
        <w:tblCellMar>
          <w:top w:w="28" w:type="dxa"/>
          <w:left w:w="28" w:type="dxa"/>
          <w:bottom w:w="28" w:type="dxa"/>
          <w:right w:w="28" w:type="dxa"/>
        </w:tblCellMar>
      </w:tblPr>
      <w:tblGrid>
        <w:gridCol w:w="1230"/>
        <w:gridCol w:w="1084"/>
        <w:gridCol w:w="1090"/>
        <w:gridCol w:w="109"/>
        <w:gridCol w:w="109"/>
        <w:gridCol w:w="109"/>
        <w:gridCol w:w="109"/>
        <w:gridCol w:w="221"/>
        <w:gridCol w:w="757"/>
        <w:gridCol w:w="161"/>
      </w:tblGrid>
      <w:tr>
        <w:trPr/>
        <w:tc>
          <w:tcPr>
            <w:tcW w:w="123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assets, cumulative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for funding received to date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3.    Inventories (in thousands)</w:t>
      </w:r>
    </w:p>
    <w:tbl>
      <w:tblPr>
        <w:tblW w:w="3932" w:type="dxa"/>
        <w:jc w:val="left"/>
        <w:tblInd w:w="0" w:type="dxa"/>
        <w:tblLayout w:type="fixed"/>
        <w:tblCellMar>
          <w:top w:w="28" w:type="dxa"/>
          <w:left w:w="28" w:type="dxa"/>
          <w:bottom w:w="28" w:type="dxa"/>
          <w:right w:w="28" w:type="dxa"/>
        </w:tblCellMar>
      </w:tblPr>
      <w:tblGrid>
        <w:gridCol w:w="516"/>
        <w:gridCol w:w="453"/>
        <w:gridCol w:w="456"/>
        <w:gridCol w:w="211"/>
        <w:gridCol w:w="721"/>
        <w:gridCol w:w="109"/>
        <w:gridCol w:w="109"/>
        <w:gridCol w:w="109"/>
        <w:gridCol w:w="109"/>
        <w:gridCol w:w="221"/>
        <w:gridCol w:w="757"/>
        <w:gridCol w:w="16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47,614 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4.    Property, Plant and Equipment, net (in thousands)</w:t>
      </w:r>
    </w:p>
    <w:tbl>
      <w:tblPr>
        <w:tblW w:w="5417" w:type="dxa"/>
        <w:jc w:val="left"/>
        <w:tblInd w:w="0" w:type="dxa"/>
        <w:tblLayout w:type="fixed"/>
        <w:tblCellMar>
          <w:top w:w="28" w:type="dxa"/>
          <w:left w:w="28" w:type="dxa"/>
          <w:bottom w:w="28" w:type="dxa"/>
          <w:right w:w="28" w:type="dxa"/>
        </w:tblCellMar>
      </w:tblPr>
      <w:tblGrid>
        <w:gridCol w:w="1054"/>
        <w:gridCol w:w="923"/>
        <w:gridCol w:w="933"/>
        <w:gridCol w:w="211"/>
        <w:gridCol w:w="721"/>
        <w:gridCol w:w="109"/>
        <w:gridCol w:w="109"/>
        <w:gridCol w:w="109"/>
        <w:gridCol w:w="109"/>
        <w:gridCol w:w="221"/>
        <w:gridCol w:w="757"/>
        <w:gridCol w:w="161"/>
      </w:tblGrid>
      <w:tr>
        <w:trPr/>
        <w:tc>
          <w:tcPr>
            <w:tcW w:w="105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130,563 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(85,143)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2024, the Company initiated a strategic plan to transition away from the microbiome molecular sequencing services business and to exit operations at its Belgium location. As a result of these decisions, the Company determined that the carrying values of all the property, plant, and equipment of its Diversigen and Novosanis subsidiaries were not recoverable and recorded an aggregate pre-tax asset impairment charge of $1.8 million during the six months ended June 30, 2024.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the Company determined a manufacturing line will no longer be utilized. As a result of this decision, the Company determined that the carrying value of the equipment was not recoverable and recorded an aggregate pre-tax impairment charge of $1.1 million during the six months ended June 30,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the Company determined several manufacturing lines will not be utilized due to changes in forecasted demand for the products the equipment is intended to produce. Additionally, the Company elected not to proceed with certain leasehold improvements to its research and development laboratories. As a result of these decisions, the Company determined that the carrying values of the equipment and leasehold improvements made to date were not recoverable and recorded an aggregate pre-tax asset impairment charge of $1.3 million during the six months ended June 30, 2023.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the extremely specialized nature of the property, plant, and equipment in each triggering event noted above and due to various market data points, the estimated fair value of all assets was determined to be zero. These charges are reported within loss on impairments in the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5.    Accrued Expenses and Other Current Liabilities (in thousands)</w:t>
      </w:r>
    </w:p>
    <w:tbl>
      <w:tblPr>
        <w:tblW w:w="4846" w:type="dxa"/>
        <w:jc w:val="left"/>
        <w:tblInd w:w="0" w:type="dxa"/>
        <w:tblLayout w:type="fixed"/>
        <w:tblCellMar>
          <w:top w:w="28" w:type="dxa"/>
          <w:left w:w="28" w:type="dxa"/>
          <w:bottom w:w="28" w:type="dxa"/>
          <w:right w:w="28" w:type="dxa"/>
        </w:tblCellMar>
      </w:tblPr>
      <w:tblGrid>
        <w:gridCol w:w="846"/>
        <w:gridCol w:w="745"/>
        <w:gridCol w:w="748"/>
        <w:gridCol w:w="211"/>
        <w:gridCol w:w="721"/>
        <w:gridCol w:w="109"/>
        <w:gridCol w:w="109"/>
        <w:gridCol w:w="109"/>
        <w:gridCol w:w="109"/>
        <w:gridCol w:w="221"/>
        <w:gridCol w:w="757"/>
        <w:gridCol w:w="161"/>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related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6.    Termination Benefits</w:t>
      </w:r>
    </w:p>
    <w:p>
      <w:pPr>
        <w:pStyle w:val="TextBody"/>
        <w:bidi w:val="0"/>
        <w:spacing w:lineRule="auto" w:line="288" w:before="360" w:after="283"/>
        <w:ind w:left="0" w:right="0" w:hanging="108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Reduction in Workforce</w:t>
      </w:r>
    </w:p>
    <w:p>
      <w:pPr>
        <w:pStyle w:val="TextBody"/>
        <w:bidi w:val="0"/>
        <w:spacing w:lineRule="auto" w:line="288" w:before="120" w:after="283"/>
        <w:jc w:val="both"/>
        <w:rPr/>
      </w:pPr>
      <w:r>
        <w:rPr>
          <w:rFonts w:ascii="Times New Roman;sans-serif" w:hAnsi="Times New Roman;sans-serif"/>
          <w:b w:val="false"/>
          <w:color w:val="000000"/>
          <w:sz w:val="20"/>
        </w:rPr>
        <w:t xml:space="preserve">During the first and second quarters of 2023, the Company executed a reduction in workforce. This was accounted for pursuant to ASC 420, </w:t>
      </w:r>
      <w:r>
        <w:rPr>
          <w:rFonts w:ascii="Times New Roman;sans-serif" w:hAnsi="Times New Roman;sans-serif"/>
          <w:b w:val="false"/>
          <w:i/>
          <w:color w:val="000000"/>
          <w:sz w:val="20"/>
        </w:rPr>
        <w:t>Exit or Disposal Cost Obligations</w:t>
      </w:r>
      <w:r>
        <w:rPr>
          <w:rFonts w:ascii="Times New Roman;sans-serif" w:hAnsi="Times New Roman;sans-serif"/>
          <w:b w:val="false"/>
          <w:color w:val="000000"/>
          <w:sz w:val="20"/>
        </w:rPr>
        <w:t>. The charges for termination benefits included in the Company's consolidated statements of operations are as follows (in thousands):</w:t>
      </w:r>
    </w:p>
    <w:tbl>
      <w:tblPr>
        <w:tblW w:w="8748" w:type="dxa"/>
        <w:jc w:val="left"/>
        <w:tblInd w:w="0" w:type="dxa"/>
        <w:tblLayout w:type="fixed"/>
        <w:tblCellMar>
          <w:top w:w="28" w:type="dxa"/>
          <w:left w:w="28" w:type="dxa"/>
          <w:bottom w:w="28" w:type="dxa"/>
          <w:right w:w="28" w:type="dxa"/>
        </w:tblCellMar>
      </w:tblPr>
      <w:tblGrid>
        <w:gridCol w:w="1042"/>
        <w:gridCol w:w="917"/>
        <w:gridCol w:w="920"/>
        <w:gridCol w:w="327"/>
        <w:gridCol w:w="629"/>
        <w:gridCol w:w="168"/>
        <w:gridCol w:w="168"/>
        <w:gridCol w:w="168"/>
        <w:gridCol w:w="168"/>
        <w:gridCol w:w="327"/>
        <w:gridCol w:w="722"/>
        <w:gridCol w:w="168"/>
        <w:gridCol w:w="109"/>
        <w:gridCol w:w="109"/>
        <w:gridCol w:w="109"/>
        <w:gridCol w:w="280"/>
        <w:gridCol w:w="539"/>
        <w:gridCol w:w="144"/>
        <w:gridCol w:w="144"/>
        <w:gridCol w:w="144"/>
        <w:gridCol w:w="144"/>
        <w:gridCol w:w="280"/>
        <w:gridCol w:w="818"/>
        <w:gridCol w:w="20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 sold</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had fully paid the $3.3 million related to the reduction in workforce. No additional expense associated with the 2023 reduction in workforce was incurred during the six months ended June 30, 2024. This plan was completed as of June 30, 2024.</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Q1 2024 Reduction in Workforce</w:t>
      </w:r>
    </w:p>
    <w:p>
      <w:pPr>
        <w:pStyle w:val="TextBody"/>
        <w:bidi w:val="0"/>
        <w:spacing w:lineRule="auto" w:line="288" w:before="240" w:after="283"/>
        <w:jc w:val="both"/>
        <w:rPr/>
      </w:pPr>
      <w:r>
        <w:rPr>
          <w:rFonts w:ascii="Times New Roman;sans-serif" w:hAnsi="Times New Roman;sans-serif"/>
          <w:b w:val="false"/>
          <w:color w:val="000000"/>
          <w:sz w:val="20"/>
        </w:rPr>
        <w:t xml:space="preserve">During the first quarter of 2024, the Company executed a reduction in workforce largely affecting its COVID-19 manufacturing workforce. This was accounted for pursuant to ASC 420, </w:t>
      </w:r>
      <w:r>
        <w:rPr>
          <w:rFonts w:ascii="Times New Roman;sans-serif" w:hAnsi="Times New Roman;sans-serif"/>
          <w:b w:val="false"/>
          <w:i/>
          <w:color w:val="000000"/>
          <w:sz w:val="20"/>
        </w:rPr>
        <w:t>Exit or Disposal Cost Obligations</w:t>
      </w:r>
      <w:r>
        <w:rPr>
          <w:rFonts w:ascii="Times New Roman;sans-serif" w:hAnsi="Times New Roman;sans-serif"/>
          <w:b w:val="false"/>
          <w:color w:val="000000"/>
          <w:sz w:val="20"/>
        </w:rPr>
        <w:t>. The charges for termination benefits included in the Company's consolidated statements of operations are as follows (in thousands):</w:t>
      </w:r>
    </w:p>
    <w:tbl>
      <w:tblPr>
        <w:tblW w:w="6014" w:type="dxa"/>
        <w:jc w:val="left"/>
        <w:tblInd w:w="0" w:type="dxa"/>
        <w:tblLayout w:type="fixed"/>
        <w:tblCellMar>
          <w:top w:w="28" w:type="dxa"/>
          <w:left w:w="28" w:type="dxa"/>
          <w:bottom w:w="28" w:type="dxa"/>
          <w:right w:w="28" w:type="dxa"/>
        </w:tblCellMar>
      </w:tblPr>
      <w:tblGrid>
        <w:gridCol w:w="1042"/>
        <w:gridCol w:w="917"/>
        <w:gridCol w:w="920"/>
        <w:gridCol w:w="109"/>
        <w:gridCol w:w="109"/>
        <w:gridCol w:w="109"/>
        <w:gridCol w:w="109"/>
        <w:gridCol w:w="685"/>
        <w:gridCol w:w="1514"/>
        <w:gridCol w:w="500"/>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 sold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As of June 30, 2024 the Company had $51.8 thousand accrued and had paid $0.4 million related to the reduction in workforce. No additional expense associated with the Q1 2024 reduction in workforce was incurred during the three months ended June 30, 2024</w:t>
      </w:r>
      <w:r>
        <w:rPr>
          <w:rFonts w:ascii="Arial;sans-serif" w:hAnsi="Arial;sans-serif"/>
          <w:b w:val="false"/>
          <w:color w:val="000000"/>
          <w:sz w:val="24"/>
        </w:rPr>
        <w:t xml:space="preserve">. </w:t>
      </w:r>
      <w:r>
        <w:rPr>
          <w:rFonts w:ascii="Times New Roman;sans-serif" w:hAnsi="Times New Roman;sans-serif"/>
          <w:b w:val="false"/>
          <w:color w:val="000000"/>
          <w:sz w:val="20"/>
        </w:rPr>
        <w:t>The Company expects this plan to be completed by December 31, 2024.</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Q2 2024 Reduction in Workforce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2024, the Company executed an additional reduction in workforce as the Company notified employees of its intention to consolidate its Novosanis site in Belgium into other locations by the end of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rPr>
        <w:t xml:space="preserve">2024, discontinue the Diversigen molecular services line of business by the end of June 30, 2024, and consolidate facilities by third-party manufacturing activities into its Pennsylvania facilities by the end of the third quarter of 2025. This was accounted for pursuant to ASC 420, </w:t>
      </w:r>
      <w:r>
        <w:rPr>
          <w:rFonts w:ascii="Times New Roman;sans-serif" w:hAnsi="Times New Roman;sans-serif"/>
          <w:b w:val="false"/>
          <w:i/>
          <w:color w:val="000000"/>
          <w:sz w:val="20"/>
        </w:rPr>
        <w:t>Exit or Disposal Cost Obligations</w:t>
      </w:r>
      <w:r>
        <w:rPr>
          <w:rFonts w:ascii="Times New Roman;sans-serif" w:hAnsi="Times New Roman;sans-serif"/>
          <w:b w:val="false"/>
          <w:color w:val="000000"/>
          <w:sz w:val="20"/>
        </w:rPr>
        <w:t>. The charges for termination benefits included in the Company's consolidated statements of operations are as follows (in thousands):</w:t>
      </w:r>
    </w:p>
    <w:tbl>
      <w:tblPr>
        <w:tblW w:w="5992" w:type="dxa"/>
        <w:jc w:val="left"/>
        <w:tblInd w:w="0" w:type="dxa"/>
        <w:tblLayout w:type="fixed"/>
        <w:tblCellMar>
          <w:top w:w="28" w:type="dxa"/>
          <w:left w:w="28" w:type="dxa"/>
          <w:bottom w:w="28" w:type="dxa"/>
          <w:right w:w="28" w:type="dxa"/>
        </w:tblCellMar>
      </w:tblPr>
      <w:tblGrid>
        <w:gridCol w:w="1042"/>
        <w:gridCol w:w="917"/>
        <w:gridCol w:w="920"/>
        <w:gridCol w:w="642"/>
        <w:gridCol w:w="1876"/>
        <w:gridCol w:w="332"/>
        <w:gridCol w:w="109"/>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 sold</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had $1.5 million accrued and had paid $0.2 million related to the reduction in workforce. The Company expects this plan to be completed by September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7.    Revenues</w:t>
      </w:r>
    </w:p>
    <w:p>
      <w:pPr>
        <w:pStyle w:val="TextBody"/>
        <w:bidi w:val="0"/>
        <w:spacing w:lineRule="auto" w:line="288" w:before="120" w:after="283"/>
        <w:jc w:val="both"/>
        <w:rPr/>
      </w:pPr>
      <w:r>
        <w:rPr>
          <w:rFonts w:ascii="Times New Roman;sans-serif" w:hAnsi="Times New Roman;sans-serif"/>
          <w:b w:val="false"/>
          <w:i/>
          <w:color w:val="000000"/>
          <w:sz w:val="20"/>
          <w:u w:val="single"/>
        </w:rPr>
        <w:t>Revenues by product line</w:t>
      </w:r>
      <w:r>
        <w:rPr>
          <w:rFonts w:ascii="Times New Roman;sans-serif" w:hAnsi="Times New Roman;sans-serif"/>
          <w:b w:val="false"/>
          <w:color w:val="000000"/>
          <w:sz w:val="20"/>
        </w:rPr>
        <w:t>. The following table represents total net revenues by product line (in thousands):</w:t>
      </w:r>
    </w:p>
    <w:tbl>
      <w:tblPr>
        <w:tblW w:w="9616" w:type="dxa"/>
        <w:jc w:val="left"/>
        <w:tblInd w:w="0" w:type="dxa"/>
        <w:tblLayout w:type="fixed"/>
        <w:tblCellMar>
          <w:top w:w="28" w:type="dxa"/>
          <w:left w:w="28" w:type="dxa"/>
          <w:bottom w:w="28" w:type="dxa"/>
          <w:right w:w="28" w:type="dxa"/>
        </w:tblCellMar>
      </w:tblPr>
      <w:tblGrid>
        <w:gridCol w:w="1359"/>
        <w:gridCol w:w="1190"/>
        <w:gridCol w:w="1200"/>
        <w:gridCol w:w="249"/>
        <w:gridCol w:w="853"/>
        <w:gridCol w:w="128"/>
        <w:gridCol w:w="128"/>
        <w:gridCol w:w="128"/>
        <w:gridCol w:w="128"/>
        <w:gridCol w:w="249"/>
        <w:gridCol w:w="853"/>
        <w:gridCol w:w="128"/>
        <w:gridCol w:w="109"/>
        <w:gridCol w:w="109"/>
        <w:gridCol w:w="109"/>
        <w:gridCol w:w="213"/>
        <w:gridCol w:w="837"/>
        <w:gridCol w:w="110"/>
        <w:gridCol w:w="110"/>
        <w:gridCol w:w="110"/>
        <w:gridCol w:w="110"/>
        <w:gridCol w:w="213"/>
        <w:gridCol w:w="837"/>
        <w:gridCol w:w="156"/>
      </w:tblGrid>
      <w:tr>
        <w:trPr/>
        <w:tc>
          <w:tcPr>
            <w:tcW w:w="135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COVID-19 </w:t>
            </w:r>
            <w:r>
              <w:rPr>
                <w:rFonts w:ascii="Times New Roman;sans-serif" w:hAnsi="Times New Roman;sans-serif"/>
                <w:b w:val="false"/>
                <w:color w:val="000000"/>
                <w:sz w:val="13"/>
              </w:rPr>
              <w:t>(1)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HIV</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Molecular Sample Management Solutions </w:t>
            </w:r>
            <w:r>
              <w:rPr>
                <w:rFonts w:ascii="Times New Roman;sans-serif" w:hAnsi="Times New Roman;sans-serif"/>
                <w:b w:val="false"/>
                <w:color w:val="000000"/>
                <w:sz w:val="13"/>
              </w:rPr>
              <w:t>(2)</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HCV</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Risk assessment testing </w:t>
            </w:r>
            <w:r>
              <w:rPr>
                <w:rFonts w:ascii="Times New Roman;sans-serif" w:hAnsi="Times New Roman;sans-serif"/>
                <w:b w:val="false"/>
                <w:color w:val="000000"/>
                <w:sz w:val="13"/>
              </w:rPr>
              <w:t>(3)</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Molecular Services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product and service revenues </w:t>
            </w:r>
            <w:r>
              <w:rPr>
                <w:rFonts w:ascii="Times New Roman;sans-serif" w:hAnsi="Times New Roman;sans-serif"/>
                <w:b w:val="false"/>
                <w:color w:val="000000"/>
                <w:sz w:val="13"/>
              </w:rPr>
              <w:t>(4)</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and services revenues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Non-product and services revenues </w:t>
            </w:r>
            <w:r>
              <w:rPr>
                <w:rFonts w:ascii="Times New Roman;sans-serif" w:hAnsi="Times New Roman;sans-serif"/>
                <w:b w:val="false"/>
                <w:color w:val="000000"/>
                <w:sz w:val="13"/>
              </w:rPr>
              <w:t>(5)</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85,441 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108,467 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240,404 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27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Includes COVID-19 Diagnostics and COVID-19 Molecular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Includes Genomics, Microbiome and Novosanis product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Includes substance abuse testing products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Includes Syphilis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(5)</w:t>
      </w:r>
      <w:r>
        <w:rPr>
          <w:rFonts w:ascii="Times New Roman;sans-serif" w:hAnsi="Times New Roman;sans-serif"/>
          <w:b w:val="false"/>
          <w:color w:val="000000"/>
          <w:sz w:val="16"/>
        </w:rPr>
        <w:t>Includes funded research and development contracts, royalty income and grant revenues.</w:t>
      </w:r>
    </w:p>
    <w:p>
      <w:pPr>
        <w:pStyle w:val="TextBody"/>
        <w:bidi w:val="0"/>
        <w:spacing w:lineRule="auto" w:line="288" w:before="240" w:after="283"/>
        <w:jc w:val="both"/>
        <w:rPr/>
      </w:pPr>
      <w:r>
        <w:rPr>
          <w:rFonts w:ascii="Times New Roman;sans-serif" w:hAnsi="Times New Roman;sans-serif"/>
          <w:b w:val="false"/>
          <w:i/>
          <w:color w:val="000000"/>
          <w:sz w:val="20"/>
          <w:u w:val="single"/>
        </w:rPr>
        <w:t>Revenues by geographic area</w:t>
      </w:r>
      <w:r>
        <w:rPr>
          <w:rFonts w:ascii="Times New Roman;sans-serif" w:hAnsi="Times New Roman;sans-serif"/>
          <w:b w:val="false"/>
          <w:color w:val="000000"/>
          <w:sz w:val="20"/>
        </w:rPr>
        <w:t>. The following table represents total net revenues by geographic area, based on the location of the customer (in thousands):</w:t>
      </w:r>
    </w:p>
    <w:tbl>
      <w:tblPr>
        <w:tblW w:w="7082" w:type="dxa"/>
        <w:jc w:val="left"/>
        <w:tblInd w:w="0" w:type="dxa"/>
        <w:tblLayout w:type="fixed"/>
        <w:tblCellMar>
          <w:top w:w="28" w:type="dxa"/>
          <w:left w:w="28" w:type="dxa"/>
          <w:bottom w:w="28" w:type="dxa"/>
          <w:right w:w="28" w:type="dxa"/>
        </w:tblCellMar>
      </w:tblPr>
      <w:tblGrid>
        <w:gridCol w:w="441"/>
        <w:gridCol w:w="386"/>
        <w:gridCol w:w="388"/>
        <w:gridCol w:w="249"/>
        <w:gridCol w:w="853"/>
        <w:gridCol w:w="128"/>
        <w:gridCol w:w="128"/>
        <w:gridCol w:w="128"/>
        <w:gridCol w:w="128"/>
        <w:gridCol w:w="249"/>
        <w:gridCol w:w="853"/>
        <w:gridCol w:w="128"/>
        <w:gridCol w:w="109"/>
        <w:gridCol w:w="109"/>
        <w:gridCol w:w="109"/>
        <w:gridCol w:w="213"/>
        <w:gridCol w:w="837"/>
        <w:gridCol w:w="110"/>
        <w:gridCol w:w="110"/>
        <w:gridCol w:w="110"/>
        <w:gridCol w:w="110"/>
        <w:gridCol w:w="213"/>
        <w:gridCol w:w="837"/>
        <w:gridCol w:w="156"/>
      </w:tblGrid>
      <w:tr>
        <w:trPr/>
        <w:tc>
          <w:tcPr>
            <w:tcW w:w="4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89,597 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regions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85,441 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108,467 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240,404 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i/>
          <w:color w:val="000000"/>
          <w:sz w:val="20"/>
          <w:u w:val="single"/>
        </w:rPr>
        <w:t>Customer and Vendor Concentrations</w:t>
      </w:r>
      <w:r>
        <w:rPr>
          <w:rFonts w:ascii="Times New Roman;sans-serif" w:hAnsi="Times New Roman;sans-serif"/>
          <w:b w:val="false"/>
          <w:color w:val="000000"/>
          <w:sz w:val="20"/>
        </w:rPr>
        <w:t>. At June 30, 2024, one non-commercial customer accounted for 22% of the Company's consolidated accounts receivable. The same non-commercial customer accounted for 40% of the Company's consolidated accounts receivable as of December 31, 2023. The same non-commercial customer also accounted for 33% and 56% of net consolidated revenues for the three months ended June 30, 2024 and 2023, respectively. The same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customer also accounted for 37% and 70% of net consolidated revenues for the six months ended June 30, 2024 and 2023,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currently purchases certain products and critical components of its products from sole-supply vendors. If these vendors are unable or unwilling to supply the required components and products, the Company could be subject to increased costs and substantial delays in the delivery of its products to its customers. Third-party suppliers also manufacture certain products. The Company's inability to have a timely supply of any of these components and products could have a material adverse effect on its business, as well as its financial condition and results of operations. </w:t>
      </w:r>
    </w:p>
    <w:p>
      <w:pPr>
        <w:pStyle w:val="TextBody"/>
        <w:bidi w:val="0"/>
        <w:spacing w:lineRule="auto" w:line="288" w:before="240" w:after="283"/>
        <w:jc w:val="both"/>
        <w:rPr/>
      </w:pPr>
      <w:r>
        <w:rPr>
          <w:rFonts w:ascii="Times New Roman;sans-serif" w:hAnsi="Times New Roman;sans-serif"/>
          <w:b w:val="false"/>
          <w:i/>
          <w:color w:val="000000"/>
          <w:sz w:val="20"/>
          <w:u w:val="single"/>
        </w:rPr>
        <w:t>Deferred Revenue</w:t>
      </w:r>
      <w:r>
        <w:rPr>
          <w:rFonts w:ascii="Times New Roman;sans-serif" w:hAnsi="Times New Roman;sans-serif"/>
          <w:b w:val="false"/>
          <w:color w:val="000000"/>
          <w:sz w:val="20"/>
        </w:rPr>
        <w:t>. The Company records deferred revenue when funds are received prior to the recognition of the associated revenue. Deferred revenue as of June 30, 2024 and December 31, 2023 included customer prepayments of $1.4 million and $1.2 million, respectively. Deferred revenue as of December 31, 2023 also included $0.4 million associated with a long-term contract that has variable pricing based on volume. The average price over the life of the contract was determined and revenue is recognized at that average price. The $0.4 million associated with the long-term contract met the criteria to be recognized as revenue during the six months ended June 30, 2024, and as such there is no equivalent balance remaining in deferred revenue at June 30, 2024. Deferred revenue recognized for the three months ended June 30, 2024 and 2023, was $2.0 million and $0.9 million</w:t>
      </w:r>
      <w:r>
        <w:rPr>
          <w:rFonts w:ascii="Arial;sans-serif" w:hAnsi="Arial;sans-serif"/>
          <w:b w:val="false"/>
          <w:color w:val="000000"/>
          <w:sz w:val="24"/>
        </w:rPr>
        <w:t>,</w:t>
      </w:r>
      <w:r>
        <w:rPr>
          <w:color w:val="000000"/>
        </w:rPr>
        <w:t xml:space="preserve"> </w:t>
      </w:r>
      <w:r>
        <w:rPr>
          <w:rFonts w:ascii="Times New Roman;sans-serif" w:hAnsi="Times New Roman;sans-serif"/>
          <w:b w:val="false"/>
          <w:color w:val="000000"/>
          <w:sz w:val="20"/>
        </w:rPr>
        <w:t>respectively. Deferred revenue recognized for the six months ended June 30, 2024 and 2023, was $2.7 million and $1.8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8.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tax expense (benefit) are as follows (in thousands):</w:t>
      </w:r>
    </w:p>
    <w:tbl>
      <w:tblPr>
        <w:tblW w:w="8477" w:type="dxa"/>
        <w:jc w:val="left"/>
        <w:tblInd w:w="0" w:type="dxa"/>
        <w:tblLayout w:type="fixed"/>
        <w:tblCellMar>
          <w:top w:w="28" w:type="dxa"/>
          <w:left w:w="28" w:type="dxa"/>
          <w:bottom w:w="28" w:type="dxa"/>
          <w:right w:w="28" w:type="dxa"/>
        </w:tblCellMar>
      </w:tblPr>
      <w:tblGrid>
        <w:gridCol w:w="1136"/>
        <w:gridCol w:w="996"/>
        <w:gridCol w:w="1003"/>
        <w:gridCol w:w="293"/>
        <w:gridCol w:w="648"/>
        <w:gridCol w:w="151"/>
        <w:gridCol w:w="151"/>
        <w:gridCol w:w="151"/>
        <w:gridCol w:w="151"/>
        <w:gridCol w:w="293"/>
        <w:gridCol w:w="857"/>
        <w:gridCol w:w="151"/>
        <w:gridCol w:w="109"/>
        <w:gridCol w:w="109"/>
        <w:gridCol w:w="109"/>
        <w:gridCol w:w="211"/>
        <w:gridCol w:w="541"/>
        <w:gridCol w:w="109"/>
        <w:gridCol w:w="109"/>
        <w:gridCol w:w="109"/>
        <w:gridCol w:w="109"/>
        <w:gridCol w:w="211"/>
        <w:gridCol w:w="61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expense (benefit)</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 expense (benefit)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withholding tax</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2024 and 2023, the Company recorded income tax expense and benefit of $0.4 million and $0.2 million, respectively. The three months ended June 30, 2024 net tax expense increase is due to having both U.S. and foreign pretax income in 2024 compared to a foreign pretax loss for the three months ended June 30, 2023. During the three months ended June 30, 2024, the state income taxes declined compared to the three months ended June 30, 2023 due to lower state pretax income in 2024. During the six months ended June 30, 2024 and 2023, the Company recorded income tax expense and benefit of $0.4 million and $0.4 million, respectively. Foreign pretax income increased during the six months ended June 30, 2024 compared to a foreign pretax loss offset by lower state pretax income for six months ended June 30, 2023.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reflects taxes due to the taxing authorities and the tax effects of temporary differences between the basis of assets and liabilities recognized for financial reporting and tax purposes, and net operating loss and tax credit carryforwards. The significant components of the Company's total deferred tax liability as of June 30, 2024 and at December 31, 2023 relate to the tax effects of the basis difference between the intangible assets acquired in its acquisitions for financial reporting and for tax purposes along with basis differences arising from accelerated tax depreciation of fixed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recorded to the extent it is more likely than not that some portion or all of the deferred tax assets will not be realized. A full valuation allowance was recorded on the Company’s U.S. deferred tax assets as of June 30,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9.    Income (Loss) Per Share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 during the reporting period. Basic and dilutive computations of net loss per share are the same in periods in which a net loss exists as the dilutive effects of excluded items would be anti-dilutive.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2024 and 2023, outstanding common stock options, unvested restricted stock, and unvested performance stock units representing 1,010 shares and 966 shares, respectively, were excluded from the computation of diluted loss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val="false"/>
          <w:color w:val="000000"/>
          <w:sz w:val="20"/>
        </w:rPr>
        <w:t>For the six months ended June 30, 2024, outstanding common stock options, unvested restricted stock, and unvested performance stock units representing 1,333</w:t>
      </w:r>
      <w:r>
        <w:rPr>
          <w:color w:val="000000"/>
        </w:rPr>
        <w:t xml:space="preserve"> </w:t>
      </w:r>
      <w:r>
        <w:rPr>
          <w:rFonts w:ascii="Times New Roman;sans-serif" w:hAnsi="Times New Roman;sans-serif"/>
          <w:b w:val="false"/>
          <w:color w:val="000000"/>
          <w:sz w:val="20"/>
        </w:rPr>
        <w:t>shares, were excluded from the computation of diluted loss per share. For the six months ended June 30, 2023, outstanding common stock options, unvested restricted stock, and unvested performance stock units representing 2,030 shares were excluded from the computation of diluted earnings per share as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both"/>
        <w:rPr/>
      </w:pPr>
      <w:r>
        <w:rPr>
          <w:rFonts w:ascii="Times New Roman;sans-serif" w:hAnsi="Times New Roman;sans-serif"/>
          <w:b/>
          <w:color w:val="000000"/>
          <w:sz w:val="18"/>
        </w:rPr>
        <w:t>10.    </w:t>
      </w:r>
      <w:r>
        <w:rPr>
          <w:rFonts w:ascii="Times New Roman;sans-serif" w:hAnsi="Times New Roman;sans-serif"/>
          <w:b/>
          <w:color w:val="000000"/>
          <w:sz w:val="20"/>
        </w:rPr>
        <w:t>Stockholders’ Equity</w:t>
      </w:r>
    </w:p>
    <w:p>
      <w:pPr>
        <w:pStyle w:val="TextBody"/>
        <w:bidi w:val="0"/>
        <w:spacing w:lineRule="auto" w:line="288" w:before="120" w:after="283"/>
        <w:jc w:val="both"/>
        <w:rPr/>
      </w:pPr>
      <w:r>
        <w:rPr>
          <w:rFonts w:ascii="Times New Roman;sans-serif" w:hAnsi="Times New Roman;sans-serif"/>
          <w:b w:val="false"/>
          <w:color w:val="000000"/>
          <w:sz w:val="20"/>
        </w:rPr>
        <w:t>Reconciliation of the changes in stockholders' equity for the</w:t>
      </w:r>
      <w:r>
        <w:rPr>
          <w:color w:val="000000"/>
        </w:rPr>
        <w:t xml:space="preserve"> </w:t>
      </w:r>
      <w:r>
        <w:rPr>
          <w:rFonts w:ascii="Times New Roman;sans-serif" w:hAnsi="Times New Roman;sans-serif"/>
          <w:b w:val="false"/>
          <w:color w:val="000000"/>
          <w:sz w:val="20"/>
        </w:rPr>
        <w:t xml:space="preserve">three and six months ended June 30, 2024 and 2023: </w:t>
      </w:r>
    </w:p>
    <w:tbl>
      <w:tblPr>
        <w:tblW w:w="10205" w:type="dxa"/>
        <w:jc w:val="left"/>
        <w:tblInd w:w="0" w:type="dxa"/>
        <w:tblLayout w:type="fixed"/>
        <w:tblCellMar>
          <w:top w:w="28" w:type="dxa"/>
          <w:left w:w="28" w:type="dxa"/>
          <w:bottom w:w="28" w:type="dxa"/>
          <w:right w:w="28" w:type="dxa"/>
        </w:tblCellMar>
      </w:tblPr>
      <w:tblGrid>
        <w:gridCol w:w="1023"/>
        <w:gridCol w:w="746"/>
        <w:gridCol w:w="748"/>
        <w:gridCol w:w="224"/>
        <w:gridCol w:w="224"/>
        <w:gridCol w:w="228"/>
        <w:gridCol w:w="109"/>
        <w:gridCol w:w="109"/>
        <w:gridCol w:w="109"/>
        <w:gridCol w:w="211"/>
        <w:gridCol w:w="406"/>
        <w:gridCol w:w="109"/>
        <w:gridCol w:w="109"/>
        <w:gridCol w:w="109"/>
        <w:gridCol w:w="109"/>
        <w:gridCol w:w="211"/>
        <w:gridCol w:w="826"/>
        <w:gridCol w:w="109"/>
        <w:gridCol w:w="109"/>
        <w:gridCol w:w="109"/>
        <w:gridCol w:w="109"/>
        <w:gridCol w:w="245"/>
        <w:gridCol w:w="858"/>
        <w:gridCol w:w="128"/>
        <w:gridCol w:w="109"/>
        <w:gridCol w:w="109"/>
        <w:gridCol w:w="109"/>
        <w:gridCol w:w="211"/>
        <w:gridCol w:w="758"/>
        <w:gridCol w:w="109"/>
        <w:gridCol w:w="109"/>
        <w:gridCol w:w="109"/>
        <w:gridCol w:w="109"/>
        <w:gridCol w:w="211"/>
        <w:gridCol w:w="826"/>
        <w:gridCol w:w="159"/>
      </w:tblGrid>
      <w:tr>
        <w:trPr/>
        <w:tc>
          <w:tcPr>
            <w:tcW w:w="102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 xml:space="preserve">Comprehensive </w:t>
              <w:br/>
              <w:t xml:space="preserve">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430,671 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exercise of options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and performance stock units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and retirement of common shares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(17,497)</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426,251 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and performance stock units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and retirement of common shares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2024</w:t>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(18,631)</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425,840 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2"/>
        <w:gridCol w:w="711"/>
        <w:gridCol w:w="713"/>
        <w:gridCol w:w="224"/>
        <w:gridCol w:w="224"/>
        <w:gridCol w:w="228"/>
        <w:gridCol w:w="109"/>
        <w:gridCol w:w="109"/>
        <w:gridCol w:w="109"/>
        <w:gridCol w:w="211"/>
        <w:gridCol w:w="406"/>
        <w:gridCol w:w="109"/>
        <w:gridCol w:w="109"/>
        <w:gridCol w:w="109"/>
        <w:gridCol w:w="109"/>
        <w:gridCol w:w="211"/>
        <w:gridCol w:w="826"/>
        <w:gridCol w:w="109"/>
        <w:gridCol w:w="109"/>
        <w:gridCol w:w="109"/>
        <w:gridCol w:w="109"/>
        <w:gridCol w:w="244"/>
        <w:gridCol w:w="857"/>
        <w:gridCol w:w="128"/>
        <w:gridCol w:w="109"/>
        <w:gridCol w:w="109"/>
        <w:gridCol w:w="109"/>
        <w:gridCol w:w="211"/>
        <w:gridCol w:w="862"/>
        <w:gridCol w:w="109"/>
        <w:gridCol w:w="109"/>
        <w:gridCol w:w="109"/>
        <w:gridCol w:w="109"/>
        <w:gridCol w:w="211"/>
        <w:gridCol w:w="826"/>
        <w:gridCol w:w="158"/>
      </w:tblGrid>
      <w:tr>
        <w:trPr/>
        <w:tc>
          <w:tcPr>
            <w:tcW w:w="99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 xml:space="preserve">Comprehensive </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364,425 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exercise of options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and performance stock units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and retirement of common shares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394,179 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and performance stock units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and retirement of common shares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(14,559)</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394,139 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 xml:space="preserve">11.    Commitments and Contingencies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certain legal actions arising in the ordinary course of business. In management’s opinion, the outcomes of such actions, either individually or in the aggregate, are not expected to have a material adverse effect on the Company's future financial position or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March 2021, the Company filed a complaint against Spectrum Solutions, LLC ("Spectrum") in the United States District Court for the Southern District of California alleging that certain saliva collection devices manufactured and sold by Spectrum infringe a patent held by DNAG. Spectrum filed an answer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The District Court issued multiple pretrial orders, resolving the infringement, antitrust, and inequitable conduct claims without trial. First, the District Court granted Spectrum’s motion for summary judgment of noninfringement. The Company appealed the grant of summary judgment to the Court of Appeals on June 8, 2023. The Company is pursuing the appeal with respect to the first patent, with oral argument expected in the second half of 2024. Second, the Court denied Spectrum’s motion to supplement its allegations of alleged antitrust violations, finding that if such an amendment were allowed, Spectrum’s claims would not survive a motion for summary judgment. Spectrum thereafter withdrew its antitrust and inequitable conduct counterclaims. Spectrum did not appeal the District Court's denial of its motion to amend. On February 7, 2024, the PTO issued a Final Written Decision regarding the second patent in the litigation, holding that claims 1, 3-8, 11 and 12 of U.S. Patent No. 11,002,646 B2 are unpatentable. On March 8, 2024, the Company filed a Request for Rehearing by the Director of the PTO of the Final Written Decision. On March 27, 2024, the Company's Request for Rehearing was denied. On September 15, 2023, Spectrum filed a separate petition for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of a third patent, which DNAG did not assert in the District Court. On March 26, 2024, the PTO issued a Decision Granting Institution of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and scheduled oral argument for January 14, 2025. On July 2, 2024 the Company filed a Motion to Amend the claims of the third patent, which remains pending.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the Company's financial condition and results of operations should be read in conjunction with (i) the Company's unaudited condensed consolidated financial statements and related notes appearing elsewhere in this Quarterly Report on Form 10-Q and (ii) the Company's audited consolidated financial statements and related notes and management’s discussion and analysis of financial condition and results of operations included in the Company's Annual Report on Form 10-K for the year ended December 31, 2023 filed with the Securities and Exchange Commission on March 11, 2024. Some of the information contained in this discussion and analysis or set forth elsewhere in this Quarterly Report on Form 10-Q, including information with respect to the Company's plans and strategy for its business and impact and potential impacts on its business, includes forward-looking statements that involve risks and uncertainties. As a result of many factors, including, without limitation, those factors set forth in the “Risk Factors” section of the Company's Annual Report on Form 10-K for the year ended December 31, 2023 and the “Risk Factors” section of subsequent Quarterly Reports on Form 10-Q, the Company's actual results or timing of certain events could differ materially from the results or timing described in,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Business Overview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consists of the development, manufacture, marketing and sale of simple, easy to use diagnostic products and specimen collection devices using the Company's proprietary technologies, as well as other diagnostic products including immunoassays and other in vitro diagnostic tests that are used on other specimen types. These products include tests for diseases including COVID-19, HIV, Hepatitis C, and Syphilis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COVID-19 and HIV products are also sold in a consumer-friendly format in the over-the-counter (“OTC”) market in the U.S. and, in the case of the HIV product, as a self-test to individuals in a number of other countries, including as an oral swab in-home test for HIV-1 and HIV-2 in Europe.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business also includes molecular sample management solutions and services that are used by clinical laboratories, direct-to-consumer laboratories, researchers, pharmaceutical companies, and animal health service and product providers. The revenues from sample management solutions are derived from product sales to commercial customers and sales into the academic and research markets. Customers span the disease risk management, diagnostics, pharmaceutical, biotech, companion animal and environmental markets.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This product is in its early stages, and initial sales are occurring primarily through distributors and collaborations in the liquid biopsy and sexually transmitted disease markets. Additionally, through its Diversigen subsidiary, the Company offered laboratory and bioinformatics services for both genomics and microbiome customers. These services were primarily provided to pharmaceutical, biotech companies, and research institutions. During the first quarter of 2024, the Company initiated steps to wind down and exit this line of business. Diversigen contributed $1.7 million to revenues during the six months ended June 30, 2024 and contributed $4.5 million to revenues for the full year of 2023.</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For the three months ended June 30, 2024 compared to June 30, 2023.</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CONSOLIDATED NET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an outline of total consolidated net revenues (dollars in thousands) for the three months ended June 30, 2024 and 2023:</w:t>
      </w:r>
    </w:p>
    <w:tbl>
      <w:tblPr>
        <w:tblW w:w="10205" w:type="dxa"/>
        <w:jc w:val="left"/>
        <w:tblInd w:w="0" w:type="dxa"/>
        <w:tblLayout w:type="fixed"/>
        <w:tblCellMar>
          <w:top w:w="28" w:type="dxa"/>
          <w:left w:w="28" w:type="dxa"/>
          <w:bottom w:w="28" w:type="dxa"/>
          <w:right w:w="28" w:type="dxa"/>
        </w:tblCellMar>
      </w:tblPr>
      <w:tblGrid>
        <w:gridCol w:w="1301"/>
        <w:gridCol w:w="1140"/>
        <w:gridCol w:w="1145"/>
        <w:gridCol w:w="211"/>
        <w:gridCol w:w="721"/>
        <w:gridCol w:w="109"/>
        <w:gridCol w:w="109"/>
        <w:gridCol w:w="109"/>
        <w:gridCol w:w="109"/>
        <w:gridCol w:w="211"/>
        <w:gridCol w:w="721"/>
        <w:gridCol w:w="109"/>
        <w:gridCol w:w="109"/>
        <w:gridCol w:w="109"/>
        <w:gridCol w:w="109"/>
        <w:gridCol w:w="216"/>
        <w:gridCol w:w="216"/>
        <w:gridCol w:w="483"/>
        <w:gridCol w:w="109"/>
        <w:gridCol w:w="109"/>
        <w:gridCol w:w="109"/>
        <w:gridCol w:w="241"/>
        <w:gridCol w:w="225"/>
        <w:gridCol w:w="506"/>
        <w:gridCol w:w="203"/>
        <w:gridCol w:w="203"/>
        <w:gridCol w:w="203"/>
        <w:gridCol w:w="241"/>
        <w:gridCol w:w="225"/>
        <w:gridCol w:w="594"/>
      </w:tblGrid>
      <w:tr>
        <w:trPr/>
        <w:tc>
          <w:tcPr>
            <w:tcW w:w="130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9"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Net Revenues</w:t>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 Diagnostics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Diagnostics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Molecular Sample Management Solutions</w:t>
            </w:r>
            <w:r>
              <w:rPr>
                <w:color w:val="000000"/>
              </w:rPr>
              <w:t xml:space="preserve">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products and services </w:t>
            </w:r>
            <w:r>
              <w:rPr>
                <w:rFonts w:ascii="Times New Roman;sans-serif" w:hAnsi="Times New Roman;sans-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Molecular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 Molecular Products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and services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Non-product and services revenues</w:t>
            </w:r>
            <w:r>
              <w:rPr>
                <w:color w:val="000000"/>
              </w:rPr>
              <w:t xml:space="preserve"> </w:t>
            </w:r>
            <w:r>
              <w:rPr>
                <w:rFonts w:ascii="Times New Roman;sans-serif" w:hAnsi="Times New Roman;sans-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hanging="27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Includes HIV, HCV and Syphilis product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Includes Genomics, Microbiome and Novosanis product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Includes Risk assessment testing and other product and services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Includes funded research and development contracts, royalty income and grant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Product and Services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net revenues decreased 36% to $54.3 million for the three months ended June 30, 2024 from $85.4 million for the three months ended June 30, 2023. </w:t>
      </w:r>
    </w:p>
    <w:p>
      <w:pPr>
        <w:pStyle w:val="TextBody"/>
        <w:bidi w:val="0"/>
        <w:spacing w:lineRule="auto" w:line="288" w:before="240" w:after="283"/>
        <w:jc w:val="both"/>
        <w:rPr/>
      </w:pPr>
      <w:r>
        <w:rPr>
          <w:rFonts w:ascii="Times New Roman;sans-serif" w:hAnsi="Times New Roman;sans-serif"/>
          <w:b w:val="false"/>
          <w:color w:val="000000"/>
          <w:sz w:val="20"/>
        </w:rPr>
        <w:t>COVID-19 Diagnostics revenues decreased by 60% to $18.9 million for the three months ended June 30, 2024 compared to $47.5 million for the three months ended June 30, 2023 due to decreased sales of the Company's InteliSwab</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tests through its U.S. government procurement contracts. We expect this decline in revenue to continue throughout 2024 due to the fulfillment of these contracts and lower overall demand for COVID-19 testing.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the Company's Diagnostics products decreased 5% to $18.7 million for the three months ended June 30, 2024 from $19.8 million for the three months ended June 30, 2023. This decrease in revenues is largely due to lower domestic and international HIV revenues of approximately $2.3 million primarily driven by customer ordering patterns partially offset by a combined increase in global HCV revenues and Syphilis revenues of approximately $1.2 million. The increase in HCV revenues is primarily due to new customer orders and customer ordering patterns and the Syphilis revenues are generated from the Company's new distribution agreements.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Molecular Sample Management Solutions revenues decreased 3% to $12.6 million for the three months ended June 30, 2024 from $13.1 million for the three months ended June 30, 2023. Sales of the Company's Molecular Products are being impacted by reduced consumer demand for products in which our genomics collection devices are used, economic pressures, and the overall decline in the microbiome market.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products and services revenues decreased 5% to $2.8 million for the three months ended June 30, 2024 from $3.0 million for the three months ended June 30, 2023.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Molecular Services revenues, which are derived from the Company's microbiome molecular sequencing services, decreased 40% to $0.8 million for the three months ended June 30, 2024 from $1.4 million for the three months ended June 30, 2023. The decrease in services revenues was due to the decision to exit this line of business. We expect minimal molecular services revenues in the second half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Non-Product and Services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Non-product and services revenues decreased 45% to $0.4 million for the three months ended June 30, 2024 from $0.7 million for the three months ended June 30, 2023 as a result of no royalty income in the second quarter of 2024 as the royalty agreement for sample collection kits expired in June 2023. Further reducing the Company's non-product and services revenue is lower funding for research and development activities largely as a result of the end of our agreement with Biomedical Advanced Research Authority ("BARDA") which provided funding to obtain clearance of a premarket notification ("510(k)") and Clinical Laboratory Improvement Amendments of 1988 waiver of our InteliSwab® tests. The Company has communicated to BARDA that it does not intend to pursue further development of this clearance.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CONSOLIDATED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gross profit margin increased to 45.4% for the three months ended June 30, 2024 from 30.9% for the three months ended June 30, 2023. During the second quarter of 2023, the Company recorded $7.0 million of accelerated depreciation associated with the wind-down of InteliSwab® manual assembly in Thailand as the Company made the decision to onshore and automate manufacturing of this product at its Pennsylvania facilities. In addition, also contributing to the increased margins is improved overhead absorption and lower scrap expense partially offset by a negative impact in product mix caused by a higher volume of sales of lower margin products.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operating loss for the three months ended June 30, 2024 was $2.7 million, a 57.4% improvement from the $6.4 million operating loss reported for the three months ended June 30, 2023. Results for the three months ended June 30, 2024 benefited from a $6.2 million reduction in operating expense offset by lower gross profit dollars driven by the decrease in revenues. Results for the three months ended June 30, 2024 included $1.1 million of impairment losses compared to $0.2 million for the three months ended June 30, 2023.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in the second quarter of 2024, excluding the impairment charge, decreased 19% to $26.4 million from $32.6 million in the second quarter of 2023 reflecting the impact of the Company's cost saving measures and headcount reductions.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decreased 14% to $6.6 million for the three months ended June 30, 2024 from $7.7 million for the three months ended June 30, 2023 largely due to a decrease in employee costs associated with a reduction in headcount, decrease in spend on COVID-19 product development, and no related project management fees for our $109 million manufacturing expansion contract which ended during the fourth quarter of 2023, partially offset by an increase in severance costs for those employees impacted by the Company's decisions to exit the molecular services business offered by its Diversigen subsidiary and wind-down operations located in Belgium.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decreased 7% to $7.9 million for the three months ended June 30, 2024 from $8.5 million for the three months ended June 30, 2023 due to lower employee costs associated with a decrease in headcount, decreased advertising fees and lower amortization expense.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28% to $11.8 million for the three months ended June 30, 2024 from $16.4 million for the three months ended June 30, 2023 largely due to lower legal fees and lower staffing costs due to a reduction in headcount, partially offset by an increase in non-cash stock compensation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the above contributed to the Company's operating loss of $2.7 million for the three months ended June 30, 2024, which included a non-cash impairment charge of $1.1 million, non-cash charges of $2.6 million for depreciation and amortization, and non-cash charges of $3.3 million for stock-based compensation. The Company's operating loss of $6.4 million for the three months ended June 30, 2023 included a non-cash impairment charge of $0.2 million, non-cash charges of $10.3 million for depreciation and amortization, and $2.4 million for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for the three months ended June 30, 2024 was $3.1 million compared to $1.5 million for the three months ended June 30, 2023. This increase is due to higher interest income partially offset by the absence of profit earned under our manufacturing expansion contract with the U.S. government which ended at the end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INCOME TAXES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believe the full valuation allowance established against its total U.S. deferred tax asset is appropriate as the facts and circumstances necessitating the allowance have not changed. For the three months ended June 30, 2024 and 2023, the Company recorded U.S. state income tax expense of $3.0 thousand and $1.5 million, respectively. For the three months ended June 30, 2024 and 2023, the state income tax expense was partially offset by foreign income tax expense and benefit of $0.4 million and $1.6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For the six months ended June 30, 2024 compared to June 30, 2023.</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CONSOLIDATED NET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an outline of total consolidated net revenues (dollars in thousands) for the six months ended June 30, 2024 and 2023:</w:t>
      </w:r>
    </w:p>
    <w:tbl>
      <w:tblPr>
        <w:tblW w:w="10205" w:type="dxa"/>
        <w:jc w:val="left"/>
        <w:tblInd w:w="0" w:type="dxa"/>
        <w:tblLayout w:type="fixed"/>
        <w:tblCellMar>
          <w:top w:w="28" w:type="dxa"/>
          <w:left w:w="28" w:type="dxa"/>
          <w:bottom w:w="28" w:type="dxa"/>
          <w:right w:w="28" w:type="dxa"/>
        </w:tblCellMar>
      </w:tblPr>
      <w:tblGrid>
        <w:gridCol w:w="1249"/>
        <w:gridCol w:w="1088"/>
        <w:gridCol w:w="1093"/>
        <w:gridCol w:w="211"/>
        <w:gridCol w:w="826"/>
        <w:gridCol w:w="109"/>
        <w:gridCol w:w="109"/>
        <w:gridCol w:w="109"/>
        <w:gridCol w:w="109"/>
        <w:gridCol w:w="211"/>
        <w:gridCol w:w="826"/>
        <w:gridCol w:w="109"/>
        <w:gridCol w:w="109"/>
        <w:gridCol w:w="109"/>
        <w:gridCol w:w="109"/>
        <w:gridCol w:w="214"/>
        <w:gridCol w:w="214"/>
        <w:gridCol w:w="483"/>
        <w:gridCol w:w="109"/>
        <w:gridCol w:w="109"/>
        <w:gridCol w:w="109"/>
        <w:gridCol w:w="241"/>
        <w:gridCol w:w="225"/>
        <w:gridCol w:w="491"/>
        <w:gridCol w:w="196"/>
        <w:gridCol w:w="196"/>
        <w:gridCol w:w="196"/>
        <w:gridCol w:w="241"/>
        <w:gridCol w:w="225"/>
        <w:gridCol w:w="580"/>
      </w:tblGrid>
      <w:tr>
        <w:trPr/>
        <w:tc>
          <w:tcPr>
            <w:tcW w:w="124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r>
      <w:tr>
        <w:trPr/>
        <w:tc>
          <w:tcPr>
            <w:tcW w:w="3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Net Revenues</w:t>
            </w:r>
          </w:p>
        </w:tc>
      </w:tr>
      <w:tr>
        <w:trPr/>
        <w:tc>
          <w:tcPr>
            <w:tcW w:w="3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 Diagnostics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Diagnostics </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Molecular Sample Management Solutions</w:t>
            </w:r>
            <w:r>
              <w:rPr>
                <w:color w:val="000000"/>
              </w:rPr>
              <w:t xml:space="preserve"> </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products and services </w:t>
            </w:r>
            <w:r>
              <w:rPr>
                <w:rFonts w:ascii="Times New Roman;sans-serif" w:hAnsi="Times New Roman;sans-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Molecular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 Molecular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and services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Non-product and services revenues</w:t>
            </w:r>
            <w:r>
              <w:rPr>
                <w:color w:val="000000"/>
              </w:rPr>
              <w:t xml:space="preserve"> </w:t>
            </w:r>
            <w:r>
              <w:rPr>
                <w:rFonts w:ascii="Times New Roman;sans-serif" w:hAnsi="Times New Roman;sans-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hanging="27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Includes HIV, HCV and Syphilis product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Includes Genomics, Microbiome and Novosanis product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Includes Risk assessment testing and other product and services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Includes funded research and development contracts, royalty income and grant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Product and Services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net product and services revenues decreased 55% to $108.5 million for the six months ended June 30, 2024 from $240.4 million for the six months ended June 30, 2023.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COVID-19 Diagnostics revenues decreased 75% to $42.0 million for the six months ended June 30, 2024 compared to $165.7 million for the six months ended June 30, 2023 due to decreased sales of the Company's InteliSwab® tests through its U.S. government procurement contracts. We expect this decline in revenue to continue throughout 2024 due to the fulfillment of these contracts and lower overall demand for COVID-19 testing.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the Company's Diagnostics products decreased 5% to $35.1 million for the six months ended June 30, 2024 from $36.9 million for the six months ended June 30, 2023. This decrease in revenue was primarily driven by lower HIV revenues in both the domestic and international markets of $2.8 million as a result of fluctuations in customer ordering patterns. The decline in HIV revenue was partially offset by a combined increase in HCV and Syphilis revenues of $1.1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Molecular Sample Management Solutions revenues decreased 10% to $23.4 million for the six months ended June 30, 2024 from $26.0 million for the six months ended June 30, 2023. Sales of the Company's Molecular Sample Management Solutions Products are being impacted by reduced consumer demand for products in which our genomics collection devices are used, economic pressures and reduction on funding for programs in which our collection devices are used, and the overall decline in the microbiome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products and services revenues decreased 11% to $5.4 million for the six months ended June 30, 2024 from $6.1 million for the six months ended June 30, 2023. This decrease is driven by lower Risk Assessment testing revenue due to the loss of customers to competing products.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Molecular Services revenues, which are largely derived from the Company's laboratory services, decreased 38% to $1.7 million for the six months ended June 30, 2024 from $2.7 million for the six months ended June 30, 2023. The decrease in services revenues was due to the decision to exit this line of business. We expect minimal molecular services revenues in the second half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Non-Product and Services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Non-product and services revenues decreased 73% to $0.7 million for the six months ended June 30, 2024 from $2.8 million for the six months ended June 30, 2023 as a result of lower royalty income in the first half of 2024 as one of the Company's royalty agreement for sample collection kits expired in June 2023. Further reducing the Company's non-product and services revenue is a result of lower funding for research and development activities largely as a result of the end of our agreement with Biomedical Advanced Research Authority ("BARDA") which provided funding to obtain clearance of a premarket notification ("510(k)") and Clinical Laboratory Improvement Amendments of 1988 waiver of our InteliSwab® tests. The Company has communicated to BARDA that it does not intend to pursue further development of this clearance.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CONSOLIDATED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gross profit margin increased to 44.9% for the six months ended June 30, 2024 from 38.3% for the six months ended June 30, 2023. This improvement in margins was due to $7.0 million of accelerated depreciation recorded in the second quarter of 2023 associated with the wind-down of InteliSwab® manual assembly in Thailand as the Company on-shores and automates the manufacturing of this product at its Pennsylvania facilities. In addition, reduced salary and benefits due to the reduction in workforce experienced in 2023 contributed to improved overhead absorption and lower product scrap expense also contributed to the increased margins in the first half of 2024. These improvement in margins were partially offset by the decline in other non-product revenues which contribute 100% to gross margin and a shift in product mix of increased revenues from lower margin products.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operating loss for the six months ended June 30, 2024 was $9.8 million, compared to $17.9 million operating income reported for the six months ended June 30, 2023. Results for the six months ended June 30, 2024 were negatively impacted by the decrease in revenues and were positively impacted by reduced operating expense and negatively impacted by the higher impairment losses. Results for the six months ended June 30, 2024 included $4.4 million of impairment losses compared to $1.3 million for the six months ended June 30,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for the six months ended June 30, 2024, excluding the impairment charge, decreased 25.7% to $54.2 million from $73.0 million for the six months ended June 30, 2023 reflecting the impact of the Company's cost saving measures and headcount reductions.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decreased 21% to $14.3 million for the six months ended June 30, 2024 from $18.2 million for the six months ended June 30, 2023, largely due to lower staffing costs due to a decrease in headcount, decrease in spend on COVID-19 product development, and no related project management fees for our $109 million manufacturing expansion contract which ended during the fourth quarter of 2023, partially offset by an increase in severance costs for those employees impacted by the Company's decisions to exit the molecular services business offered by its Diversigen subsidiary and wind-down operations located in Belgium.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decreased 21% to $16.4 million for the six months ended June 30, 2024 from $20.7 million for the six months ended June 30, 2023 primarily due to decreased employee costs associated with the reduction in headcount and lower advertising, consulting, and amortization expense.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decreased 31% to $23.5 million for the six months ended June 30, 2024 from $34.1 million for the six months ended June 30, 2023 largely due to lower legal fees relating to the Spectrum litigation (discussed further in Part II. Other Information, Item 1. Legal Proceedings, below) and lower employee costs associated with reduced headcount partially offset by an increase in non-cash stock compensation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the above contributed to the Company's operating loss of $9.8 million for the six months ended June 30, 2024, which included non-cash impairment charges of $4.4 million, non-cash charges of $5.3 million for depreciation and amortization, and $6.3 million for stock-based compensation. The Company's operating income of $17.9 million for the six months ended June 30, 2023 included a non-cash impairment charge of $1.3 million, non-cash charges of $14.0 million for depreciation and amortization, and $5.0 million for stock-based compensation.</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for the six months ended June 30, 2024 was $6.6 million compared to $4.1 million for the six months ended June 30, 2023. This increase is largely due to higher interest income and offset by absence of profit earned under our manufacturing expansion contract with the U.S. government which ended at the end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CONSOLIDATED INCOME TAXES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believe the full valuation allowance established against its total U.S. deferred tax asset is appropriate as the facts and circumstances necessitating the allowance have not changed. For the six months ended June 30, 2024 and 2023, the Company recorded U.S. state tax benefit and expense of $0.2 million and $1.3 million, respectively. For the six months ended June 30, 2024 and 2023, the state tax expense was partially offset by foreign tax expense and benefit of $0.6 million and $1.6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tbl>
      <w:tblPr>
        <w:tblW w:w="5281" w:type="dxa"/>
        <w:jc w:val="left"/>
        <w:tblInd w:w="0" w:type="dxa"/>
        <w:tblLayout w:type="fixed"/>
        <w:tblCellMar>
          <w:top w:w="28" w:type="dxa"/>
          <w:left w:w="28" w:type="dxa"/>
          <w:bottom w:w="28" w:type="dxa"/>
          <w:right w:w="28" w:type="dxa"/>
        </w:tblCellMar>
      </w:tblPr>
      <w:tblGrid>
        <w:gridCol w:w="820"/>
        <w:gridCol w:w="720"/>
        <w:gridCol w:w="724"/>
        <w:gridCol w:w="211"/>
        <w:gridCol w:w="826"/>
        <w:gridCol w:w="109"/>
        <w:gridCol w:w="109"/>
        <w:gridCol w:w="109"/>
        <w:gridCol w:w="109"/>
        <w:gridCol w:w="273"/>
        <w:gridCol w:w="1072"/>
        <w:gridCol w:w="19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290,407 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346,923 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cash and cash equivalents and short-term investments decreased to $267.4 million at June 30, 2024 from $290.4 million at December 31, 2023. $87.1 million or 33% of the $267.4 million in cash and cash equivalents and short-term investments is held by DNAG, the Company's Canadian subsidiary.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working capital decreased to $322.2 million at June 30, 2024 from $346.9 million at December 31, 2023. The decrease in cash and cash equivalents and working capital was primarily due to the investment in Sapphiros of $28.3 million during the six months ended June 30, 2024. </w:t>
      </w:r>
    </w:p>
    <w:p>
      <w:pPr>
        <w:pStyle w:val="TextBody"/>
        <w:bidi w:val="0"/>
        <w:spacing w:lineRule="auto" w:line="288" w:before="36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Analysis of the Company's Cash Flows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net cash provided by operating activities was $14.6 million. Cash flows from operations can be significantly impacted by factors such as timing of receipt from customers, inventory purchases, and payments to vendors. The Company's net loss of $4.2 million included non-cash charges of depreciation and amortization expense of $5.3 million, stock-based compensation expense of $6.3 million, impairment losses of $4.4 million, and loss on equity investment of $0.6 million. Cash provided by the working capital accounts included a decrease in accounts receivable of $1.8 million largely associated with lower overall sales and collections of balances due, a decrease in inventory of $9.2 million as the Company fulfilled demand for its InteliSwab® product, and a decrease in prepaid expense and other current assets of $1.7 million. Uses of cash included a decrease in accounts payable of $3.5 million due to lower inventory purchases and timing of vendor invoice payments and a decrease in accrued expenses of $7.1 million as the Company paid out year-end bonuses in March 2024.</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$40.9 million for the six months ended June 30, 2024, which reflects proceeds from the maturities of investments of $43.9 million, offset by $53.2 million in purchases of investments. Investing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activities also include a $28.3 million investment in Sapphiros, and $3.2 million to acquire property and equipment to support the normal operations of the business.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$3.3 million for the six months ended June 30, 2024, which is largely comprised of $3.4 million used for the repurchase of common stock to satisfy withholding taxes related to the vesting of restricted shares awarded to the Company's employees.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Resources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expects existing cash and cash equivalents will be sufficient to fund its operating expenses and capital expenditure requirements over the next twelve months. The Company's cash requirements, however, may vary materially from those now planned due to many factors, including, but not limited to, the scope and timing of future strategic acquisitions, the progress of its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obligations to make future payments under contracts existing at December 31, 2023 is included in Item 7, Management’s Discussion and Analysis of Financial Condition and Results of Operations, of its Annual Report on Form 10-K for the year ended December 31, 2023. As of June 30, 2024, there were no significant changes to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more detailed review of the Company's critical accounting policies is contained in its Annual Report on Form 10-K for the year ended December 31, 2023 filed with the SEC. No material changes have been made to such critical accounting policies during the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Company's assessment of its sensitivity to market risk since its presentation set forth in Item 7A, "Quantitative and Qualitative Disclosures About Market Risk," in its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both"/>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Evaluation of Disclosure Controls and Procedures</w:t>
      </w:r>
      <w:r>
        <w:rPr>
          <w:rFonts w:ascii="Times New Roman;sans-serif" w:hAnsi="Times New Roman;sans-serif"/>
          <w:b w:val="false"/>
          <w:color w:val="000000"/>
          <w:sz w:val="20"/>
        </w:rPr>
        <w:t>. The Company’s management, with the participation of the Company’s Chief Executive Officer and Chief Financial Officer, evaluated the effectiveness of the Company’s disclosure controls and procedures (as defined in Rules 13a-15(e) and 15d-15(e) of the Securities Exchange Act of 1934) as of June 30, 2024. Based on that evaluation, the Company’s management, including such officers, concluded that the Company’s disclosure controls and procedures were effective as of June 30, 2024 to provide reasonable assurance that material information required to be disclosed by the Company in the reports that it files or submits under the Securities Exchange Act of 1934 was accumulated and communicated to the Company’s management, including the Chief Executive Officer and Chief Financial Officer, to allow timely decisions regarding required disclosure and was recorded, processed, summarized, and reported within the time periods specified in the rules and forms of the Securities and Exchange Commission.</w:t>
      </w:r>
    </w:p>
    <w:p>
      <w:pPr>
        <w:pStyle w:val="TextBody"/>
        <w:bidi w:val="0"/>
        <w:spacing w:lineRule="auto" w:line="288" w:before="240" w:after="283"/>
        <w:jc w:val="both"/>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Changes in Internal Control Over Financial Reporting</w:t>
      </w:r>
      <w:r>
        <w:rPr>
          <w:rFonts w:ascii="Times New Roman;sans-serif" w:hAnsi="Times New Roman;sans-serif"/>
          <w:b w:val="false"/>
          <w:color w:val="000000"/>
          <w:sz w:val="20"/>
        </w:rPr>
        <w:t>. There was no change in the Company’s internal control over financial reporting that occurred during the three months ended June 30, 2024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pStyle w:val="TextBody"/>
        <w:bidi w:val="0"/>
        <w:spacing w:lineRule="auto" w:line="288" w:before="3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Spectrum Patent Litigation</w:t>
      </w:r>
    </w:p>
    <w:p>
      <w:pPr>
        <w:pStyle w:val="TextBody"/>
        <w:bidi w:val="0"/>
        <w:spacing w:lineRule="auto" w:line="288" w:before="360" w:after="283"/>
        <w:jc w:val="both"/>
        <w:rPr/>
      </w:pPr>
      <w:r>
        <w:rPr>
          <w:rFonts w:ascii="Times New Roman;sans-serif" w:hAnsi="Times New Roman;sans-serif"/>
          <w:b w:val="false"/>
          <w:color w:val="000000"/>
          <w:sz w:val="20"/>
        </w:rPr>
        <w:t xml:space="preserve">In March 2021, the Company filed a complaint against Spectrum Solutions, LLC ("Spectrum") in the United States District Court for the Southern District of California alleging that certain saliva collection devices manufactured and sold by Spectrum infringe a patent held by DNAG. Spectrum filed an answer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The District Court issued multiple pretrial orders, resolving the infringement, antitrust, and inequitable conduct claims without trial. First, the District Court granted Spectrum’s motion for summary judgment of noninfringement. The Company appealed the grant of summary judgment to the Court of Appeals on June 8, 2023. The Company is pursuing the appeal with respect to the first patent, with oral argument expected in the second half of 2024. Second, the Court denied Spectrum’s motion to supplement its allegations of alleged antitrust violations, finding that if such an amendment were allowed, Spectrum’s claims would not survive a motion for summary judgment. Spectrum thereafter withdrew its antitrust and inequitable conduct counterclaims. Spectrum did not appeal the District Court's denial of its motion to amend. On February 7, 2024, the PTO issued a Final Written Decision regarding the second patent in the litigation, holding that claims 1, 3-8, 11 and 12 of U.S. Patent No. 11,002,646 B2 are unpatentable. On March 8, 2024, the Company filed a Request for Rehearing by the Director of the PTO of the Final Written Decision. On March 27, 2024, the Company's Request for Rehearing was denied. On September 15, 2023, Spectrum filed a separate petition for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of a third patent, which DNAG did not assert in the District Court. On March 26, 2024, the PTO issued a Decision Granting Institution of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and scheduled oral argument for January 14, 2025. On July 2, 2024 the Company filed a Motion to Amend the claims of the third patent, which remains pending.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disclosed in Item 1A, entitled “Risk Factors,” in the Company's Annual Report on Form 10-K for the year ended December 31, 2023.</w:t>
      </w:r>
    </w:p>
    <w:p>
      <w:pPr>
        <w:pStyle w:val="TextBody"/>
        <w:bidi w:val="0"/>
        <w:spacing w:before="120" w:after="283"/>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tbl>
      <w:tblPr>
        <w:tblW w:w="9959" w:type="dxa"/>
        <w:jc w:val="left"/>
        <w:tblInd w:w="0" w:type="dxa"/>
        <w:tblLayout w:type="fixed"/>
        <w:tblCellMar>
          <w:top w:w="28" w:type="dxa"/>
          <w:left w:w="28" w:type="dxa"/>
          <w:bottom w:w="28" w:type="dxa"/>
          <w:right w:w="28" w:type="dxa"/>
        </w:tblCellMar>
      </w:tblPr>
      <w:tblGrid>
        <w:gridCol w:w="914"/>
        <w:gridCol w:w="804"/>
        <w:gridCol w:w="816"/>
        <w:gridCol w:w="109"/>
        <w:gridCol w:w="109"/>
        <w:gridCol w:w="109"/>
        <w:gridCol w:w="444"/>
        <w:gridCol w:w="444"/>
        <w:gridCol w:w="446"/>
        <w:gridCol w:w="109"/>
        <w:gridCol w:w="109"/>
        <w:gridCol w:w="109"/>
        <w:gridCol w:w="297"/>
        <w:gridCol w:w="720"/>
        <w:gridCol w:w="153"/>
        <w:gridCol w:w="109"/>
        <w:gridCol w:w="109"/>
        <w:gridCol w:w="109"/>
        <w:gridCol w:w="474"/>
        <w:gridCol w:w="474"/>
        <w:gridCol w:w="476"/>
        <w:gridCol w:w="109"/>
        <w:gridCol w:w="109"/>
        <w:gridCol w:w="109"/>
        <w:gridCol w:w="319"/>
        <w:gridCol w:w="1637"/>
        <w:gridCol w:w="233"/>
      </w:tblGrid>
      <w:tr>
        <w:trPr/>
        <w:tc>
          <w:tcPr>
            <w:tcW w:w="91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Maximum number (or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approximate dollar value)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shares that may yet be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repurchased under the plans</w:t>
            </w:r>
          </w:p>
          <w:p>
            <w:pPr>
              <w:pStyle w:val="TableContents"/>
              <w:bidi w:val="0"/>
              <w:spacing w:lineRule="auto" w:line="240" w:before="0" w:after="0"/>
              <w:jc w:val="center"/>
              <w:rPr/>
            </w:pPr>
            <w:r>
              <w:rPr>
                <w:rFonts w:ascii="Times New Roman;sans-serif" w:hAnsi="Times New Roman;sans-serif"/>
                <w:b/>
                <w:color w:val="000000"/>
                <w:sz w:val="16"/>
              </w:rPr>
              <w:t xml:space="preserve">or programs </w:t>
            </w:r>
            <w:r>
              <w:rPr>
                <w:rFonts w:ascii="Times New Roman;sans-serif" w:hAnsi="Times New Roman;sans-serif"/>
                <w:b/>
                <w:color w:val="000000"/>
                <w:sz w:val="10"/>
              </w:rPr>
              <w:t>(1, 2)</w:t>
            </w:r>
          </w:p>
        </w:tc>
      </w:tr>
      <w:tr>
        <w:trPr/>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2024 - April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11,984,720 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2024 - May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20,907 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11,984,720 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2024 -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403,077 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11,984,720 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(1)On August 5, 2008, the Company's Board of Directors approved a share repurchase program pursuant to which the Company is permitted to acquire up to $25.0 million of outstanding shares. This share repurchase program may be discontinued at any time.</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(2)This column represents the amount that remains available under the $25.0 million repurchase plan, as of the period indicated. The Company has made no commitment to purchase any shares under this plan.</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(3)Pursuant to the OraSure Technologies, Inc. Stock Award Plan, and in connection with the vesting of restricted and performance shares, these shares were retired to satisfy minimum tax withholdings.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2024, Kathleen Weber, our Chief Product Officer, adopted a trading arrangement (the “Trading Plan”) intended to satisfy the affirmative defense conditions of Rule 10b5-1(c) under the Exchange Act with respect to the sale of an aggregate of up to 75,000 shares of our common stock between August 30, 2024 and May 30, 2025 pursuant to the terms of the Trading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2789"/>
        <w:gridCol w:w="2612"/>
        <w:gridCol w:w="3705"/>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r>
      <w:tr>
        <w:trPr/>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Certificate of Amendment to the Company's Certificate of Incorporation (incorporated herein by reference to Exhibit 3.1 to the Company's Current Report on Form 8-K filed on May 17, 2024).</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OraSure Technologies, Inc. 2000 Stock Award Plan (incorporated herein by reference to Exhibit 10.1 to the Company's Current Report on Form 8-K filed on May 17, 2024)</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ur-20240630xexx311.htm">
              <w:r>
                <w:rPr>
                  <w:rStyle w:val="InternetLink"/>
                  <w:rFonts w:ascii="Times New Roman;sans-serif" w:hAnsi="Times New Roman;sans-serif"/>
                  <w:b w:val="false"/>
                  <w:color w:val="0000FF"/>
                  <w:sz w:val="20"/>
                  <w:u w:val="single"/>
                </w:rPr>
                <w:t>Certification of Carrie Eglinton-Manner required by Rule 13a-14(a) or Rule 15d-14(a) under the Securities Exchange Act of 1934, as amended.</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ur-20240630xexx312.htm">
              <w:r>
                <w:rPr>
                  <w:rStyle w:val="InternetLink"/>
                  <w:rFonts w:ascii="Times New Roman;sans-serif" w:hAnsi="Times New Roman;sans-serif"/>
                  <w:b w:val="false"/>
                  <w:color w:val="0000FF"/>
                  <w:sz w:val="20"/>
                  <w:u w:val="single"/>
                </w:rPr>
                <w:t>Certification of Kenneth J. McGrath required by Rule 13a-14(a) or Rule 15d-14(a) under the Securities Exchange Act of 1934, as amended.</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ur-20240630xexx321.htm">
              <w:r>
                <w:rPr>
                  <w:rStyle w:val="InternetLink"/>
                  <w:rFonts w:ascii="Times New Roman;sans-serif" w:hAnsi="Times New Roman;sans-serif"/>
                  <w:b w:val="false"/>
                  <w:color w:val="0000FF"/>
                  <w:sz w:val="20"/>
                  <w:u w:val="single"/>
                </w:rPr>
                <w:t>Certification of Carrie Eglinton-Manner required by Rule 13a-14(b) or Rule 15d-14(b) under the Securities Exchange Act of 1934, as amended, and 18 U.S.C. Section 1350, as Adopted Pursuant to Section 906 of the Sarbanes-Oxley Act of 2002.</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ur-20240630xexx322.htm">
              <w:r>
                <w:rPr>
                  <w:rStyle w:val="InternetLink"/>
                  <w:rFonts w:ascii="Times New Roman;sans-serif" w:hAnsi="Times New Roman;sans-serif"/>
                  <w:b w:val="false"/>
                  <w:color w:val="0000FF"/>
                  <w:sz w:val="20"/>
                  <w:u w:val="single"/>
                </w:rPr>
                <w:t>Certification of Kenneth J. McGrath required by Rule 13a-14(b) or Rule 15d-14(b) under the Securities Exchange Act of 1934, as amended, and 18 U.S.C. Section 1350, as Adopted Pursuant to Section 906 of the Sarbanes-Oxley Act of 2002</w:t>
              </w:r>
            </w:hyperlink>
            <w:r>
              <w:rPr>
                <w:rFonts w:ascii="Times New Roman;sans-serif" w:hAnsi="Times New Roman;sans-serif"/>
                <w:b w:val="false"/>
                <w:color w:val="000000"/>
                <w:sz w:val="20"/>
              </w:rPr>
              <w: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from Interactive Data File (formatted as inline XBRL with applicable taxonomy extension information contained in exhibits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bidi w:val="0"/>
        <w:spacing w:lineRule="auto" w:line="288" w:before="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plan or arrangement.</w:t>
      </w:r>
    </w:p>
    <w:p>
      <w:pPr>
        <w:pStyle w:val="TextBody"/>
        <w:bidi w:val="0"/>
        <w:spacing w:lineRule="auto" w:line="288" w:before="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is deemed not filed for purposes of section 18 of the Exchange Act or otherwise subject to the liability of that section, nor shall it be deemed incorporated by reference into any filing under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f96a18d5da104defaf58ca763f738054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515" w:type="dxa"/>
        <w:jc w:val="left"/>
        <w:tblInd w:w="0" w:type="dxa"/>
        <w:tblLayout w:type="fixed"/>
        <w:tblCellMar>
          <w:top w:w="28" w:type="dxa"/>
          <w:left w:w="28" w:type="dxa"/>
          <w:bottom w:w="28" w:type="dxa"/>
          <w:right w:w="28" w:type="dxa"/>
        </w:tblCellMar>
      </w:tblPr>
      <w:tblGrid>
        <w:gridCol w:w="667"/>
        <w:gridCol w:w="587"/>
        <w:gridCol w:w="590"/>
        <w:gridCol w:w="469"/>
        <w:gridCol w:w="469"/>
        <w:gridCol w:w="469"/>
        <w:gridCol w:w="1538"/>
        <w:gridCol w:w="1538"/>
        <w:gridCol w:w="218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ORASURE TECHNOLOGIES,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Kenneth J. McGrath</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6, 2024</w:t>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J. McGrath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/s/Michele M. Anthony</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6, 2024</w:t>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Michele M. Anthony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Controller and Chief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3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Carrie Eglinton Manner, certify that: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OraSure Technologies, Inc.;</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240" w:after="120"/>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120"/>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054" w:type="dxa"/>
        <w:jc w:val="left"/>
        <w:tblInd w:w="0" w:type="dxa"/>
        <w:tblLayout w:type="fixed"/>
        <w:tblCellMar>
          <w:top w:w="28" w:type="dxa"/>
          <w:left w:w="28" w:type="dxa"/>
          <w:bottom w:w="28" w:type="dxa"/>
          <w:right w:w="28" w:type="dxa"/>
        </w:tblCellMar>
      </w:tblPr>
      <w:tblGrid>
        <w:gridCol w:w="667"/>
        <w:gridCol w:w="587"/>
        <w:gridCol w:w="590"/>
        <w:gridCol w:w="940"/>
        <w:gridCol w:w="940"/>
        <w:gridCol w:w="13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6, 2024</w:t>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Carrie Eglinton Manner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 Eglinton Manner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Principal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3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Kenneth J. McGrath, certify that: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OraSure Technologies, Inc.</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54" w:type="dxa"/>
        <w:jc w:val="left"/>
        <w:tblInd w:w="0" w:type="dxa"/>
        <w:tblLayout w:type="fixed"/>
        <w:tblCellMar>
          <w:top w:w="28" w:type="dxa"/>
          <w:left w:w="28" w:type="dxa"/>
          <w:bottom w:w="28" w:type="dxa"/>
          <w:right w:w="28" w:type="dxa"/>
        </w:tblCellMar>
      </w:tblPr>
      <w:tblGrid>
        <w:gridCol w:w="667"/>
        <w:gridCol w:w="587"/>
        <w:gridCol w:w="590"/>
        <w:gridCol w:w="763"/>
        <w:gridCol w:w="763"/>
        <w:gridCol w:w="108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6, 2024</w:t>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Kenneth J. McGrath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J. McGrath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OraSure Technologies, Inc. (the “Company”) on Form 10-Q for the quarter ended June 30, 2024 as filed with the Securities and Exchange Commission on the date hereof (the “Report”), I, Carrie Eglinton Manner, President and Chief Executive Officer of the Company, certify, pursuant to 18 U.S.C. §1350, as adopted pursuant to Section 906 of the Sarbanes-Oxley Act of 2002,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Carrie Eglinton Manner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 Eglinton Manner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pPr>
      <w:r>
        <w:rPr>
          <w:rFonts w:ascii="Times New Roman;sans-serif" w:hAnsi="Times New Roman;sans-serif"/>
          <w:b/>
          <w:color w:val="000000"/>
          <w:sz w:val="20"/>
        </w:rPr>
        <w:t>18 U.S.C.</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color w:val="000000"/>
          <w:sz w:val="20"/>
        </w:rPr>
        <w:t>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OraSure Technologies, Inc. (the “Company”) on Form 10-Q for the quarter ended June 30, 2024 as filed with the Securities and Exchange Commission on the date hereof (the “Report”), I, Kenneth J. McGrath, Chief Financial Officer of the Company, certify, pursuant to 18 U.S.C. §1350, as adopted pursuant to Section 906 of the Sarbanes-Oxley Act of 2002,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Kenneth J. McGrath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J. McGrath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16463/000162828024024025/ex31orasure-certificateofa.htm" TargetMode="External"/><Relationship Id="rId3" Type="http://schemas.openxmlformats.org/officeDocument/2006/relationships/hyperlink" Target="https://www.sec.gov/Archives/edgar/data/1116463/000162828024024025/ex101_amendedandrestatedst.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14113</Words>
  <Characters>78403</Characters>
  <CharactersWithSpaces>91680</CharactersWithSpaces>
  <Paragraphs>1701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