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55880</wp:posOffset>
            </wp:positionV>
            <wp:extent cx="1131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66040</wp:posOffset>
            </wp:positionV>
            <wp:extent cx="1131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780" w:right="1720" w:hanging="3772"/>
        <w:spacing w:after="0" w:line="329" w:lineRule="auto"/>
        <w:tabs>
          <w:tab w:leader="none" w:pos="35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4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4"/>
        </w:trPr>
        <w:tc>
          <w:tcPr>
            <w:tcW w:w="440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001-16537</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43180</wp:posOffset>
            </wp:positionV>
            <wp:extent cx="1131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ORASURE TECHNOLOGIES,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55880</wp:posOffset>
            </wp:positionV>
            <wp:extent cx="113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72"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040" w:type="dxa"/>
            <w:vAlign w:val="bottom"/>
          </w:tcPr>
          <w:p>
            <w:pPr>
              <w:jc w:val="center"/>
              <w:ind w:right="1361"/>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539"/>
              <w:spacing w:after="0"/>
              <w:rPr>
                <w:sz w:val="20"/>
                <w:szCs w:val="20"/>
                <w:color w:val="auto"/>
              </w:rPr>
            </w:pPr>
            <w:r>
              <w:rPr>
                <w:rFonts w:ascii="Arial" w:cs="Arial" w:eastAsia="Arial" w:hAnsi="Arial"/>
                <w:sz w:val="18"/>
                <w:szCs w:val="18"/>
                <w:b w:val="1"/>
                <w:bCs w:val="1"/>
                <w:color w:val="auto"/>
              </w:rPr>
              <w:t>36-4370966</w:t>
            </w:r>
          </w:p>
        </w:tc>
      </w:tr>
      <w:tr>
        <w:trPr>
          <w:trHeight w:val="148"/>
        </w:trPr>
        <w:tc>
          <w:tcPr>
            <w:tcW w:w="5040" w:type="dxa"/>
            <w:vAlign w:val="bottom"/>
          </w:tcPr>
          <w:p>
            <w:pPr>
              <w:jc w:val="center"/>
              <w:ind w:right="13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40" w:type="dxa"/>
            <w:vAlign w:val="bottom"/>
          </w:tcPr>
          <w:p>
            <w:pPr>
              <w:jc w:val="center"/>
              <w:ind w:left="1359"/>
              <w:spacing w:after="0" w:line="149" w:lineRule="exact"/>
              <w:rPr>
                <w:sz w:val="20"/>
                <w:szCs w:val="20"/>
                <w:color w:val="auto"/>
              </w:rPr>
            </w:pPr>
            <w:r>
              <w:rPr>
                <w:rFonts w:ascii="Arial" w:cs="Arial" w:eastAsia="Arial" w:hAnsi="Arial"/>
                <w:sz w:val="14"/>
                <w:szCs w:val="14"/>
                <w:b w:val="1"/>
                <w:bCs w:val="1"/>
                <w:color w:val="auto"/>
                <w:w w:val="96"/>
              </w:rPr>
              <w:t>(IRS Employer Identification No.)</w:t>
            </w:r>
          </w:p>
        </w:tc>
      </w:tr>
      <w:tr>
        <w:trPr>
          <w:trHeight w:val="186"/>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5"/>
              </w:rPr>
              <w:t>Incorporation or Organization)</w:t>
            </w:r>
          </w:p>
        </w:tc>
        <w:tc>
          <w:tcPr>
            <w:tcW w:w="3540" w:type="dxa"/>
            <w:vAlign w:val="bottom"/>
          </w:tcPr>
          <w:p>
            <w:pPr>
              <w:spacing w:after="0"/>
              <w:rPr>
                <w:sz w:val="16"/>
                <w:szCs w:val="16"/>
                <w:color w:val="auto"/>
              </w:rPr>
            </w:pPr>
          </w:p>
        </w:tc>
      </w:tr>
      <w:tr>
        <w:trPr>
          <w:trHeight w:val="300"/>
        </w:trPr>
        <w:tc>
          <w:tcPr>
            <w:tcW w:w="5040" w:type="dxa"/>
            <w:vAlign w:val="bottom"/>
          </w:tcPr>
          <w:p>
            <w:pPr>
              <w:jc w:val="center"/>
              <w:ind w:right="1381"/>
              <w:spacing w:after="0"/>
              <w:rPr>
                <w:sz w:val="20"/>
                <w:szCs w:val="20"/>
                <w:color w:val="auto"/>
              </w:rPr>
            </w:pPr>
            <w:r>
              <w:rPr>
                <w:rFonts w:ascii="Arial" w:cs="Arial" w:eastAsia="Arial" w:hAnsi="Arial"/>
                <w:sz w:val="18"/>
                <w:szCs w:val="18"/>
                <w:b w:val="1"/>
                <w:bCs w:val="1"/>
                <w:color w:val="auto"/>
                <w:w w:val="89"/>
              </w:rPr>
              <w:t>220 East First Street, Bethlehem, Pennsylvania</w:t>
            </w:r>
          </w:p>
        </w:tc>
        <w:tc>
          <w:tcPr>
            <w:tcW w:w="3540" w:type="dxa"/>
            <w:vAlign w:val="bottom"/>
          </w:tcPr>
          <w:p>
            <w:pPr>
              <w:jc w:val="right"/>
              <w:ind w:right="739"/>
              <w:spacing w:after="0"/>
              <w:rPr>
                <w:sz w:val="20"/>
                <w:szCs w:val="20"/>
                <w:color w:val="auto"/>
              </w:rPr>
            </w:pPr>
            <w:r>
              <w:rPr>
                <w:rFonts w:ascii="Arial" w:cs="Arial" w:eastAsia="Arial" w:hAnsi="Arial"/>
                <w:sz w:val="18"/>
                <w:szCs w:val="18"/>
                <w:b w:val="1"/>
                <w:bCs w:val="1"/>
                <w:color w:val="auto"/>
              </w:rPr>
              <w:t>18015</w:t>
            </w:r>
          </w:p>
        </w:tc>
      </w:tr>
      <w:tr>
        <w:trPr>
          <w:trHeight w:val="186"/>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2"/>
              </w:rPr>
              <w:t>(Zip code)</w:t>
            </w:r>
          </w:p>
        </w:tc>
      </w:tr>
    </w:tbl>
    <w:p>
      <w:pPr>
        <w:spacing w:after="0" w:line="88"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Registrant’s telephone number, including area code: (610) 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68580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428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3"/>
              </w:rPr>
              <w:t>Trading</w:t>
            </w:r>
          </w:p>
        </w:tc>
        <w:tc>
          <w:tcPr>
            <w:tcW w:w="120" w:type="dxa"/>
            <w:vAlign w:val="bottom"/>
            <w:tcBorders>
              <w:top w:val="single" w:sz="8" w:color="auto"/>
            </w:tcBorders>
          </w:tcPr>
          <w:p>
            <w:pPr>
              <w:spacing w:after="0"/>
              <w:rPr>
                <w:sz w:val="13"/>
                <w:szCs w:val="13"/>
                <w:color w:val="auto"/>
              </w:rPr>
            </w:pP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Common Stock, $0.000001 par value per share</w:t>
            </w: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OSUR</w:t>
            </w:r>
          </w:p>
        </w:tc>
        <w:tc>
          <w:tcPr>
            <w:tcW w:w="12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8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6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240"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60"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5, 2022, the registrant had 72,455,507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w:t>
            </w:r>
          </w:p>
        </w:tc>
      </w:tr>
      <w:tr>
        <w:trPr>
          <w:trHeight w:val="345"/>
        </w:trPr>
        <w:tc>
          <w:tcPr>
            <w:tcW w:w="20" w:type="dxa"/>
            <w:vAlign w:val="bottom"/>
          </w:tcPr>
          <w:p>
            <w:pPr>
              <w:spacing w:after="0"/>
              <w:rPr>
                <w:sz w:val="24"/>
                <w:szCs w:val="24"/>
                <w:color w:val="auto"/>
              </w:rPr>
            </w:pPr>
          </w:p>
        </w:tc>
        <w:tc>
          <w:tcPr>
            <w:tcW w:w="10700" w:type="dxa"/>
            <w:vAlign w:val="bottom"/>
            <w:gridSpan w:val="20"/>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March 31, 2022 and December 31, 2021</w:t>
              </w:r>
            </w:hyperlink>
          </w:p>
        </w:tc>
        <w:tc>
          <w:tcPr>
            <w:tcW w:w="20" w:type="dxa"/>
            <w:vAlign w:val="bottom"/>
            <w:tcBorders>
              <w:bottom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40" w:type="dxa"/>
            <w:vAlign w:val="bottom"/>
            <w:tcBorders>
              <w:bottom w:val="single" w:sz="8" w:color="0000EE"/>
            </w:tcBorders>
            <w:gridSpan w:val="16"/>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Consolidated Statements of Operations for the three months ended March 31, 2022 and 2021</w:t>
              </w:r>
            </w:hyperlink>
          </w:p>
        </w:tc>
        <w:tc>
          <w:tcPr>
            <w:tcW w:w="36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2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Comprehensive Income (Loss) for the three months ended March 31, 2022 and 2021</w:t>
              </w:r>
            </w:hyperlink>
          </w:p>
        </w:tc>
        <w:tc>
          <w:tcPr>
            <w:tcW w:w="2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three months ended March 31, 2022 and 2021</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the Consolidated Financial Statements</w:t>
              </w:r>
            </w:hyperlink>
          </w:p>
        </w:tc>
        <w:tc>
          <w:tcPr>
            <w:tcW w:w="20" w:type="dxa"/>
            <w:vAlign w:val="bottom"/>
            <w:tcBorders>
              <w:top w:val="single" w:sz="8" w:color="0000FF"/>
              <w:bottom w:val="single" w:sz="8" w:color="0000EE"/>
            </w:tcBorders>
          </w:tcPr>
          <w:p>
            <w:pPr>
              <w:spacing w:after="0"/>
              <w:rPr>
                <w:sz w:val="24"/>
                <w:szCs w:val="24"/>
                <w:color w:val="auto"/>
              </w:rPr>
            </w:pPr>
          </w:p>
        </w:tc>
        <w:tc>
          <w:tcPr>
            <w:tcW w:w="3300" w:type="dxa"/>
            <w:vAlign w:val="bottom"/>
            <w:tcBorders>
              <w:top w:val="single" w:sz="8" w:color="0000FF"/>
            </w:tcBorders>
            <w:gridSpan w:val="5"/>
          </w:tcPr>
          <w:p>
            <w:pPr>
              <w:spacing w:after="0"/>
              <w:rPr>
                <w:sz w:val="24"/>
                <w:szCs w:val="24"/>
                <w:color w:val="auto"/>
              </w:rPr>
            </w:pPr>
          </w:p>
        </w:tc>
        <w:tc>
          <w:tcPr>
            <w:tcW w:w="36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20" w:type="dxa"/>
            <w:vAlign w:val="bottom"/>
            <w:tcBorders>
              <w:bottom w:val="single" w:sz="8" w:color="0000EE"/>
            </w:tcBorders>
          </w:tcPr>
          <w:p>
            <w:pPr>
              <w:spacing w:after="0"/>
              <w:rPr>
                <w:sz w:val="24"/>
                <w:szCs w:val="24"/>
                <w:color w:val="auto"/>
              </w:rPr>
            </w:pPr>
          </w:p>
        </w:tc>
        <w:tc>
          <w:tcPr>
            <w:tcW w:w="742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7">
              <w:r>
                <w:rPr>
                  <w:rFonts w:ascii="Arial" w:cs="Arial" w:eastAsia="Arial" w:hAnsi="Arial"/>
                  <w:sz w:val="18"/>
                  <w:szCs w:val="18"/>
                  <w:b w:val="1"/>
                  <w:bCs w:val="1"/>
                  <w:color w:val="0000FF"/>
                  <w:w w:val="89"/>
                </w:rPr>
                <w:t>Item 2. Management’s Discussion and Analysis of Financial Condition and Results of Operations</w:t>
              </w:r>
            </w:hyperlink>
          </w:p>
        </w:tc>
        <w:tc>
          <w:tcPr>
            <w:tcW w:w="32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20" w:type="dxa"/>
            <w:vAlign w:val="bottom"/>
            <w:tcBorders>
              <w:bottom w:val="single" w:sz="8" w:color="0000EE"/>
            </w:tcBorders>
          </w:tcPr>
          <w:p>
            <w:pPr>
              <w:spacing w:after="0"/>
              <w:rPr>
                <w:sz w:val="24"/>
                <w:szCs w:val="24"/>
                <w:color w:val="auto"/>
              </w:rPr>
            </w:pPr>
          </w:p>
        </w:tc>
        <w:tc>
          <w:tcPr>
            <w:tcW w:w="5260" w:type="dxa"/>
            <w:vAlign w:val="bottom"/>
            <w:tcBorders>
              <w:bottom w:val="single" w:sz="8" w:color="0000FF"/>
            </w:tcBorders>
            <w:gridSpan w:val="14"/>
          </w:tcPr>
          <w:p>
            <w:pPr>
              <w:spacing w:after="0"/>
              <w:rPr>
                <w:rFonts w:ascii="Arial" w:cs="Arial" w:eastAsia="Arial" w:hAnsi="Arial"/>
                <w:sz w:val="18"/>
                <w:szCs w:val="18"/>
                <w:b w:val="1"/>
                <w:bCs w:val="1"/>
                <w:color w:val="0000FF"/>
                <w:w w:val="91"/>
              </w:rPr>
            </w:pPr>
            <w:hyperlink w:anchor="page25">
              <w:r>
                <w:rPr>
                  <w:rFonts w:ascii="Arial" w:cs="Arial" w:eastAsia="Arial" w:hAnsi="Arial"/>
                  <w:sz w:val="18"/>
                  <w:szCs w:val="18"/>
                  <w:b w:val="1"/>
                  <w:bCs w:val="1"/>
                  <w:color w:val="0000FF"/>
                  <w:w w:val="91"/>
                </w:rPr>
                <w:t>Item 3. Quantitative and Qualitative Disclosures About Market Risk</w:t>
              </w:r>
            </w:hyperlink>
          </w:p>
        </w:tc>
        <w:tc>
          <w:tcPr>
            <w:tcW w:w="54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Item 4. 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66"/>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8"/>
          </w:tcPr>
          <w:p>
            <w:pPr>
              <w:ind w:left="16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Item 1. 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0" w:type="dxa"/>
            <w:vAlign w:val="bottom"/>
            <w:tcBorders>
              <w:top w:val="single" w:sz="8" w:color="0000EE"/>
              <w:bottom w:val="single" w:sz="8" w:color="0000EE"/>
            </w:tcBorders>
          </w:tcPr>
          <w:p>
            <w:pPr>
              <w:spacing w:after="0"/>
              <w:rPr>
                <w:sz w:val="24"/>
                <w:szCs w:val="24"/>
                <w:color w:val="auto"/>
              </w:rPr>
            </w:pPr>
          </w:p>
        </w:tc>
        <w:tc>
          <w:tcPr>
            <w:tcW w:w="170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1"/>
              </w:rPr>
            </w:pPr>
            <w:hyperlink w:anchor="page25">
              <w:r>
                <w:rPr>
                  <w:rFonts w:ascii="Arial" w:cs="Arial" w:eastAsia="Arial" w:hAnsi="Arial"/>
                  <w:sz w:val="18"/>
                  <w:szCs w:val="18"/>
                  <w:b w:val="1"/>
                  <w:bCs w:val="1"/>
                  <w:color w:val="0000FF"/>
                  <w:w w:val="91"/>
                </w:rPr>
                <w:t>Item 1A. 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7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7"/>
        </w:trPr>
        <w:tc>
          <w:tcPr>
            <w:tcW w:w="20" w:type="dxa"/>
            <w:vAlign w:val="bottom"/>
            <w:tcBorders>
              <w:bottom w:val="single" w:sz="8" w:color="0000EE"/>
            </w:tcBorders>
          </w:tcPr>
          <w:p>
            <w:pPr>
              <w:spacing w:after="0"/>
              <w:rPr>
                <w:sz w:val="24"/>
                <w:szCs w:val="24"/>
                <w:color w:val="auto"/>
              </w:rPr>
            </w:pPr>
          </w:p>
        </w:tc>
        <w:tc>
          <w:tcPr>
            <w:tcW w:w="5160" w:type="dxa"/>
            <w:vAlign w:val="bottom"/>
            <w:tcBorders>
              <w:bottom w:val="single" w:sz="8" w:color="0000FF"/>
            </w:tcBorders>
            <w:gridSpan w:val="13"/>
          </w:tcPr>
          <w:p>
            <w:pPr>
              <w:spacing w:after="0"/>
              <w:rPr>
                <w:rFonts w:ascii="Arial" w:cs="Arial" w:eastAsia="Arial" w:hAnsi="Arial"/>
                <w:sz w:val="18"/>
                <w:szCs w:val="18"/>
                <w:b w:val="1"/>
                <w:bCs w:val="1"/>
                <w:color w:val="0000FF"/>
                <w:w w:val="88"/>
              </w:rPr>
            </w:pPr>
            <w:hyperlink w:anchor="page26">
              <w:r>
                <w:rPr>
                  <w:rFonts w:ascii="Arial" w:cs="Arial" w:eastAsia="Arial" w:hAnsi="Arial"/>
                  <w:sz w:val="18"/>
                  <w:szCs w:val="18"/>
                  <w:b w:val="1"/>
                  <w:bCs w:val="1"/>
                  <w:color w:val="0000FF"/>
                  <w:w w:val="88"/>
                </w:rPr>
                <w:t>Item 2. Unregistered Sales of Equity Securities and Use of Proceeds</w:t>
              </w:r>
            </w:hyperlink>
          </w:p>
        </w:tc>
        <w:tc>
          <w:tcPr>
            <w:tcW w:w="55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3. 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0" w:type="dxa"/>
            <w:vAlign w:val="bottom"/>
            <w:tcBorders>
              <w:top w:val="single" w:sz="8" w:color="0000EE"/>
            </w:tcBorders>
          </w:tcPr>
          <w:p>
            <w:pPr>
              <w:spacing w:after="0"/>
              <w:rPr>
                <w:sz w:val="24"/>
                <w:szCs w:val="24"/>
                <w:color w:val="auto"/>
              </w:rPr>
            </w:pPr>
          </w:p>
        </w:tc>
        <w:tc>
          <w:tcPr>
            <w:tcW w:w="3020" w:type="dxa"/>
            <w:vAlign w:val="bottom"/>
            <w:tcBorders>
              <w:top w:val="single" w:sz="8" w:color="0000FF"/>
            </w:tcBorders>
            <w:gridSpan w:val="10"/>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4. Mine Safety Disclosures</w:t>
              </w:r>
            </w:hyperlink>
          </w:p>
        </w:tc>
        <w:tc>
          <w:tcPr>
            <w:tcW w:w="768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0" w:type="dxa"/>
            <w:vAlign w:val="bottom"/>
            <w:tcBorders>
              <w:top w:val="single" w:sz="8" w:color="0000EE"/>
              <w:bottom w:val="single" w:sz="8" w:color="0000EE"/>
            </w:tcBorders>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4"/>
              </w:rPr>
            </w:pPr>
            <w:hyperlink w:anchor="page26">
              <w:r>
                <w:rPr>
                  <w:rFonts w:ascii="Arial" w:cs="Arial" w:eastAsia="Arial" w:hAnsi="Arial"/>
                  <w:sz w:val="18"/>
                  <w:szCs w:val="18"/>
                  <w:b w:val="1"/>
                  <w:bCs w:val="1"/>
                  <w:color w:val="0000FF"/>
                  <w:w w:val="94"/>
                </w:rPr>
                <w:t>Item 5. Other Information</w:t>
              </w:r>
            </w:hyperlink>
          </w:p>
        </w:tc>
        <w:tc>
          <w:tcPr>
            <w:tcW w:w="380" w:type="dxa"/>
            <w:vAlign w:val="bottom"/>
            <w:tcBorders>
              <w:top w:val="single" w:sz="8" w:color="0000FF"/>
            </w:tcBorders>
          </w:tcPr>
          <w:p>
            <w:pPr>
              <w:spacing w:after="0"/>
              <w:rPr>
                <w:sz w:val="24"/>
                <w:szCs w:val="24"/>
                <w:color w:val="auto"/>
              </w:rPr>
            </w:pPr>
          </w:p>
        </w:tc>
        <w:tc>
          <w:tcPr>
            <w:tcW w:w="828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6. 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gridSpan w:val="2"/>
          </w:tcPr>
          <w:p>
            <w:pPr>
              <w:spacing w:after="0"/>
              <w:rPr>
                <w:rFonts w:ascii="Arial" w:cs="Arial" w:eastAsia="Arial" w:hAnsi="Arial"/>
                <w:sz w:val="18"/>
                <w:szCs w:val="18"/>
                <w:b w:val="1"/>
                <w:bCs w:val="1"/>
                <w:color w:val="0000FF"/>
                <w:w w:val="90"/>
              </w:rPr>
            </w:pPr>
            <w:hyperlink w:anchor="page28">
              <w:r>
                <w:rPr>
                  <w:rFonts w:ascii="Arial" w:cs="Arial" w:eastAsia="Arial" w:hAnsi="Arial"/>
                  <w:sz w:val="18"/>
                  <w:szCs w:val="18"/>
                  <w:b w:val="1"/>
                  <w:bCs w:val="1"/>
                  <w:color w:val="0000FF"/>
                  <w:w w:val="90"/>
                </w:rPr>
                <w:t>Signatures</w:t>
              </w:r>
            </w:hyperlink>
          </w:p>
        </w:tc>
        <w:tc>
          <w:tcPr>
            <w:tcW w:w="9480" w:type="dxa"/>
            <w:vAlign w:val="bottom"/>
            <w:gridSpan w:val="1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09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70,721</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116,762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41,503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 of allowance for doubtful accounts of $3,789 and $3,418</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59,671</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61,536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8,906</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26,027</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268,364</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288,431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97,572</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Operating right-of-use assets, net</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12,169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right-of-use assets, net</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2,240</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13,692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40,389</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1,106</w:t>
            </w: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line="196" w:lineRule="exact"/>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167,168</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435,532</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460,990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27,057</w:t>
            </w:r>
          </w:p>
        </w:tc>
        <w:tc>
          <w:tcPr>
            <w:tcW w:w="3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28,024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2,906</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21,911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1,815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Acquisition-related contingent consideration obligation</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w:t>
            </w: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55,587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68,064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1,207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10,727</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Acquisition-related contingent consideration obligation</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2,456</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15,059</w:t>
            </w: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70,646</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par value $.000001, 25,000 shares authorized, none issued</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w w:val="90"/>
              </w:rPr>
              <w:t>Common stock, par value $.000001, 120,000 shares authorized, 72,307 and 72,069 shares issued and</w:t>
            </w:r>
          </w:p>
        </w:tc>
        <w:tc>
          <w:tcPr>
            <w:tcW w:w="220" w:type="dxa"/>
            <w:vAlign w:val="bottom"/>
          </w:tcPr>
          <w:p>
            <w:pPr>
              <w:spacing w:after="0"/>
              <w:rPr>
                <w:sz w:val="14"/>
                <w:szCs w:val="14"/>
                <w:color w:val="auto"/>
              </w:rPr>
            </w:pPr>
          </w:p>
        </w:tc>
        <w:tc>
          <w:tcPr>
            <w:tcW w:w="17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513,553</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511,063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(8,247 )</w:t>
            </w:r>
          </w:p>
        </w:tc>
        <w:tc>
          <w:tcPr>
            <w:tcW w:w="14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(10,077 )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(140,420 )</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(120,453 )</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364,886</w:t>
            </w:r>
          </w:p>
        </w:tc>
        <w:tc>
          <w:tcPr>
            <w:tcW w:w="3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380,533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435,532</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460,990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-3828415</wp:posOffset>
            </wp:positionV>
            <wp:extent cx="77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-3828415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-3557270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-3539490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-3557270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-2499360</wp:posOffset>
            </wp:positionV>
            <wp:extent cx="7747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-1453515</wp:posOffset>
            </wp:positionV>
            <wp:extent cx="7747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-1453515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-296545</wp:posOffset>
            </wp:positionV>
            <wp:extent cx="774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6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Products and services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65,236</w:t>
            </w:r>
          </w:p>
        </w:tc>
        <w:tc>
          <w:tcPr>
            <w:tcW w:w="38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56,579</w:t>
            </w:r>
          </w:p>
        </w:tc>
        <w:tc>
          <w:tcPr>
            <w:tcW w:w="8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2,471</w:t>
            </w:r>
          </w:p>
        </w:tc>
        <w:tc>
          <w:tcPr>
            <w:tcW w:w="3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67,707</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58,582</w:t>
            </w:r>
          </w:p>
        </w:tc>
        <w:tc>
          <w:tcPr>
            <w:tcW w:w="8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PRODUCTS AND SERVICES SOLD</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43,435</w:t>
            </w:r>
          </w:p>
        </w:tc>
        <w:tc>
          <w:tcPr>
            <w:tcW w:w="3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20,256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24,272</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38,326</w:t>
            </w:r>
          </w:p>
        </w:tc>
        <w:tc>
          <w:tcPr>
            <w:tcW w:w="8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8,413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8,992</w:t>
            </w:r>
          </w:p>
        </w:tc>
        <w:tc>
          <w:tcPr>
            <w:tcW w:w="8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12,717</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9,530</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19,156</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10,188</w:t>
            </w:r>
          </w:p>
        </w:tc>
        <w:tc>
          <w:tcPr>
            <w:tcW w:w="8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the estimated fair value of acquisition-related contingent consideration</w:t>
            </w:r>
          </w:p>
        </w:tc>
        <w:tc>
          <w:tcPr>
            <w:tcW w:w="3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41"/>
              <w:spacing w:after="0" w:line="202" w:lineRule="exact"/>
              <w:rPr>
                <w:sz w:val="20"/>
                <w:szCs w:val="20"/>
                <w:color w:val="auto"/>
              </w:rPr>
            </w:pPr>
            <w:r>
              <w:rPr>
                <w:rFonts w:ascii="Arial" w:cs="Arial" w:eastAsia="Arial" w:hAnsi="Arial"/>
                <w:sz w:val="18"/>
                <w:szCs w:val="18"/>
                <w:color w:val="auto"/>
              </w:rPr>
              <w:t>(36 )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(806 )</w:t>
            </w:r>
          </w:p>
        </w:tc>
      </w:tr>
      <w:tr>
        <w:trPr>
          <w:trHeight w:val="196"/>
        </w:trPr>
        <w:tc>
          <w:tcPr>
            <w:tcW w:w="76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40,250</w:t>
            </w:r>
          </w:p>
        </w:tc>
        <w:tc>
          <w:tcPr>
            <w:tcW w:w="3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27,904</w:t>
            </w:r>
          </w:p>
        </w:tc>
        <w:tc>
          <w:tcPr>
            <w:tcW w:w="80" w:type="dxa"/>
            <w:vAlign w:val="bottom"/>
            <w:tcBorders>
              <w:top w:val="single" w:sz="8" w:color="CFF0FC"/>
            </w:tcBorders>
          </w:tcPr>
          <w:p>
            <w:pPr>
              <w:spacing w:after="0"/>
              <w:rPr>
                <w:sz w:val="17"/>
                <w:szCs w:val="17"/>
                <w:color w:val="auto"/>
              </w:rPr>
            </w:pPr>
          </w:p>
        </w:tc>
      </w:tr>
      <w:tr>
        <w:trPr>
          <w:trHeight w:val="196"/>
        </w:trPr>
        <w:tc>
          <w:tcPr>
            <w:tcW w:w="7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(15,978</w:t>
            </w:r>
          </w:p>
        </w:tc>
        <w:tc>
          <w:tcPr>
            <w:tcW w:w="380" w:type="dxa"/>
            <w:vAlign w:val="bottom"/>
            <w:shd w:val="clear" w:color="auto" w:fill="CFF0FC"/>
          </w:tcPr>
          <w:p>
            <w:pPr>
              <w:jc w:val="right"/>
              <w:ind w:right="2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10,422</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INCOME (LOSS)</w:t>
            </w:r>
          </w:p>
        </w:tc>
        <w:tc>
          <w:tcPr>
            <w:tcW w:w="380" w:type="dxa"/>
            <w:vAlign w:val="bottom"/>
          </w:tcPr>
          <w:p>
            <w:pPr>
              <w:spacing w:after="0"/>
              <w:rPr>
                <w:sz w:val="17"/>
                <w:szCs w:val="17"/>
                <w:color w:val="auto"/>
              </w:rPr>
            </w:pPr>
          </w:p>
        </w:tc>
        <w:tc>
          <w:tcPr>
            <w:tcW w:w="158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(53 )</w:t>
            </w:r>
          </w:p>
        </w:tc>
        <w:tc>
          <w:tcPr>
            <w:tcW w:w="3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(119 )</w:t>
            </w:r>
          </w:p>
        </w:tc>
      </w:tr>
      <w:tr>
        <w:trPr>
          <w:trHeight w:val="196"/>
        </w:trPr>
        <w:tc>
          <w:tcPr>
            <w:tcW w:w="7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(16,031</w:t>
            </w:r>
          </w:p>
        </w:tc>
        <w:tc>
          <w:tcPr>
            <w:tcW w:w="380" w:type="dxa"/>
            <w:vAlign w:val="bottom"/>
            <w:shd w:val="clear" w:color="auto" w:fill="CFF0FC"/>
          </w:tcPr>
          <w:p>
            <w:pPr>
              <w:jc w:val="right"/>
              <w:ind w:right="24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10,303</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3,936</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6,529</w:t>
            </w:r>
          </w:p>
        </w:tc>
        <w:tc>
          <w:tcPr>
            <w:tcW w:w="8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(19,967</w:t>
            </w:r>
          </w:p>
        </w:tc>
        <w:tc>
          <w:tcPr>
            <w:tcW w:w="380" w:type="dxa"/>
            <w:vAlign w:val="bottom"/>
            <w:tcBorders>
              <w:bottom w:val="single" w:sz="8" w:color="CFF0FC"/>
            </w:tcBorders>
            <w:shd w:val="clear" w:color="auto" w:fill="CFF0FC"/>
          </w:tcPr>
          <w:p>
            <w:pPr>
              <w:jc w:val="right"/>
              <w:ind w:right="241"/>
              <w:spacing w:after="0" w:line="183" w:lineRule="exact"/>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3,774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8"/>
                <w:szCs w:val="18"/>
                <w:color w:val="auto"/>
              </w:rPr>
              <w:t>INCOME (LOSS)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7640" w:type="dxa"/>
            <w:vAlign w:val="bottom"/>
            <w:shd w:val="clear" w:color="auto" w:fill="CFF0FC"/>
          </w:tcPr>
          <w:p>
            <w:pPr>
              <w:ind w:left="200"/>
              <w:spacing w:after="0" w:line="18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41"/>
              <w:spacing w:after="0" w:line="182" w:lineRule="exact"/>
              <w:rPr>
                <w:sz w:val="20"/>
                <w:szCs w:val="20"/>
                <w:color w:val="auto"/>
              </w:rPr>
            </w:pPr>
            <w:r>
              <w:rPr>
                <w:rFonts w:ascii="Arial" w:cs="Arial" w:eastAsia="Arial" w:hAnsi="Arial"/>
                <w:sz w:val="18"/>
                <w:szCs w:val="18"/>
                <w:color w:val="auto"/>
              </w:rPr>
              <w:t>(0.28 )</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0.05</w:t>
            </w:r>
          </w:p>
        </w:tc>
        <w:tc>
          <w:tcPr>
            <w:tcW w:w="80" w:type="dxa"/>
            <w:vAlign w:val="bottom"/>
            <w:shd w:val="clear" w:color="auto" w:fill="CFF0FC"/>
          </w:tcPr>
          <w:p>
            <w:pPr>
              <w:spacing w:after="0"/>
              <w:rPr>
                <w:sz w:val="19"/>
                <w:szCs w:val="19"/>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640" w:type="dxa"/>
            <w:vAlign w:val="bottom"/>
          </w:tcPr>
          <w:p>
            <w:pPr>
              <w:ind w:left="200"/>
              <w:spacing w:after="0" w:line="182" w:lineRule="exact"/>
              <w:rPr>
                <w:sz w:val="20"/>
                <w:szCs w:val="20"/>
                <w:color w:val="auto"/>
              </w:rPr>
            </w:pPr>
            <w:r>
              <w:rPr>
                <w:rFonts w:ascii="Arial" w:cs="Arial" w:eastAsia="Arial" w:hAnsi="Arial"/>
                <w:sz w:val="18"/>
                <w:szCs w:val="18"/>
                <w:color w:val="auto"/>
              </w:rPr>
              <w:t>DILUTED</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41"/>
              <w:spacing w:after="0" w:line="182" w:lineRule="exact"/>
              <w:rPr>
                <w:sz w:val="20"/>
                <w:szCs w:val="20"/>
                <w:color w:val="auto"/>
              </w:rPr>
            </w:pPr>
            <w:r>
              <w:rPr>
                <w:rFonts w:ascii="Arial" w:cs="Arial" w:eastAsia="Arial" w:hAnsi="Arial"/>
                <w:sz w:val="18"/>
                <w:szCs w:val="18"/>
                <w:color w:val="auto"/>
              </w:rPr>
              <w:t>(0.28 )</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SHARES USED IN COMPUTING INCOME (LOSS) PER SHARE:</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40" w:type="dxa"/>
            <w:vAlign w:val="bottom"/>
          </w:tcPr>
          <w:p>
            <w:pPr>
              <w:ind w:left="200"/>
              <w:spacing w:after="0" w:line="182" w:lineRule="exact"/>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72,194</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71,878</w:t>
            </w:r>
          </w:p>
        </w:tc>
        <w:tc>
          <w:tcPr>
            <w:tcW w:w="8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72,194</w:t>
            </w:r>
          </w:p>
        </w:tc>
        <w:tc>
          <w:tcPr>
            <w:tcW w:w="3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72,766</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-2756535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-2756535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-2491105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-2491105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-1702435</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-1702435</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-899795</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-882015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-899795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-616585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-599440</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000" w:type="dxa"/>
            <w:vAlign w:val="bottom"/>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(19,967</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3,774</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Currency translation adjustments</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1,756</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1,352</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on marketable securities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2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 (LOSS)</w:t>
            </w:r>
          </w:p>
        </w:tc>
        <w:tc>
          <w:tcPr>
            <w:tcW w:w="1000" w:type="dxa"/>
            <w:vAlign w:val="bottom"/>
            <w:tcBorders>
              <w:bottom w:val="single" w:sz="8" w:color="auto"/>
            </w:tcBorders>
            <w:shd w:val="clear" w:color="auto" w:fill="CFF0FC"/>
          </w:tcPr>
          <w:p>
            <w:pPr>
              <w:jc w:val="right"/>
              <w:ind w:right="819"/>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4"/>
              </w:rPr>
              <w:t>(18,137</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87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5,147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spacing w:after="0"/>
              <w:rPr>
                <w:sz w:val="19"/>
                <w:szCs w:val="19"/>
                <w:color w:val="auto"/>
              </w:rPr>
            </w:pPr>
          </w:p>
        </w:tc>
        <w:tc>
          <w:tcPr>
            <w:tcW w:w="3320" w:type="dxa"/>
            <w:vAlign w:val="bottom"/>
            <w:gridSpan w:val="6"/>
          </w:tcPr>
          <w:p>
            <w:pPr>
              <w:jc w:val="right"/>
              <w:ind w:right="440"/>
              <w:spacing w:after="0"/>
              <w:rPr>
                <w:sz w:val="20"/>
                <w:szCs w:val="20"/>
                <w:color w:val="auto"/>
              </w:rPr>
            </w:pPr>
            <w:r>
              <w:rPr>
                <w:rFonts w:ascii="Arial" w:cs="Arial" w:eastAsia="Arial" w:hAnsi="Arial"/>
                <w:sz w:val="17"/>
                <w:szCs w:val="17"/>
                <w:b w:val="1"/>
                <w:bCs w:val="1"/>
                <w:color w:val="auto"/>
              </w:rPr>
              <w:t>Three Months Ended March 31,</w:t>
            </w:r>
          </w:p>
        </w:tc>
      </w:tr>
      <w:tr>
        <w:trPr>
          <w:trHeight w:val="198"/>
        </w:trPr>
        <w:tc>
          <w:tcPr>
            <w:tcW w:w="77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17"/>
                <w:szCs w:val="17"/>
                <w:color w:val="auto"/>
              </w:rPr>
            </w:pP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(19,967 )</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3,774</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3,524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1,464</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2,489</w:t>
            </w: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Other non-cash amortization</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Provision for doubtful accounts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Inventory reserve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Unrealized foreign currency (gain) loss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(100 )</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Interest expense on finance leases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Deferred income taxes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(94 )</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Loss on disposal of fixed assets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Change in the estimated fair value of acquisition-related contingent consideration</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(36 )</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(806 )</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Payment of acquisition-related contingent consideration</w:t>
            </w:r>
          </w:p>
        </w:tc>
        <w:tc>
          <w:tcPr>
            <w:tcW w:w="9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(142 )</w:t>
            </w: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Changes in assets and liabilities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54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(15,295 )</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2,188</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540"/>
              <w:spacing w:after="0"/>
              <w:rPr>
                <w:sz w:val="20"/>
                <w:szCs w:val="20"/>
                <w:color w:val="auto"/>
              </w:rPr>
            </w:pPr>
            <w:r>
              <w:rPr>
                <w:rFonts w:ascii="Arial" w:cs="Arial" w:eastAsia="Arial" w:hAnsi="Arial"/>
                <w:sz w:val="17"/>
                <w:szCs w:val="17"/>
                <w:color w:val="auto"/>
              </w:rPr>
              <w:t>Inventories</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(9,374 )</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(8,511 )</w:t>
            </w:r>
          </w:p>
        </w:tc>
      </w:tr>
      <w:tr>
        <w:trPr>
          <w:trHeight w:val="203"/>
        </w:trPr>
        <w:tc>
          <w:tcPr>
            <w:tcW w:w="7780" w:type="dxa"/>
            <w:vAlign w:val="bottom"/>
          </w:tcPr>
          <w:p>
            <w:pPr>
              <w:ind w:left="540"/>
              <w:spacing w:after="0"/>
              <w:rPr>
                <w:sz w:val="20"/>
                <w:szCs w:val="20"/>
                <w:color w:val="auto"/>
              </w:rPr>
            </w:pPr>
            <w:r>
              <w:rPr>
                <w:rFonts w:ascii="Arial" w:cs="Arial" w:eastAsia="Arial" w:hAnsi="Arial"/>
                <w:sz w:val="17"/>
                <w:szCs w:val="17"/>
                <w:color w:val="auto"/>
              </w:rPr>
              <w:t>Prepaid expenses and other assets</w:t>
            </w:r>
          </w:p>
        </w:tc>
        <w:tc>
          <w:tcPr>
            <w:tcW w:w="9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(736 )</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(766 )</w:t>
            </w:r>
          </w:p>
        </w:tc>
      </w:tr>
      <w:tr>
        <w:trPr>
          <w:trHeight w:val="203"/>
        </w:trPr>
        <w:tc>
          <w:tcPr>
            <w:tcW w:w="7780" w:type="dxa"/>
            <w:vAlign w:val="bottom"/>
            <w:shd w:val="clear" w:color="auto" w:fill="CFF0FC"/>
          </w:tcPr>
          <w:p>
            <w:pPr>
              <w:ind w:left="540"/>
              <w:spacing w:after="0"/>
              <w:rPr>
                <w:sz w:val="20"/>
                <w:szCs w:val="20"/>
                <w:color w:val="auto"/>
              </w:rPr>
            </w:pPr>
            <w:r>
              <w:rPr>
                <w:rFonts w:ascii="Arial" w:cs="Arial" w:eastAsia="Arial" w:hAnsi="Arial"/>
                <w:sz w:val="17"/>
                <w:szCs w:val="17"/>
                <w:color w:val="auto"/>
              </w:rPr>
              <w:t>Accounts payable</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(253 )</w:t>
            </w:r>
          </w:p>
        </w:tc>
      </w:tr>
      <w:tr>
        <w:trPr>
          <w:trHeight w:val="203"/>
        </w:trPr>
        <w:tc>
          <w:tcPr>
            <w:tcW w:w="7780" w:type="dxa"/>
            <w:vAlign w:val="bottom"/>
          </w:tcPr>
          <w:p>
            <w:pPr>
              <w:ind w:left="540"/>
              <w:spacing w:after="0"/>
              <w:rPr>
                <w:sz w:val="20"/>
                <w:szCs w:val="20"/>
                <w:color w:val="auto"/>
              </w:rPr>
            </w:pPr>
            <w:r>
              <w:rPr>
                <w:rFonts w:ascii="Arial" w:cs="Arial" w:eastAsia="Arial" w:hAnsi="Arial"/>
                <w:sz w:val="17"/>
                <w:szCs w:val="17"/>
                <w:color w:val="auto"/>
              </w:rPr>
              <w:t>Deferred revenue</w:t>
            </w:r>
          </w:p>
        </w:tc>
        <w:tc>
          <w:tcPr>
            <w:tcW w:w="9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(44 )</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(262 )</w:t>
            </w:r>
          </w:p>
        </w:tc>
      </w:tr>
      <w:tr>
        <w:trPr>
          <w:trHeight w:val="203"/>
        </w:trPr>
        <w:tc>
          <w:tcPr>
            <w:tcW w:w="7780" w:type="dxa"/>
            <w:vAlign w:val="bottom"/>
            <w:shd w:val="clear" w:color="auto" w:fill="CFF0FC"/>
          </w:tcPr>
          <w:p>
            <w:pPr>
              <w:ind w:left="540"/>
              <w:spacing w:after="0"/>
              <w:rPr>
                <w:sz w:val="20"/>
                <w:szCs w:val="20"/>
                <w:color w:val="auto"/>
              </w:rPr>
            </w:pPr>
            <w:r>
              <w:rPr>
                <w:rFonts w:ascii="Arial" w:cs="Arial" w:eastAsia="Arial" w:hAnsi="Arial"/>
                <w:sz w:val="17"/>
                <w:szCs w:val="17"/>
                <w:color w:val="auto"/>
              </w:rPr>
              <w:t>Accrued expenses and other liabilities</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(4,603 )</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(4,253 )</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96"/>
        </w:trPr>
        <w:tc>
          <w:tcPr>
            <w:tcW w:w="7780" w:type="dxa"/>
            <w:vAlign w:val="bottom"/>
          </w:tcPr>
          <w:p>
            <w:pPr>
              <w:ind w:left="720"/>
              <w:spacing w:after="0"/>
              <w:rPr>
                <w:sz w:val="20"/>
                <w:szCs w:val="20"/>
                <w:color w:val="auto"/>
              </w:rPr>
            </w:pPr>
            <w:r>
              <w:rPr>
                <w:rFonts w:ascii="Arial" w:cs="Arial" w:eastAsia="Arial" w:hAnsi="Arial"/>
                <w:sz w:val="17"/>
                <w:szCs w:val="17"/>
                <w:color w:val="auto"/>
              </w:rPr>
              <w:t>Net cash used in operating activities</w:t>
            </w:r>
          </w:p>
        </w:tc>
        <w:tc>
          <w:tcPr>
            <w:tcW w:w="9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(35,821 )</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(4,393 )</w:t>
            </w: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7"/>
                <w:szCs w:val="17"/>
                <w:color w:val="auto"/>
              </w:rPr>
              <w:t>INVESTING ACTIVITIES:</w:t>
            </w:r>
          </w:p>
        </w:tc>
        <w:tc>
          <w:tcPr>
            <w:tcW w:w="9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Proceeds from maturities and redemptions of investments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12,135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33,745</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Purchases of property and equipment</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1"/>
              </w:rPr>
              <w:t>(20,219 )</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(11,061 )</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Purchase of property and equipment under government contracts</w:t>
            </w:r>
          </w:p>
        </w:tc>
        <w:tc>
          <w:tcPr>
            <w:tcW w:w="9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(28,188 )</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Proceeds from funding under government contract</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26,333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Other investing activities</w:t>
            </w:r>
          </w:p>
        </w:tc>
        <w:tc>
          <w:tcPr>
            <w:tcW w:w="9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(19 )</w:t>
            </w:r>
          </w:p>
        </w:tc>
      </w:tr>
      <w:tr>
        <w:trPr>
          <w:trHeight w:val="196"/>
        </w:trPr>
        <w:tc>
          <w:tcPr>
            <w:tcW w:w="778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7"/>
                <w:szCs w:val="17"/>
                <w:color w:val="auto"/>
              </w:rPr>
              <w:t>Net cash (used in) provided by investing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(9,939</w:t>
            </w: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22,665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7"/>
                <w:szCs w:val="17"/>
                <w:color w:val="auto"/>
              </w:rPr>
              <w:t>FINANCING ACTIVITIES: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Cash payments for lease liabilities</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(153 )</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(282 )</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Proceeds from exercise of stock options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92</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Payment of acquisition-related contingent consideration</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(208 )</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(264 )</w:t>
            </w: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Repurchase of common stock</w:t>
            </w:r>
          </w:p>
        </w:tc>
        <w:tc>
          <w:tcPr>
            <w:tcW w:w="9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(1,049 )</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(1,730 )</w:t>
            </w:r>
          </w:p>
        </w:tc>
      </w:tr>
      <w:tr>
        <w:trPr>
          <w:trHeight w:val="196"/>
        </w:trPr>
        <w:tc>
          <w:tcPr>
            <w:tcW w:w="778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7"/>
                <w:szCs w:val="17"/>
                <w:color w:val="auto"/>
              </w:rPr>
              <w:t>Net cash used in financing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(1,395</w:t>
            </w: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780" w:type="dxa"/>
            <w:vAlign w:val="bottom"/>
          </w:tcPr>
          <w:p>
            <w:pPr>
              <w:spacing w:after="0"/>
              <w:rPr>
                <w:sz w:val="20"/>
                <w:szCs w:val="20"/>
                <w:color w:val="auto"/>
              </w:rPr>
            </w:pPr>
            <w:r>
              <w:rPr>
                <w:rFonts w:ascii="Arial" w:cs="Arial" w:eastAsia="Arial" w:hAnsi="Arial"/>
                <w:sz w:val="17"/>
                <w:szCs w:val="17"/>
                <w:color w:val="auto"/>
              </w:rPr>
              <w:t>EFFECT OF FOREIGN EXCHANGE RATE CHANGES ON CASH</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1,114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786</w:t>
            </w: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INCREASE IN CASH AND CASH EQUIVALENTS</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1"/>
              </w:rPr>
              <w:t>(46,041 )</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16,874</w:t>
            </w: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116,762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160,802</w:t>
            </w:r>
          </w:p>
        </w:tc>
        <w:tc>
          <w:tcPr>
            <w:tcW w:w="60" w:type="dxa"/>
            <w:vAlign w:val="bottom"/>
          </w:tcPr>
          <w:p>
            <w:pPr>
              <w:spacing w:after="0"/>
              <w:rPr>
                <w:sz w:val="17"/>
                <w:szCs w:val="17"/>
                <w:color w:val="auto"/>
              </w:rPr>
            </w:pPr>
          </w:p>
        </w:tc>
      </w:tr>
      <w:tr>
        <w:trPr>
          <w:trHeight w:val="236"/>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END OF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70,721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177,676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83"/>
        </w:trPr>
        <w:tc>
          <w:tcPr>
            <w:tcW w:w="7780" w:type="dxa"/>
            <w:vAlign w:val="bottom"/>
          </w:tcPr>
          <w:p>
            <w:pPr>
              <w:spacing w:after="0"/>
              <w:rPr>
                <w:sz w:val="20"/>
                <w:szCs w:val="20"/>
                <w:color w:val="auto"/>
              </w:rPr>
            </w:pPr>
            <w:r>
              <w:rPr>
                <w:rFonts w:ascii="Arial" w:cs="Arial" w:eastAsia="Arial" w:hAnsi="Arial"/>
                <w:sz w:val="17"/>
                <w:szCs w:val="17"/>
                <w:color w:val="auto"/>
              </w:rPr>
              <w:t>SUPPLEMENTAL DISCLOSURES OF CASH FLOW INFORMATION:</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7780" w:type="dxa"/>
            <w:vAlign w:val="bottom"/>
            <w:shd w:val="clear" w:color="auto" w:fill="CFF0FC"/>
          </w:tcPr>
          <w:p>
            <w:pPr>
              <w:spacing w:after="0"/>
              <w:rPr>
                <w:sz w:val="20"/>
                <w:szCs w:val="20"/>
                <w:color w:val="auto"/>
              </w:rPr>
            </w:pPr>
            <w:r>
              <w:rPr>
                <w:rFonts w:ascii="Arial" w:cs="Arial" w:eastAsia="Arial" w:hAnsi="Arial"/>
                <w:sz w:val="17"/>
                <w:szCs w:val="17"/>
                <w:color w:val="auto"/>
              </w:rPr>
              <w:t>Cash paid for income taxes</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3,671</w:t>
            </w: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Accrued property and equipment purchases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4,267</w:t>
            </w: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Arial" w:cs="Arial" w:eastAsia="Arial" w:hAnsi="Arial"/>
                <w:sz w:val="17"/>
                <w:szCs w:val="17"/>
                <w:color w:val="auto"/>
              </w:rPr>
              <w:t>Accrued property and equipment purchases under government contracts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1,905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7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Unrealized gain on marketable securities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-3296920</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-3296920</wp:posOffset>
            </wp:positionV>
            <wp:extent cx="431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-2242185</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-2242185</wp:posOffset>
            </wp:positionV>
            <wp:extent cx="431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-1453515</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-1453515</wp:posOffset>
            </wp:positionV>
            <wp:extent cx="431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-925195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-908050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-925195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-908050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32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Principles of Consolidation and Basis of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interim unaudited consolidated financial statements include the accounts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our financial position and results of operations for these interim periods. These financial statements should be read in conjunction with the financial statements and notes thereto included in our Annual Report on Form 10-K for the fiscal year ended December 31, 2021. Results of operations for the three months ended March 31, 2022 are not necessarily indicative of the results of operations expected for the full year.</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have been no changes to the Company's significant accounting policies described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fiscal year ended December 31, 2021 that have had a material impact on the consolidated financial statements and related notes except as discussed herein.</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u w:val="single" w:color="auto"/>
          <w:color w:val="auto"/>
        </w:rPr>
        <w:t>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all investments in debt securities to be available-for-sale securities. These securities consist of guaranteed investment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bonds with purchased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During the three months ended March 31, 2022, we recognized a provision for expected credit losses for our available-for-sale securities of $65.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available-for-sale securities as of March 31, 2022 and December 31, 2021:</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900" w:type="dxa"/>
            <w:vAlign w:val="bottom"/>
          </w:tcPr>
          <w:p>
            <w:pPr>
              <w:jc w:val="center"/>
              <w:ind w:left="139"/>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left="11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900" w:type="dxa"/>
            <w:vAlign w:val="bottom"/>
          </w:tcPr>
          <w:p>
            <w:pPr>
              <w:jc w:val="center"/>
              <w:ind w:left="139"/>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March 31, 2022</w:t>
            </w: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Guaranteed investment certificates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33,578</w:t>
            </w:r>
          </w:p>
        </w:tc>
        <w:tc>
          <w:tcPr>
            <w:tcW w:w="112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8,285</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(360 )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41,863</w:t>
            </w:r>
          </w:p>
        </w:tc>
        <w:tc>
          <w:tcPr>
            <w:tcW w:w="220" w:type="dxa"/>
            <w:vAlign w:val="bottom"/>
          </w:tcPr>
          <w:p>
            <w:pPr>
              <w:spacing w:after="0"/>
              <w:rPr>
                <w:sz w:val="17"/>
                <w:szCs w:val="17"/>
                <w:color w:val="auto"/>
              </w:rPr>
            </w:pPr>
          </w:p>
        </w:tc>
        <w:tc>
          <w:tcPr>
            <w:tcW w:w="900" w:type="dxa"/>
            <w:vAlign w:val="bottom"/>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(360 )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December 31, 2021</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Guaranteed investment certificates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33,249</w:t>
            </w:r>
          </w:p>
        </w:tc>
        <w:tc>
          <w:tcPr>
            <w:tcW w:w="112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20,473</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(434 )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53,722</w:t>
            </w:r>
          </w:p>
        </w:tc>
        <w:tc>
          <w:tcPr>
            <w:tcW w:w="220" w:type="dxa"/>
            <w:vAlign w:val="bottom"/>
          </w:tcPr>
          <w:p>
            <w:pPr>
              <w:spacing w:after="0"/>
              <w:rPr>
                <w:sz w:val="17"/>
                <w:szCs w:val="17"/>
                <w:color w:val="auto"/>
              </w:rPr>
            </w:pPr>
          </w:p>
        </w:tc>
        <w:tc>
          <w:tcPr>
            <w:tcW w:w="900" w:type="dxa"/>
            <w:vAlign w:val="bottom"/>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(434 )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53,288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shd w:val="clear" w:color="auto" w:fill="CFF0FC"/>
          </w:tcPr>
          <w:p>
            <w:pPr>
              <w:spacing w:after="0" w:line="142" w:lineRule="exact"/>
              <w:rPr>
                <w:sz w:val="20"/>
                <w:szCs w:val="20"/>
                <w:color w:val="auto"/>
              </w:rPr>
            </w:pPr>
            <w:r>
              <w:rPr>
                <w:rFonts w:ascii="Arial" w:cs="Arial" w:eastAsia="Arial" w:hAnsi="Arial"/>
                <w:sz w:val="16"/>
                <w:szCs w:val="16"/>
                <w:b w:val="1"/>
                <w:bCs w:val="1"/>
                <w:color w:val="auto"/>
              </w:rPr>
              <w:t>At March 31, 2022, maturities of our available-for-sale</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securities were as follows: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Less than one year</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41,863</w:t>
            </w:r>
          </w:p>
        </w:tc>
        <w:tc>
          <w:tcPr>
            <w:tcW w:w="112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(360 )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8"/>
                <w:szCs w:val="18"/>
                <w:color w:val="auto"/>
              </w:rPr>
              <w:t>Greater than one year</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9"/>
              <w:spacing w:after="0" w:line="183"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-1256665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-1256665</wp:posOffset>
            </wp:positionV>
            <wp:extent cx="603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-1256665</wp:posOffset>
            </wp:positionV>
            <wp:extent cx="603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-1256665</wp:posOffset>
            </wp:positionV>
            <wp:extent cx="603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-708025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-708025</wp:posOffset>
            </wp:positionV>
            <wp:extent cx="603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-708025</wp:posOffset>
            </wp:positionV>
            <wp:extent cx="603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-708025</wp:posOffset>
            </wp:positionV>
            <wp:extent cx="603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Fair Value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31, 2022 and December 31, 2021, the carrying values of cash and cash equivalents,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and accrued expenses approximate their respective fair values based on their short-term nature.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ind w:left="520"/>
        <w:spacing w:after="0" w:line="261"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63"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of our available-for-sale debt securities are measured as Level 2 instruments as of March 31, 2022 and December 31, 2021. Our available-for-sale guaranteed investment certificates are measured as Level 1 instruments as of March 31, 2022 and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Included in cash and cash equivalents at March 31, 2022 and December 31, 2021, was $2,386 and $1,160 invested in government money market funds.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funds have investments in government securities and are measured as Level 1 instruments.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March 31, 2022 and December 31, 2021 was $1,660 and $1,763,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Property, Plant and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plant and equipment are stated at cost. Additions or improvements are capitalized, while repairs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are charged to expense. Depreciation and amortization are provided using the straight-line method over the estimated useful lives of the related assets. Buildings are depreciated over twenty years, while computer equipment,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 Accumulated depreciation of property, plant and equipment as of March 31, 2022 and December 31, 2021 was $63,984 and $61,157, respectively.</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Intangible Assets</w:t>
      </w:r>
      <w:r>
        <w:rPr>
          <w:rFonts w:ascii="Arial" w:cs="Arial" w:eastAsia="Arial" w:hAnsi="Arial"/>
          <w:sz w:val="17"/>
          <w:szCs w:val="17"/>
          <w:color w:val="auto"/>
        </w:rPr>
        <w:t>. Intangible assets consist of customer relationships, patents and product rights, acquired technology and tradenames. Patents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rights consist of costs associated with the acquisition of patents, licenses, and product distribution rights. Intangible assets are amortized using the straight-line method over their estimated useful lives of five to fifteen years. Accumulated amortization of intangible assets as of March 31, 2022 and December 31, 2021 was $31,142 and $30,412, respectively. The decrease in intangible assets from $14,343 as of December 31, 2021 to $13,692 as of March 31, 2022 was due to $568 in amortization expense and foreign currency translation losses of $83.</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color w:val="auto"/>
        </w:rPr>
        <w:t>. The assets and liabilities of our foreign operations are translated into U.S. dollars at current exchange rates as of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and revenues and expenses are translated at average exchange rates for the period. Resulting translation adjustments are reflected in accumulated other comprehensive loss, which is a separate component of stockholders’ equity.</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Transaction gains and losses resulting from exchange rate changes on transactions denominated in currencies other than a functional currency are included in our consolidated statements of income in the period in which the change occurs. Net foreign exchange losses resulting from foreign currency transactions that are included in other income (loss) in our consolidated statements of income were $729 and $576 for the three months ended March 31, 2022 and 2021, respectively.</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Accumulated Other Comprehensive Loss</w:t>
      </w:r>
      <w:r>
        <w:rPr>
          <w:rFonts w:ascii="Arial" w:cs="Arial" w:eastAsia="Arial" w:hAnsi="Arial"/>
          <w:sz w:val="18"/>
          <w:szCs w:val="18"/>
          <w:i w:val="1"/>
          <w:iCs w:val="1"/>
          <w:color w:val="auto"/>
        </w:rPr>
        <w:t xml:space="preserve">. </w:t>
      </w:r>
      <w:r>
        <w:rPr>
          <w:rFonts w:ascii="Arial" w:cs="Arial" w:eastAsia="Arial" w:hAnsi="Arial"/>
          <w:sz w:val="18"/>
          <w:szCs w:val="18"/>
          <w:color w:val="auto"/>
        </w:rPr>
        <w:t>We classify items of other comprehensive loss by their nature and disclose the accumulated balance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loss separately from accumulated deficit and additional paid-in capital in the stockholders’ equity section of our consolidated balance sheets.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defined the Canadian dollar as the functional currency of our Canadian subsidiary, DNAG, and we have defined the Euro as the functional currency of our Belgian subsidiary, Novosanis. The results of operations for those subsidiaries are translated into U.S. dollars, which is the reporting currency of the Company. Accumulated other comprehensive loss at March 31, 2022 consisted of $7,888 of currency translation adjustments and $359 of net unrealized losses on marketable securities, which represents the fair market value adjustment for our investment portfolio. Accumulated other comprehensive loss at December 31, 2021 consists of $9,643 of currency translation adjustments and $434 of net unrealized losses on marketable securities, which represents the fair market value adjustment for our investments portfolio.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2020, the FASB issued Accounting Standards Update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w:t>
      </w:r>
      <w:r>
        <w:rPr>
          <w:rFonts w:ascii="Arial" w:cs="Arial" w:eastAsia="Arial" w:hAnsi="Arial"/>
          <w:sz w:val="17"/>
          <w:szCs w:val="17"/>
          <w:i w:val="1"/>
          <w:iCs w:val="1"/>
          <w:color w:val="auto"/>
        </w:rPr>
        <w:t>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Rate Reform on Financial Reporting</w:t>
      </w:r>
      <w:r>
        <w:rPr>
          <w:rFonts w:ascii="Arial" w:cs="Arial" w:eastAsia="Arial" w:hAnsi="Arial"/>
          <w:sz w:val="17"/>
          <w:szCs w:val="17"/>
          <w:color w:val="auto"/>
        </w:rPr>
        <w:t>. The purpose of this update is to provide optional guidance for a limited time to ease the potential burden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(or recognizing the effects of) reference rate reform on financial reporting. The amendments provide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optional expedients and exceptions for applying GAAP to contracts, hedging relationships, and other transactions affected by reference rate reform if certain criteria are met. The amendments in this update are elective and are effective upon issuance for all entities. Management is evaluating the impact of this ASU and does not expect this update to have a material impact on the Company's Consolidated Financial Statements.</w:t>
      </w:r>
    </w:p>
    <w:p>
      <w:pPr>
        <w:spacing w:after="0" w:line="200" w:lineRule="exact"/>
        <w:rPr>
          <w:sz w:val="20"/>
          <w:szCs w:val="20"/>
          <w:color w:val="auto"/>
        </w:rPr>
      </w:pPr>
    </w:p>
    <w:p>
      <w:pPr>
        <w:spacing w:after="0" w:line="311" w:lineRule="exact"/>
        <w:rPr>
          <w:sz w:val="20"/>
          <w:szCs w:val="20"/>
          <w:color w:val="auto"/>
        </w:rPr>
      </w:pPr>
    </w:p>
    <w:p>
      <w:pPr>
        <w:ind w:left="780" w:hanging="772"/>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Capital Contracts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2021, we entered into an agreement for $109,000 in funding from the U.S. Department of Defense (the “DOD”), in coordination with the Department of Health and Human Services, to build additional manufacturing capacity in the United States for our InteliSwab</w:t>
      </w:r>
      <w:r>
        <w:rPr>
          <w:rFonts w:ascii="Arial" w:cs="Arial" w:eastAsia="Arial" w:hAnsi="Arial"/>
          <w:sz w:val="15"/>
          <w:szCs w:val="15"/>
          <w:color w:val="auto"/>
          <w:vertAlign w:val="superscript"/>
        </w:rPr>
        <w:t>®</w:t>
      </w:r>
      <w:r>
        <w:rPr>
          <w:rFonts w:ascii="Arial" w:cs="Arial" w:eastAsia="Arial" w:hAnsi="Arial"/>
          <w:sz w:val="18"/>
          <w:szCs w:val="18"/>
          <w:color w:val="auto"/>
        </w:rPr>
        <w:t xml:space="preserve"> COVID-19 Rapid Tests as part of the nation’s pandemic preparedness plan. Funding will be paid to the Company based on achievement of milestones through March 2024 for the design, acquisition, installation, qualification and acceptance of the manufacturing equipment, as set forth in the agreement. In accordance with the milestone payment schedule, 15% of the total will not be funded until the completion of the final equipment validation, which is scheduled to occur in late 2023 or early 2024. We began making payments to vendors for the capital project during the fourth quarter of 2021 and began receiving funds from the DOD in January 2022.</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during 2021, we received $531 in funding from the Commonwealth of Pennsylvania, acting through the Department of Community and Economic Development, for the purchase of machinery and equipment as part of an expansion of manufacturing operations in Pennsylvania. All related purchases were completed in 2021.</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Activity for these capital contracts is accounted for pursuant to International Accounting Standard ("IAS") 20, Accounting for Government Grants and Disclosure of Government Assistance. Funding earned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 Amounts earned in excess of our expected cost of the project for project management are recognized straight-line in other income over the term of the government contract. We recognized $561 of such income, which is reported as other income (loss) in our consolidated statement of operations for the three months ended March 31,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balances corresponding to government contracts included in our consolidated balance sheet are as follows:</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5400"/>
        <w:spacing w:after="0"/>
        <w:rPr>
          <w:sz w:val="20"/>
          <w:szCs w:val="20"/>
          <w:color w:val="auto"/>
        </w:rPr>
      </w:pPr>
      <w:r>
        <w:rPr>
          <w:rFonts w:ascii="Arial" w:cs="Arial" w:eastAsia="Arial" w:hAnsi="Arial"/>
          <w:sz w:val="16"/>
          <w:szCs w:val="16"/>
          <w:color w:val="auto"/>
        </w:rPr>
        <w:t>Other current assets: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Billed receivables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Unbilled receivables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other current assets</w:t>
      </w:r>
    </w:p>
    <w:p>
      <w:pPr>
        <w:ind w:left="20"/>
        <w:spacing w:after="0" w:line="234" w:lineRule="auto"/>
        <w:rPr>
          <w:sz w:val="20"/>
          <w:szCs w:val="20"/>
          <w:color w:val="auto"/>
        </w:rPr>
      </w:pPr>
      <w:r>
        <w:rPr>
          <w:rFonts w:ascii="Arial" w:cs="Arial" w:eastAsia="Arial" w:hAnsi="Arial"/>
          <w:sz w:val="18"/>
          <w:szCs w:val="18"/>
          <w:color w:val="auto"/>
        </w:rPr>
        <w:t>Property, plant and equipment, net:</w:t>
      </w:r>
    </w:p>
    <w:p>
      <w:pPr>
        <w:ind w:left="120"/>
        <w:spacing w:after="0" w:line="235" w:lineRule="auto"/>
        <w:rPr>
          <w:sz w:val="20"/>
          <w:szCs w:val="20"/>
          <w:color w:val="auto"/>
        </w:rPr>
      </w:pPr>
      <w:r>
        <w:rPr>
          <w:rFonts w:ascii="Arial" w:cs="Arial" w:eastAsia="Arial" w:hAnsi="Arial"/>
          <w:sz w:val="18"/>
          <w:szCs w:val="18"/>
          <w:color w:val="auto"/>
        </w:rPr>
        <w:t>Cost of assets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Reduction for funding earned, not yet received</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Reduction for funding received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property, plant and equipment, net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expenses and other current liabilities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170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384"/>
        </w:trPr>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16,857</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41,588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11,495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7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(14,724 )</w:t>
            </w:r>
          </w:p>
        </w:tc>
        <w:tc>
          <w:tcPr>
            <w:tcW w:w="16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(10,964 )</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(26,864 )</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196"/>
        </w:trPr>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w:t>
            </w:r>
          </w:p>
        </w:tc>
        <w:tc>
          <w:tcPr>
            <w:tcW w:w="3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(8,103</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-1328420</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-1071245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-796290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-539115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-273685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tabs>
          <w:tab w:leader="none" w:pos="2140" w:val="left"/>
        </w:tabs>
        <w:rPr>
          <w:sz w:val="20"/>
          <w:szCs w:val="20"/>
          <w:color w:val="auto"/>
        </w:rPr>
      </w:pPr>
      <w:r>
        <w:rPr>
          <w:rFonts w:ascii="Arial" w:cs="Arial" w:eastAsia="Arial" w:hAnsi="Arial"/>
          <w:sz w:val="14"/>
          <w:szCs w:val="14"/>
          <w:b w:val="1"/>
          <w:bCs w:val="1"/>
          <w:color w:val="auto"/>
        </w:rPr>
        <w:t>March 31, 2022</w:t>
      </w:r>
      <w:r>
        <w:rPr>
          <w:sz w:val="20"/>
          <w:szCs w:val="20"/>
          <w:color w:val="auto"/>
        </w:rPr>
        <w:tab/>
      </w:r>
      <w:r>
        <w:rPr>
          <w:rFonts w:ascii="Arial" w:cs="Arial" w:eastAsia="Arial" w:hAnsi="Arial"/>
          <w:sz w:val="12"/>
          <w:szCs w:val="12"/>
          <w:b w:val="1"/>
          <w:bCs w:val="1"/>
          <w:color w:val="auto"/>
        </w:rPr>
        <w:t>December 31, 2021</w:t>
      </w:r>
    </w:p>
    <w:p>
      <w:pPr>
        <w:spacing w:after="0" w:line="25" w:lineRule="exact"/>
        <w:rPr>
          <w:sz w:val="20"/>
          <w:szCs w:val="20"/>
          <w:color w:val="auto"/>
        </w:rPr>
      </w:pPr>
    </w:p>
    <w:p>
      <w:pPr>
        <w:sectPr>
          <w:pgSz w:w="11900" w:h="16838" w:orient="portrait"/>
          <w:cols w:equalWidth="0" w:num="2">
            <w:col w:w="6920" w:space="720"/>
            <w:col w:w="3600"/>
          </w:cols>
          <w:pgMar w:left="320" w:top="328"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40,211</w:t>
            </w:r>
          </w:p>
        </w:tc>
        <w:tc>
          <w:tcPr>
            <w:tcW w:w="2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33,168</w:t>
            </w:r>
          </w:p>
        </w:tc>
        <w:tc>
          <w:tcPr>
            <w:tcW w:w="60" w:type="dxa"/>
            <w:vAlign w:val="bottom"/>
            <w:shd w:val="clear" w:color="auto" w:fill="CFF0FC"/>
          </w:tcPr>
          <w:p>
            <w:pPr>
              <w:spacing w:after="0"/>
              <w:rPr>
                <w:sz w:val="18"/>
                <w:szCs w:val="18"/>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2,507</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2,252</w:t>
            </w:r>
          </w:p>
        </w:tc>
        <w:tc>
          <w:tcPr>
            <w:tcW w:w="6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6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18,818</w:t>
            </w:r>
          </w:p>
        </w:tc>
        <w:tc>
          <w:tcPr>
            <w:tcW w:w="2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17,718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620" w:type="dxa"/>
            <w:vAlign w:val="bottom"/>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61,536</w:t>
            </w:r>
          </w:p>
        </w:tc>
        <w:tc>
          <w:tcPr>
            <w:tcW w:w="840" w:type="dxa"/>
            <w:vAlign w:val="bottom"/>
            <w:gridSpan w:val="2"/>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53,138</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-159385</wp:posOffset>
            </wp:positionV>
            <wp:extent cx="43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78"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9" w:name="page10"/>
    <w:bookmarkEnd w:id="9"/>
    <w:p>
      <w:pPr>
        <w:jc w:val="both"/>
        <w:ind w:right="20"/>
        <w:spacing w:after="0" w:line="248" w:lineRule="auto"/>
        <w:rPr>
          <w:sz w:val="20"/>
          <w:szCs w:val="20"/>
          <w:color w:val="auto"/>
        </w:rPr>
      </w:pPr>
      <w:r>
        <w:rPr>
          <w:rFonts w:ascii="Arial" w:cs="Arial" w:eastAsia="Arial" w:hAnsi="Arial"/>
          <w:sz w:val="18"/>
          <w:szCs w:val="18"/>
          <w:color w:val="auto"/>
        </w:rPr>
        <w:t>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40" w:type="dxa"/>
            <w:vAlign w:val="bottom"/>
          </w:tcPr>
          <w:p>
            <w:pPr>
              <w:spacing w:after="0"/>
              <w:rPr>
                <w:sz w:val="14"/>
                <w:szCs w:val="14"/>
                <w:color w:val="auto"/>
              </w:rPr>
            </w:pPr>
          </w:p>
        </w:tc>
        <w:tc>
          <w:tcPr>
            <w:tcW w:w="29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5"/>
        </w:trPr>
        <w:tc>
          <w:tcPr>
            <w:tcW w:w="744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96"/>
        </w:trPr>
        <w:tc>
          <w:tcPr>
            <w:tcW w:w="7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43"/>
        </w:trPr>
        <w:tc>
          <w:tcPr>
            <w:tcW w:w="744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980" w:type="dxa"/>
            <w:vAlign w:val="bottom"/>
            <w:shd w:val="clear" w:color="auto" w:fill="CFF0FC"/>
          </w:tcPr>
          <w:p>
            <w:pPr>
              <w:jc w:val="right"/>
              <w:ind w:right="797"/>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w w:val="94"/>
              </w:rPr>
              <w:t>(19,967 )</w:t>
            </w:r>
          </w:p>
        </w:tc>
        <w:tc>
          <w:tcPr>
            <w:tcW w:w="1040" w:type="dxa"/>
            <w:vAlign w:val="bottom"/>
            <w:shd w:val="clear" w:color="auto" w:fill="CFF0FC"/>
          </w:tcPr>
          <w:p>
            <w:pPr>
              <w:jc w:val="right"/>
              <w:ind w:right="835"/>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3,774</w:t>
            </w:r>
          </w:p>
        </w:tc>
        <w:tc>
          <w:tcPr>
            <w:tcW w:w="320" w:type="dxa"/>
            <w:vAlign w:val="bottom"/>
            <w:shd w:val="clear" w:color="auto" w:fill="CFF0FC"/>
          </w:tcPr>
          <w:p>
            <w:pPr>
              <w:spacing w:after="0"/>
              <w:rPr>
                <w:sz w:val="21"/>
                <w:szCs w:val="21"/>
                <w:color w:val="auto"/>
              </w:rPr>
            </w:pPr>
          </w:p>
        </w:tc>
      </w:tr>
      <w:tr>
        <w:trPr>
          <w:trHeight w:val="183"/>
        </w:trPr>
        <w:tc>
          <w:tcPr>
            <w:tcW w:w="74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shares of common stock outstanding:</w:t>
            </w: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72,194</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71,878</w:t>
            </w:r>
          </w:p>
        </w:tc>
        <w:tc>
          <w:tcPr>
            <w:tcW w:w="320" w:type="dxa"/>
            <w:vAlign w:val="bottom"/>
            <w:shd w:val="clear" w:color="auto" w:fill="CFF0FC"/>
          </w:tcPr>
          <w:p>
            <w:pPr>
              <w:spacing w:after="0"/>
              <w:rPr>
                <w:sz w:val="17"/>
                <w:szCs w:val="17"/>
                <w:color w:val="auto"/>
              </w:rPr>
            </w:pPr>
          </w:p>
        </w:tc>
      </w:tr>
      <w:tr>
        <w:trPr>
          <w:trHeight w:val="203"/>
        </w:trPr>
        <w:tc>
          <w:tcPr>
            <w:tcW w:w="7440" w:type="dxa"/>
            <w:vAlign w:val="bottom"/>
          </w:tcPr>
          <w:p>
            <w:pPr>
              <w:ind w:left="300"/>
              <w:spacing w:after="0" w:line="202" w:lineRule="exact"/>
              <w:rPr>
                <w:sz w:val="20"/>
                <w:szCs w:val="20"/>
                <w:color w:val="auto"/>
              </w:rPr>
            </w:pPr>
            <w:r>
              <w:rPr>
                <w:rFonts w:ascii="Arial" w:cs="Arial" w:eastAsia="Arial" w:hAnsi="Arial"/>
                <w:sz w:val="18"/>
                <w:szCs w:val="18"/>
                <w:color w:val="auto"/>
              </w:rPr>
              <w:t>Dilutive effect of stock options, restricted stock, and performance stock units</w:t>
            </w:r>
          </w:p>
        </w:tc>
        <w:tc>
          <w:tcPr>
            <w:tcW w:w="98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320" w:type="dxa"/>
            <w:vAlign w:val="bottom"/>
          </w:tcPr>
          <w:p>
            <w:pPr>
              <w:spacing w:after="0"/>
              <w:rPr>
                <w:sz w:val="17"/>
                <w:szCs w:val="17"/>
                <w:color w:val="auto"/>
              </w:rPr>
            </w:pPr>
          </w:p>
        </w:tc>
      </w:tr>
      <w:tr>
        <w:trPr>
          <w:trHeight w:val="236"/>
        </w:trPr>
        <w:tc>
          <w:tcPr>
            <w:tcW w:w="74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72,194</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72,766</w:t>
            </w:r>
          </w:p>
        </w:tc>
        <w:tc>
          <w:tcPr>
            <w:tcW w:w="320" w:type="dxa"/>
            <w:vAlign w:val="bottom"/>
            <w:tcBorders>
              <w:bottom w:val="single" w:sz="8" w:color="CFF0FC"/>
            </w:tcBorders>
            <w:shd w:val="clear" w:color="auto" w:fill="CFF0FC"/>
          </w:tcPr>
          <w:p>
            <w:pPr>
              <w:spacing w:after="0"/>
              <w:rPr>
                <w:sz w:val="20"/>
                <w:szCs w:val="20"/>
                <w:color w:val="auto"/>
              </w:rPr>
            </w:pPr>
          </w:p>
        </w:tc>
      </w:tr>
      <w:tr>
        <w:trPr>
          <w:trHeight w:val="183"/>
        </w:trPr>
        <w:tc>
          <w:tcPr>
            <w:tcW w:w="7440" w:type="dxa"/>
            <w:vAlign w:val="bottom"/>
          </w:tcPr>
          <w:p>
            <w:pPr>
              <w:ind w:left="20"/>
              <w:spacing w:after="0" w:line="183" w:lineRule="exact"/>
              <w:rPr>
                <w:sz w:val="20"/>
                <w:szCs w:val="20"/>
                <w:color w:val="auto"/>
              </w:rPr>
            </w:pPr>
            <w:r>
              <w:rPr>
                <w:rFonts w:ascii="Arial" w:cs="Arial" w:eastAsia="Arial" w:hAnsi="Arial"/>
                <w:sz w:val="18"/>
                <w:szCs w:val="18"/>
                <w:color w:val="auto"/>
              </w:rPr>
              <w:t>Earnings (loss) per share:</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2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980" w:type="dxa"/>
            <w:vAlign w:val="bottom"/>
            <w:shd w:val="clear" w:color="auto" w:fill="CFF0FC"/>
          </w:tcPr>
          <w:p>
            <w:pPr>
              <w:jc w:val="right"/>
              <w:ind w:right="79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(0.28 )</w:t>
            </w:r>
          </w:p>
        </w:tc>
        <w:tc>
          <w:tcPr>
            <w:tcW w:w="1040" w:type="dxa"/>
            <w:vAlign w:val="bottom"/>
            <w:shd w:val="clear" w:color="auto" w:fill="CFF0FC"/>
          </w:tcPr>
          <w:p>
            <w:pPr>
              <w:jc w:val="right"/>
              <w:ind w:right="835"/>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320" w:type="dxa"/>
            <w:vAlign w:val="bottom"/>
            <w:shd w:val="clear" w:color="auto" w:fill="CFF0FC"/>
          </w:tcPr>
          <w:p>
            <w:pPr>
              <w:spacing w:after="0"/>
              <w:rPr>
                <w:sz w:val="19"/>
                <w:szCs w:val="19"/>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440" w:type="dxa"/>
            <w:vAlign w:val="bottom"/>
          </w:tcPr>
          <w:p>
            <w:pPr>
              <w:ind w:left="200"/>
              <w:spacing w:after="0" w:line="183" w:lineRule="exact"/>
              <w:rPr>
                <w:sz w:val="20"/>
                <w:szCs w:val="20"/>
                <w:color w:val="auto"/>
              </w:rPr>
            </w:pPr>
            <w:r>
              <w:rPr>
                <w:rFonts w:ascii="Arial" w:cs="Arial" w:eastAsia="Arial" w:hAnsi="Arial"/>
                <w:sz w:val="18"/>
                <w:szCs w:val="18"/>
                <w:color w:val="auto"/>
              </w:rPr>
              <w:t>Diluted</w:t>
            </w:r>
          </w:p>
        </w:tc>
        <w:tc>
          <w:tcPr>
            <w:tcW w:w="980" w:type="dxa"/>
            <w:vAlign w:val="bottom"/>
          </w:tcPr>
          <w:p>
            <w:pPr>
              <w:jc w:val="right"/>
              <w:ind w:right="797"/>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(0.28 )</w:t>
            </w:r>
          </w:p>
        </w:tc>
        <w:tc>
          <w:tcPr>
            <w:tcW w:w="1040" w:type="dxa"/>
            <w:vAlign w:val="bottom"/>
          </w:tcPr>
          <w:p>
            <w:pPr>
              <w:jc w:val="right"/>
              <w:ind w:right="835"/>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83" w:lineRule="exact"/>
              <w:rPr>
                <w:sz w:val="20"/>
                <w:szCs w:val="20"/>
                <w:color w:val="auto"/>
              </w:rPr>
            </w:pPr>
            <w:r>
              <w:rPr>
                <w:rFonts w:ascii="Arial" w:cs="Arial" w:eastAsia="Arial" w:hAnsi="Arial"/>
                <w:sz w:val="18"/>
                <w:szCs w:val="18"/>
                <w:color w:val="auto"/>
              </w:rPr>
              <w:t>0.05</w:t>
            </w:r>
          </w:p>
        </w:tc>
        <w:tc>
          <w:tcPr>
            <w:tcW w:w="32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5727065</wp:posOffset>
            </wp:positionH>
            <wp:positionV relativeFrom="paragraph">
              <wp:posOffset>-1400810</wp:posOffset>
            </wp:positionV>
            <wp:extent cx="8572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-1400810</wp:posOffset>
            </wp:positionV>
            <wp:extent cx="5969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-1010920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-993775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-1010920</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-993775</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-462280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-445135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-462280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-445135</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-179070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-162560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-179070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-162560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three months ended March 31, 2022, outstanding common stock options, unvested restricted stock, and unvested performance stock units representing 463 shares were excluded from the computation of diluted loss per share. For the three months ended March 31, 2021, outstanding common stock options, unvested restricted stock, and unvested performance stock units representing 421 shares were excluded from the computation of diluted earnings per share as their inclusion would have been anti-dilutive.</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 line</w:t>
      </w:r>
      <w:r>
        <w:rPr>
          <w:rFonts w:ascii="Arial" w:cs="Arial" w:eastAsia="Arial" w:hAnsi="Arial"/>
          <w:sz w:val="18"/>
          <w:szCs w:val="18"/>
          <w:color w:val="auto"/>
        </w:rPr>
        <w:t>. The following table represents total net revenues by product line: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80" w:type="dxa"/>
            <w:vAlign w:val="bottom"/>
          </w:tcPr>
          <w:p>
            <w:pPr>
              <w:spacing w:after="0"/>
              <w:rPr>
                <w:sz w:val="14"/>
                <w:szCs w:val="14"/>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169"/>
        </w:trPr>
        <w:tc>
          <w:tcPr>
            <w:tcW w:w="7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COVID-19 </w:t>
            </w:r>
            <w:r>
              <w:rPr>
                <w:rFonts w:ascii="Arial" w:cs="Arial" w:eastAsia="Arial" w:hAnsi="Arial"/>
                <w:sz w:val="21"/>
                <w:szCs w:val="21"/>
                <w:color w:val="auto"/>
                <w:vertAlign w:val="superscript"/>
              </w:rPr>
              <w:t>(1)</w:t>
            </w:r>
          </w:p>
        </w:tc>
        <w:tc>
          <w:tcPr>
            <w:tcW w:w="1020" w:type="dxa"/>
            <w:vAlign w:val="bottom"/>
            <w:tcBorders>
              <w:top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31,032</w:t>
            </w:r>
          </w:p>
        </w:tc>
        <w:tc>
          <w:tcPr>
            <w:tcW w:w="2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27,972</w:t>
            </w:r>
          </w:p>
        </w:tc>
        <w:tc>
          <w:tcPr>
            <w:tcW w:w="22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Genomics </w:t>
            </w:r>
            <w:r>
              <w:rPr>
                <w:rFonts w:ascii="Arial" w:cs="Arial" w:eastAsia="Arial" w:hAnsi="Arial"/>
                <w:sz w:val="21"/>
                <w:szCs w:val="21"/>
                <w:color w:val="auto"/>
                <w:vertAlign w:val="superscript"/>
              </w:rPr>
              <w:t>(1)</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15,093</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10,818</w:t>
            </w:r>
          </w:p>
        </w:tc>
        <w:tc>
          <w:tcPr>
            <w:tcW w:w="22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HIV</w:t>
            </w: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8,166</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8,778</w:t>
            </w:r>
          </w:p>
        </w:tc>
        <w:tc>
          <w:tcPr>
            <w:tcW w:w="22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HCV</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3,257</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2,367</w:t>
            </w:r>
          </w:p>
        </w:tc>
        <w:tc>
          <w:tcPr>
            <w:tcW w:w="22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Substance abuse</w:t>
            </w: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2,560</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1,962</w:t>
            </w:r>
          </w:p>
        </w:tc>
        <w:tc>
          <w:tcPr>
            <w:tcW w:w="220" w:type="dxa"/>
            <w:vAlign w:val="bottom"/>
            <w:shd w:val="clear" w:color="auto" w:fill="CFF0FC"/>
          </w:tcPr>
          <w:p>
            <w:pPr>
              <w:spacing w:after="0"/>
              <w:rPr>
                <w:sz w:val="17"/>
                <w:szCs w:val="17"/>
                <w:color w:val="auto"/>
              </w:rPr>
            </w:pPr>
          </w:p>
        </w:tc>
      </w:tr>
      <w:tr>
        <w:trPr>
          <w:trHeight w:val="202"/>
        </w:trPr>
        <w:tc>
          <w:tcPr>
            <w:tcW w:w="75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Microbiome </w:t>
            </w:r>
            <w:r>
              <w:rPr>
                <w:rFonts w:ascii="Arial" w:cs="Arial" w:eastAsia="Arial" w:hAnsi="Arial"/>
                <w:sz w:val="21"/>
                <w:szCs w:val="21"/>
                <w:color w:val="auto"/>
                <w:vertAlign w:val="superscript"/>
              </w:rPr>
              <w:t>(1)</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1,751</w:t>
            </w:r>
          </w:p>
        </w:tc>
        <w:tc>
          <w:tcPr>
            <w:tcW w:w="22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services</w:t>
            </w: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1,733</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2,497</w:t>
            </w:r>
          </w:p>
        </w:tc>
        <w:tc>
          <w:tcPr>
            <w:tcW w:w="22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Other product and service revenues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1,405</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w:t>
            </w:r>
          </w:p>
        </w:tc>
        <w:tc>
          <w:tcPr>
            <w:tcW w:w="22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product and services revenues</w:t>
            </w: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65,236</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56,579</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20"/>
              <w:spacing w:after="0" w:line="196" w:lineRule="exact"/>
              <w:rPr>
                <w:sz w:val="20"/>
                <w:szCs w:val="20"/>
                <w:color w:val="auto"/>
              </w:rPr>
            </w:pPr>
            <w:r>
              <w:rPr>
                <w:rFonts w:ascii="Arial" w:cs="Arial" w:eastAsia="Arial" w:hAnsi="Arial"/>
                <w:sz w:val="18"/>
                <w:szCs w:val="18"/>
                <w:color w:val="auto"/>
              </w:rPr>
              <w:t>Royalty income</w:t>
            </w:r>
          </w:p>
        </w:tc>
        <w:tc>
          <w:tcPr>
            <w:tcW w:w="10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685</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1,261</w:t>
            </w:r>
          </w:p>
        </w:tc>
        <w:tc>
          <w:tcPr>
            <w:tcW w:w="22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non-product revenues</w:t>
            </w: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1,786</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742</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200"/>
              <w:spacing w:after="0" w:line="196" w:lineRule="exact"/>
              <w:rPr>
                <w:sz w:val="20"/>
                <w:szCs w:val="20"/>
                <w:color w:val="auto"/>
              </w:rPr>
            </w:pPr>
            <w:r>
              <w:rPr>
                <w:rFonts w:ascii="Arial" w:cs="Arial" w:eastAsia="Arial" w:hAnsi="Arial"/>
                <w:sz w:val="18"/>
                <w:szCs w:val="18"/>
                <w:color w:val="auto"/>
              </w:rPr>
              <w:t>Other revenues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2,471</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2,003</w:t>
            </w:r>
          </w:p>
        </w:tc>
        <w:tc>
          <w:tcPr>
            <w:tcW w:w="22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auto"/>
            </w:tcBorders>
            <w:shd w:val="clear" w:color="auto" w:fill="CFF0FC"/>
          </w:tcPr>
          <w:p>
            <w:pPr>
              <w:jc w:val="right"/>
              <w:ind w:right="83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67,707</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58,582</w:t>
            </w:r>
          </w:p>
        </w:tc>
        <w:tc>
          <w:tcPr>
            <w:tcW w:w="2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-561975</wp:posOffset>
            </wp:positionV>
            <wp:extent cx="3429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-561975</wp:posOffset>
            </wp:positionV>
            <wp:extent cx="342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-296545</wp:posOffset>
            </wp:positionV>
            <wp:extent cx="3429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-296545</wp:posOffset>
            </wp:positionV>
            <wp:extent cx="3429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ind w:firstLine="8"/>
        <w:spacing w:after="0" w:line="258" w:lineRule="auto"/>
        <w:tabs>
          <w:tab w:leader="none" w:pos="167" w:val="left"/>
        </w:tabs>
        <w:numPr>
          <w:ilvl w:val="0"/>
          <w:numId w:val="6"/>
        </w:numPr>
        <w:rPr>
          <w:rFonts w:ascii="Arial" w:cs="Arial" w:eastAsia="Arial" w:hAnsi="Arial"/>
          <w:sz w:val="11"/>
          <w:szCs w:val="11"/>
          <w:color w:val="auto"/>
        </w:rPr>
      </w:pPr>
      <w:r>
        <w:rPr>
          <w:rFonts w:ascii="Arial" w:cs="Arial" w:eastAsia="Arial" w:hAnsi="Arial"/>
          <w:sz w:val="16"/>
          <w:szCs w:val="16"/>
          <w:color w:val="auto"/>
        </w:rPr>
        <w:t>2021 COVID-19, Genomics and Microbiome revenues were reclassified to reflect the correct classification of the product line sales. The reclassification increased (decreased) the product line revenues for the three months ended March 31, 2021 by $583, $(246) and $(337),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020" w:type="dxa"/>
            <w:vAlign w:val="bottom"/>
            <w:tcBorders>
              <w:top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57,987</w:t>
            </w: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49,100</w:t>
            </w:r>
          </w:p>
        </w:tc>
        <w:tc>
          <w:tcPr>
            <w:tcW w:w="24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Europe</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4,286</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4,552</w:t>
            </w:r>
          </w:p>
        </w:tc>
        <w:tc>
          <w:tcPr>
            <w:tcW w:w="24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regions</w:t>
            </w: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5,434</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4,930</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020" w:type="dxa"/>
            <w:vAlign w:val="bottom"/>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67,707</w:t>
            </w:r>
          </w:p>
        </w:tc>
        <w:tc>
          <w:tcPr>
            <w:tcW w:w="1240" w:type="dxa"/>
            <w:vAlign w:val="bottom"/>
            <w:gridSpan w:val="2"/>
          </w:tcPr>
          <w:p>
            <w:pPr>
              <w:jc w:val="right"/>
              <w:ind w:right="810"/>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58,582</w:t>
            </w:r>
          </w:p>
        </w:tc>
        <w:tc>
          <w:tcPr>
            <w:tcW w:w="24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-159385</wp:posOffset>
            </wp:positionV>
            <wp:extent cx="342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-159385</wp:posOffset>
            </wp:positionV>
            <wp:extent cx="342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u w:val="single" w:color="auto"/>
          <w:color w:val="auto"/>
        </w:rPr>
        <w:t>Customer and Vendor Concentrations</w:t>
      </w:r>
      <w:r>
        <w:rPr>
          <w:rFonts w:ascii="Arial" w:cs="Arial" w:eastAsia="Arial" w:hAnsi="Arial"/>
          <w:sz w:val="18"/>
          <w:szCs w:val="18"/>
          <w:color w:val="auto"/>
        </w:rPr>
        <w:t>. At March 31, 2022, one non-commercial customer accounted for 21% of our accounts receivable. No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more than 10% of our accounts receivable as of December 31, 2021. One non-commercial customer accounted for 18% of net consolidated revenues for the three months ended March 31, 2022. Another customer accounted for 17% of net consolidated revenues for the three months ended March 31, 2021.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jc w:val="both"/>
        <w:spacing w:after="0" w:line="243" w:lineRule="auto"/>
        <w:rPr>
          <w:sz w:val="20"/>
          <w:szCs w:val="20"/>
          <w:color w:val="auto"/>
        </w:rPr>
      </w:pPr>
      <w:r>
        <w:rPr>
          <w:rFonts w:ascii="Arial" w:cs="Arial" w:eastAsia="Arial" w:hAnsi="Arial"/>
          <w:sz w:val="18"/>
          <w:szCs w:val="18"/>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 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Deferred Revenue</w:t>
      </w:r>
      <w:r>
        <w:rPr>
          <w:rFonts w:ascii="Arial" w:cs="Arial" w:eastAsia="Arial" w:hAnsi="Arial"/>
          <w:sz w:val="17"/>
          <w:szCs w:val="17"/>
          <w:color w:val="auto"/>
        </w:rPr>
        <w:t>. We record deferred revenue when funds are received prior to the recognition of the associated revenue. Deferred revenue as of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and December 31, 2021 includes customer prepayments of $1,900 and $1,843, respectively. Deferred revenue as of March 31, 2022 and December 31, 2021 also includes $1,006 and $1,093, respectively, associated with a long-term contract that has variable pricing based on volume. The average price over the life of the contract was determined and revenue is recognized at that average price.</w:t>
      </w:r>
    </w:p>
    <w:p>
      <w:pPr>
        <w:spacing w:after="0" w:line="303"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85"/>
        </w:trPr>
        <w:tc>
          <w:tcPr>
            <w:tcW w:w="7240" w:type="dxa"/>
            <w:vAlign w:val="bottom"/>
          </w:tcPr>
          <w:p>
            <w:pPr>
              <w:spacing w:after="0"/>
              <w:rPr>
                <w:sz w:val="16"/>
                <w:szCs w:val="16"/>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and related benefits</w:t>
            </w:r>
          </w:p>
        </w:tc>
        <w:tc>
          <w:tcPr>
            <w:tcW w:w="1300" w:type="dxa"/>
            <w:vAlign w:val="bottom"/>
            <w:shd w:val="clear" w:color="auto" w:fill="CFF0FC"/>
          </w:tcPr>
          <w:p>
            <w:pPr>
              <w:jc w:val="right"/>
              <w:ind w:right="111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11,279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15,570</w:t>
            </w:r>
          </w:p>
        </w:tc>
        <w:tc>
          <w:tcPr>
            <w:tcW w:w="6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Commitment to purchase under government contract</w:t>
            </w:r>
          </w:p>
        </w:tc>
        <w:tc>
          <w:tcPr>
            <w:tcW w:w="13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8,103</w:t>
            </w:r>
          </w:p>
        </w:tc>
        <w:tc>
          <w:tcPr>
            <w:tcW w:w="6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for government contract</w:t>
            </w:r>
          </w:p>
        </w:tc>
        <w:tc>
          <w:tcPr>
            <w:tcW w:w="13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13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3,537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3,335</w:t>
            </w:r>
          </w:p>
        </w:tc>
        <w:tc>
          <w:tcPr>
            <w:tcW w:w="6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tax payable</w:t>
            </w:r>
          </w:p>
        </w:tc>
        <w:tc>
          <w:tcPr>
            <w:tcW w:w="13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2,227</w:t>
            </w:r>
          </w:p>
        </w:tc>
        <w:tc>
          <w:tcPr>
            <w:tcW w:w="6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4,543</w:t>
            </w:r>
          </w:p>
        </w:tc>
        <w:tc>
          <w:tcPr>
            <w:tcW w:w="60" w:type="dxa"/>
            <w:vAlign w:val="bottom"/>
          </w:tcPr>
          <w:p>
            <w:pPr>
              <w:spacing w:after="0"/>
              <w:rPr>
                <w:sz w:val="17"/>
                <w:szCs w:val="17"/>
                <w:color w:val="auto"/>
              </w:rPr>
            </w:pPr>
          </w:p>
        </w:tc>
      </w:tr>
      <w:tr>
        <w:trPr>
          <w:trHeight w:val="196"/>
        </w:trPr>
        <w:tc>
          <w:tcPr>
            <w:tcW w:w="7240" w:type="dxa"/>
            <w:vAlign w:val="bottom"/>
          </w:tcPr>
          <w:p>
            <w:pPr>
              <w:spacing w:after="0"/>
              <w:rPr>
                <w:sz w:val="17"/>
                <w:szCs w:val="17"/>
                <w:color w:val="auto"/>
              </w:rPr>
            </w:pPr>
          </w:p>
        </w:tc>
        <w:tc>
          <w:tcPr>
            <w:tcW w:w="1300" w:type="dxa"/>
            <w:vAlign w:val="bottom"/>
            <w:tcBorders>
              <w:bottom w:val="single" w:sz="8" w:color="auto"/>
            </w:tcBorders>
          </w:tcPr>
          <w:p>
            <w:pPr>
              <w:jc w:val="right"/>
              <w:ind w:right="111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21,911</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33,778</w:t>
            </w:r>
          </w:p>
        </w:tc>
        <w:tc>
          <w:tcPr>
            <w:tcW w:w="6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determine whether an arrangement is a lease at inception. We have operating and finance leases for corporate offices, warehouse space and equipment (including vehicles). As of March 31, 2022, we are the lessee in all agreements. Our leases have remaining lease terms of 1 to 11 years, some of which include options to extend the leases based on agreed upon terms, and some of which include options to terminate the leases within 1 year.</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lease agreements that contain both lease and non-lease components (e.g., common-area maintenance). For these agreements, we account for lease components separate from non-lease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0"/>
        </w:trPr>
        <w:tc>
          <w:tcPr>
            <w:tcW w:w="734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9"/>
        </w:trPr>
        <w:tc>
          <w:tcPr>
            <w:tcW w:w="734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color w:val="auto"/>
              </w:rPr>
              <w:t>Operating lease cost</w:t>
            </w:r>
          </w:p>
        </w:tc>
        <w:tc>
          <w:tcPr>
            <w:tcW w:w="1180" w:type="dxa"/>
            <w:vAlign w:val="bottom"/>
            <w:tcBorders>
              <w:top w:val="single" w:sz="8" w:color="auto"/>
            </w:tcBorders>
            <w:shd w:val="clear" w:color="auto" w:fill="CFF0FC"/>
          </w:tcPr>
          <w:p>
            <w:pPr>
              <w:jc w:val="right"/>
              <w:ind w:right="999"/>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699</w:t>
            </w:r>
          </w:p>
        </w:tc>
        <w:tc>
          <w:tcPr>
            <w:tcW w:w="2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1030"/>
              <w:spacing w:after="0" w:line="199"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420</w:t>
            </w:r>
          </w:p>
        </w:tc>
        <w:tc>
          <w:tcPr>
            <w:tcW w:w="180" w:type="dxa"/>
            <w:vAlign w:val="bottom"/>
            <w:shd w:val="clear" w:color="auto" w:fill="CFF0FC"/>
          </w:tcPr>
          <w:p>
            <w:pPr>
              <w:spacing w:after="0"/>
              <w:rPr>
                <w:sz w:val="17"/>
                <w:szCs w:val="17"/>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Variable and short-term lease cost</w:t>
            </w:r>
          </w:p>
        </w:tc>
        <w:tc>
          <w:tcPr>
            <w:tcW w:w="1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right-of use assets</w:t>
            </w:r>
          </w:p>
        </w:tc>
        <w:tc>
          <w:tcPr>
            <w:tcW w:w="1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r>
      <w:tr>
        <w:trPr>
          <w:trHeight w:val="203"/>
        </w:trPr>
        <w:tc>
          <w:tcPr>
            <w:tcW w:w="73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on lease liabilities</w:t>
            </w:r>
          </w:p>
        </w:tc>
        <w:tc>
          <w:tcPr>
            <w:tcW w:w="1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7340" w:type="dxa"/>
            <w:vAlign w:val="bottom"/>
          </w:tcPr>
          <w:p>
            <w:pPr>
              <w:ind w:left="300"/>
              <w:spacing w:after="0" w:line="196" w:lineRule="exact"/>
              <w:rPr>
                <w:sz w:val="20"/>
                <w:szCs w:val="20"/>
                <w:color w:val="auto"/>
              </w:rPr>
            </w:pPr>
            <w:r>
              <w:rPr>
                <w:rFonts w:ascii="Arial" w:cs="Arial" w:eastAsia="Arial" w:hAnsi="Arial"/>
                <w:sz w:val="18"/>
                <w:szCs w:val="18"/>
                <w:color w:val="auto"/>
              </w:rPr>
              <w:t>Total finance lease cost</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w:t>
            </w:r>
          </w:p>
        </w:tc>
        <w:tc>
          <w:tcPr>
            <w:tcW w:w="2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r>
      <w:tr>
        <w:trPr>
          <w:trHeight w:val="236"/>
        </w:trPr>
        <w:tc>
          <w:tcPr>
            <w:tcW w:w="73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180" w:type="dxa"/>
            <w:vAlign w:val="bottom"/>
            <w:tcBorders>
              <w:bottom w:val="single" w:sz="8" w:color="auto"/>
            </w:tcBorders>
            <w:shd w:val="clear" w:color="auto" w:fill="CFF0FC"/>
          </w:tcPr>
          <w:p>
            <w:pPr>
              <w:jc w:val="right"/>
              <w:ind w:right="99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1,191</w:t>
            </w:r>
          </w:p>
        </w:tc>
        <w:tc>
          <w:tcPr>
            <w:tcW w:w="2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030"/>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561</w:t>
            </w:r>
          </w:p>
        </w:tc>
        <w:tc>
          <w:tcPr>
            <w:tcW w:w="1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-296545</wp:posOffset>
            </wp:positionV>
            <wp:extent cx="431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-296545</wp:posOffset>
            </wp:positionV>
            <wp:extent cx="342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34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34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0"/>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0"/>
        </w:trPr>
        <w:tc>
          <w:tcPr>
            <w:tcW w:w="7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340" w:type="dxa"/>
            <w:vAlign w:val="bottom"/>
          </w:tcPr>
          <w:p>
            <w:pPr>
              <w:ind w:left="20"/>
              <w:spacing w:after="0" w:line="19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1,186</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3"/>
              </w:rPr>
              <w:t>408</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Operating cash flows from financing leases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left="1112"/>
              <w:spacing w:after="0" w:line="202" w:lineRule="exact"/>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Financing cash flows from financing leases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3"/>
              </w:rPr>
              <w:t>282</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Non-cash activity:</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Right-of-use assets obtained in exchange for operating lease obligations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3,666</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3"/>
              </w:rPr>
              <w:t>629</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300"/>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4"/>
          </w:tcPr>
          <w:p>
            <w:pPr>
              <w:jc w:val="center"/>
              <w:ind w:left="9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1"/>
        </w:trPr>
        <w:tc>
          <w:tcPr>
            <w:tcW w:w="73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7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ind w:left="1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2"/>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Leases</w:t>
            </w:r>
          </w:p>
        </w:tc>
        <w:tc>
          <w:tcPr>
            <w:tcW w:w="8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120"/>
              <w:spacing w:after="0" w:line="202" w:lineRule="exact"/>
              <w:rPr>
                <w:sz w:val="20"/>
                <w:szCs w:val="20"/>
                <w:color w:val="auto"/>
              </w:rPr>
            </w:pPr>
            <w:r>
              <w:rPr>
                <w:rFonts w:ascii="Arial" w:cs="Arial" w:eastAsia="Arial" w:hAnsi="Arial"/>
                <w:sz w:val="18"/>
                <w:szCs w:val="18"/>
                <w:color w:val="auto"/>
              </w:rPr>
              <w:t>Right-of-use assets</w:t>
            </w:r>
          </w:p>
        </w:tc>
        <w:tc>
          <w:tcPr>
            <w:tcW w:w="3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12,169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ind w:left="1120"/>
              <w:spacing w:after="0" w:line="202" w:lineRule="exact"/>
              <w:rPr>
                <w:sz w:val="20"/>
                <w:szCs w:val="20"/>
                <w:color w:val="auto"/>
              </w:rPr>
            </w:pPr>
            <w:r>
              <w:rPr>
                <w:rFonts w:ascii="Arial" w:cs="Arial" w:eastAsia="Arial" w:hAnsi="Arial"/>
                <w:sz w:val="18"/>
                <w:szCs w:val="18"/>
                <w:color w:val="auto"/>
                <w:w w:val="88"/>
              </w:rPr>
              <w:t>9,056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Lease liabilities: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Current lease liabilities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ind w:left="1120"/>
              <w:spacing w:after="0" w:line="202" w:lineRule="exact"/>
              <w:rPr>
                <w:sz w:val="20"/>
                <w:szCs w:val="20"/>
                <w:color w:val="auto"/>
              </w:rPr>
            </w:pPr>
            <w:r>
              <w:rPr>
                <w:rFonts w:ascii="Arial" w:cs="Arial" w:eastAsia="Arial" w:hAnsi="Arial"/>
                <w:sz w:val="18"/>
                <w:szCs w:val="18"/>
                <w:color w:val="auto"/>
                <w:w w:val="88"/>
              </w:rPr>
              <w:t>2,181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Non-current lease liabilities</w:t>
            </w: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10,727</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gridSpan w:val="3"/>
            <w:shd w:val="clear" w:color="auto" w:fill="CFF0FC"/>
          </w:tcPr>
          <w:p>
            <w:pPr>
              <w:ind w:left="1120"/>
              <w:spacing w:after="0" w:line="202" w:lineRule="exact"/>
              <w:rPr>
                <w:sz w:val="20"/>
                <w:szCs w:val="20"/>
                <w:color w:val="auto"/>
              </w:rPr>
            </w:pPr>
            <w:r>
              <w:rPr>
                <w:rFonts w:ascii="Arial" w:cs="Arial" w:eastAsia="Arial" w:hAnsi="Arial"/>
                <w:sz w:val="18"/>
                <w:szCs w:val="18"/>
                <w:color w:val="auto"/>
                <w:w w:val="88"/>
              </w:rPr>
              <w:t>7,202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line="182" w:lineRule="exact"/>
              <w:rPr>
                <w:sz w:val="20"/>
                <w:szCs w:val="20"/>
                <w:color w:val="auto"/>
              </w:rPr>
            </w:pPr>
            <w:r>
              <w:rPr>
                <w:rFonts w:ascii="Arial" w:cs="Arial" w:eastAsia="Arial" w:hAnsi="Arial"/>
                <w:sz w:val="18"/>
                <w:szCs w:val="18"/>
                <w:color w:val="auto"/>
              </w:rPr>
              <w:t>Total operating lease liabilities</w:t>
            </w:r>
          </w:p>
        </w:tc>
        <w:tc>
          <w:tcPr>
            <w:tcW w:w="360" w:type="dxa"/>
            <w:vAlign w:val="bottom"/>
            <w:gridSpan w:val="3"/>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12,542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540" w:type="dxa"/>
            <w:vAlign w:val="bottom"/>
            <w:gridSpan w:val="3"/>
          </w:tcPr>
          <w:p>
            <w:pPr>
              <w:ind w:left="1120"/>
              <w:spacing w:after="0" w:line="182" w:lineRule="exact"/>
              <w:rPr>
                <w:sz w:val="20"/>
                <w:szCs w:val="20"/>
                <w:color w:val="auto"/>
              </w:rPr>
            </w:pPr>
            <w:r>
              <w:rPr>
                <w:rFonts w:ascii="Arial" w:cs="Arial" w:eastAsia="Arial" w:hAnsi="Arial"/>
                <w:sz w:val="18"/>
                <w:szCs w:val="18"/>
                <w:color w:val="auto"/>
                <w:w w:val="88"/>
              </w:rPr>
              <w:t>9,383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Finance Leases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120"/>
              <w:spacing w:after="0" w:line="202" w:lineRule="exact"/>
              <w:rPr>
                <w:sz w:val="20"/>
                <w:szCs w:val="20"/>
                <w:color w:val="auto"/>
              </w:rPr>
            </w:pPr>
            <w:r>
              <w:rPr>
                <w:rFonts w:ascii="Arial" w:cs="Arial" w:eastAsia="Arial" w:hAnsi="Arial"/>
                <w:sz w:val="18"/>
                <w:szCs w:val="18"/>
                <w:color w:val="auto"/>
              </w:rPr>
              <w:t>Right-of-use assets</w:t>
            </w:r>
          </w:p>
        </w:tc>
        <w:tc>
          <w:tcPr>
            <w:tcW w:w="3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ind w:left="1120"/>
              <w:spacing w:after="0" w:line="202" w:lineRule="exact"/>
              <w:rPr>
                <w:sz w:val="20"/>
                <w:szCs w:val="20"/>
                <w:color w:val="auto"/>
              </w:rPr>
            </w:pPr>
            <w:r>
              <w:rPr>
                <w:rFonts w:ascii="Arial" w:cs="Arial" w:eastAsia="Arial" w:hAnsi="Arial"/>
                <w:sz w:val="18"/>
                <w:szCs w:val="18"/>
                <w:color w:val="auto"/>
                <w:w w:val="88"/>
              </w:rPr>
              <w:t>2,493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Lease liabilities: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Current lease liabilities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ind w:left="1260"/>
              <w:spacing w:after="0" w:line="202" w:lineRule="exact"/>
              <w:rPr>
                <w:sz w:val="20"/>
                <w:szCs w:val="20"/>
                <w:color w:val="auto"/>
              </w:rPr>
            </w:pPr>
            <w:r>
              <w:rPr>
                <w:rFonts w:ascii="Arial" w:cs="Arial" w:eastAsia="Arial" w:hAnsi="Arial"/>
                <w:sz w:val="18"/>
                <w:szCs w:val="18"/>
                <w:color w:val="auto"/>
                <w:w w:val="86"/>
              </w:rPr>
              <w:t>939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Non-current lease liabilities</w:t>
            </w: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1,207</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gridSpan w:val="3"/>
            <w:shd w:val="clear" w:color="auto" w:fill="CFF0FC"/>
          </w:tcPr>
          <w:p>
            <w:pPr>
              <w:ind w:left="1120"/>
              <w:spacing w:after="0" w:line="202" w:lineRule="exact"/>
              <w:rPr>
                <w:sz w:val="20"/>
                <w:szCs w:val="20"/>
                <w:color w:val="auto"/>
              </w:rPr>
            </w:pPr>
            <w:r>
              <w:rPr>
                <w:rFonts w:ascii="Arial" w:cs="Arial" w:eastAsia="Arial" w:hAnsi="Arial"/>
                <w:sz w:val="18"/>
                <w:szCs w:val="18"/>
                <w:color w:val="auto"/>
                <w:w w:val="88"/>
              </w:rPr>
              <w:t>1,952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line="182" w:lineRule="exact"/>
              <w:rPr>
                <w:sz w:val="20"/>
                <w:szCs w:val="20"/>
                <w:color w:val="auto"/>
              </w:rPr>
            </w:pPr>
            <w:r>
              <w:rPr>
                <w:rFonts w:ascii="Arial" w:cs="Arial" w:eastAsia="Arial" w:hAnsi="Arial"/>
                <w:sz w:val="18"/>
                <w:szCs w:val="18"/>
                <w:color w:val="auto"/>
              </w:rPr>
              <w:t>Total finance lease liabilities</w:t>
            </w:r>
          </w:p>
        </w:tc>
        <w:tc>
          <w:tcPr>
            <w:tcW w:w="360" w:type="dxa"/>
            <w:vAlign w:val="bottom"/>
            <w:gridSpan w:val="3"/>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2,906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540" w:type="dxa"/>
            <w:vAlign w:val="bottom"/>
            <w:gridSpan w:val="3"/>
          </w:tcPr>
          <w:p>
            <w:pPr>
              <w:ind w:left="1120"/>
              <w:spacing w:after="0" w:line="182" w:lineRule="exact"/>
              <w:rPr>
                <w:sz w:val="20"/>
                <w:szCs w:val="20"/>
                <w:color w:val="auto"/>
              </w:rPr>
            </w:pPr>
            <w:r>
              <w:rPr>
                <w:rFonts w:ascii="Arial" w:cs="Arial" w:eastAsia="Arial" w:hAnsi="Arial"/>
                <w:sz w:val="18"/>
                <w:szCs w:val="18"/>
                <w:color w:val="auto"/>
                <w:w w:val="88"/>
              </w:rPr>
              <w:t>2,891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Weighted Average Remaining Lease Term</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remaining lease term—operating leases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4"/>
          </w:tcPr>
          <w:p>
            <w:pPr>
              <w:ind w:left="600"/>
              <w:spacing w:after="0" w:line="202" w:lineRule="exact"/>
              <w:rPr>
                <w:sz w:val="20"/>
                <w:szCs w:val="20"/>
                <w:color w:val="auto"/>
              </w:rPr>
            </w:pPr>
            <w:r>
              <w:rPr>
                <w:rFonts w:ascii="Arial" w:cs="Arial" w:eastAsia="Arial" w:hAnsi="Arial"/>
                <w:sz w:val="18"/>
                <w:szCs w:val="18"/>
                <w:color w:val="auto"/>
              </w:rPr>
              <w:t>6.86 years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4"/>
          </w:tcPr>
          <w:p>
            <w:pPr>
              <w:ind w:left="640"/>
              <w:spacing w:after="0" w:line="202" w:lineRule="exact"/>
              <w:rPr>
                <w:sz w:val="20"/>
                <w:szCs w:val="20"/>
                <w:color w:val="auto"/>
              </w:rPr>
            </w:pPr>
            <w:r>
              <w:rPr>
                <w:rFonts w:ascii="Arial" w:cs="Arial" w:eastAsia="Arial" w:hAnsi="Arial"/>
                <w:sz w:val="18"/>
                <w:szCs w:val="18"/>
                <w:color w:val="auto"/>
              </w:rPr>
              <w:t>5.26 years</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remaining lease term—finance leases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gridSpan w:val="4"/>
            <w:shd w:val="clear" w:color="auto" w:fill="CFF0FC"/>
          </w:tcPr>
          <w:p>
            <w:pPr>
              <w:ind w:left="600"/>
              <w:spacing w:after="0" w:line="202" w:lineRule="exact"/>
              <w:rPr>
                <w:sz w:val="20"/>
                <w:szCs w:val="20"/>
                <w:color w:val="auto"/>
              </w:rPr>
            </w:pPr>
            <w:r>
              <w:rPr>
                <w:rFonts w:ascii="Arial" w:cs="Arial" w:eastAsia="Arial" w:hAnsi="Arial"/>
                <w:sz w:val="18"/>
                <w:szCs w:val="18"/>
                <w:color w:val="auto"/>
              </w:rPr>
              <w:t>2.04 years</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4"/>
            <w:shd w:val="clear" w:color="auto" w:fill="CFF0FC"/>
          </w:tcPr>
          <w:p>
            <w:pPr>
              <w:ind w:left="640"/>
              <w:spacing w:after="0" w:line="202" w:lineRule="exact"/>
              <w:rPr>
                <w:sz w:val="20"/>
                <w:szCs w:val="20"/>
                <w:color w:val="auto"/>
              </w:rPr>
            </w:pPr>
            <w:r>
              <w:rPr>
                <w:rFonts w:ascii="Arial" w:cs="Arial" w:eastAsia="Arial" w:hAnsi="Arial"/>
                <w:sz w:val="18"/>
                <w:szCs w:val="18"/>
                <w:color w:val="auto"/>
              </w:rPr>
              <w:t>2.21 years</w:t>
            </w:r>
          </w:p>
        </w:tc>
        <w:tc>
          <w:tcPr>
            <w:tcW w:w="0" w:type="dxa"/>
            <w:vAlign w:val="bottom"/>
          </w:tcPr>
          <w:p>
            <w:pPr>
              <w:spacing w:after="0"/>
              <w:rPr>
                <w:sz w:val="1"/>
                <w:szCs w:val="1"/>
                <w:color w:val="auto"/>
              </w:rPr>
            </w:pPr>
          </w:p>
        </w:tc>
      </w:tr>
      <w:tr>
        <w:trPr>
          <w:trHeight w:val="405"/>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discount rate—operating leases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4.09 %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4"/>
            <w:shd w:val="clear" w:color="auto" w:fill="CFF0FC"/>
          </w:tcPr>
          <w:p>
            <w:pPr>
              <w:jc w:val="center"/>
              <w:ind w:left="932"/>
              <w:spacing w:after="0" w:line="202" w:lineRule="exact"/>
              <w:rPr>
                <w:sz w:val="20"/>
                <w:szCs w:val="20"/>
                <w:color w:val="auto"/>
              </w:rPr>
            </w:pPr>
            <w:r>
              <w:rPr>
                <w:rFonts w:ascii="Arial" w:cs="Arial" w:eastAsia="Arial" w:hAnsi="Arial"/>
                <w:sz w:val="18"/>
                <w:szCs w:val="18"/>
                <w:color w:val="auto"/>
                <w:w w:val="89"/>
              </w:rPr>
              <w:t>3.90 %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8"/>
                <w:szCs w:val="18"/>
                <w:color w:val="auto"/>
              </w:rPr>
              <w:t>3.54 %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4"/>
          </w:tcPr>
          <w:p>
            <w:pPr>
              <w:jc w:val="center"/>
              <w:ind w:left="932"/>
              <w:spacing w:after="0"/>
              <w:rPr>
                <w:sz w:val="20"/>
                <w:szCs w:val="20"/>
                <w:color w:val="auto"/>
              </w:rPr>
            </w:pPr>
            <w:r>
              <w:rPr>
                <w:rFonts w:ascii="Arial" w:cs="Arial" w:eastAsia="Arial" w:hAnsi="Arial"/>
                <w:sz w:val="18"/>
                <w:szCs w:val="18"/>
                <w:color w:val="auto"/>
                <w:w w:val="89"/>
              </w:rPr>
              <w:t>3.57 %</w:t>
            </w:r>
          </w:p>
        </w:tc>
        <w:tc>
          <w:tcPr>
            <w:tcW w:w="0" w:type="dxa"/>
            <w:vAlign w:val="bottom"/>
          </w:tcPr>
          <w:p>
            <w:pPr>
              <w:spacing w:after="0"/>
              <w:rPr>
                <w:sz w:val="1"/>
                <w:szCs w:val="1"/>
                <w:color w:val="auto"/>
              </w:rPr>
            </w:pPr>
          </w:p>
        </w:tc>
      </w:tr>
      <w:tr>
        <w:trPr>
          <w:trHeight w:val="391"/>
        </w:trPr>
        <w:tc>
          <w:tcPr>
            <w:tcW w:w="7340" w:type="dxa"/>
            <w:vAlign w:val="bottom"/>
          </w:tcPr>
          <w:p>
            <w:pPr>
              <w:spacing w:after="0"/>
              <w:rPr>
                <w:sz w:val="20"/>
                <w:szCs w:val="20"/>
                <w:color w:val="auto"/>
              </w:rPr>
            </w:pPr>
            <w:r>
              <w:rPr>
                <w:rFonts w:ascii="Arial" w:cs="Arial" w:eastAsia="Arial" w:hAnsi="Arial"/>
                <w:sz w:val="18"/>
                <w:szCs w:val="18"/>
                <w:color w:val="auto"/>
              </w:rPr>
              <w:t>As of March 31, 2022, minimum lease payments by period are expected to be as follows: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ind w:left="400"/>
              <w:spacing w:after="0"/>
              <w:rPr>
                <w:sz w:val="20"/>
                <w:szCs w:val="20"/>
                <w:color w:val="auto"/>
              </w:rPr>
            </w:pPr>
            <w:r>
              <w:rPr>
                <w:rFonts w:ascii="Arial" w:cs="Arial" w:eastAsia="Arial" w:hAnsi="Arial"/>
                <w:sz w:val="14"/>
                <w:szCs w:val="14"/>
                <w:b w:val="1"/>
                <w:bCs w:val="1"/>
                <w:color w:val="auto"/>
              </w:rPr>
              <w:t>Finance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4"/>
          </w:tcPr>
          <w:p>
            <w:pPr>
              <w:ind w:left="3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2022 (excluding the three months ended March 31, 2022)</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951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1,936</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1,285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2024</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742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2,337</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2025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2026</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1,750</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4,871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minimum lease payments</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3,010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14,591</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00"/>
              <w:spacing w:after="0" w:line="202" w:lineRule="exact"/>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(104 )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(2,049 )</w:t>
            </w:r>
          </w:p>
        </w:tc>
        <w:tc>
          <w:tcPr>
            <w:tcW w:w="0" w:type="dxa"/>
            <w:vAlign w:val="bottom"/>
          </w:tcPr>
          <w:p>
            <w:pPr>
              <w:spacing w:after="0"/>
              <w:rPr>
                <w:sz w:val="1"/>
                <w:szCs w:val="1"/>
                <w:color w:val="auto"/>
              </w:rPr>
            </w:pPr>
          </w:p>
        </w:tc>
      </w:tr>
      <w:tr>
        <w:trPr>
          <w:trHeight w:val="196"/>
        </w:trPr>
        <w:tc>
          <w:tcPr>
            <w:tcW w:w="7340" w:type="dxa"/>
            <w:vAlign w:val="bottom"/>
          </w:tcPr>
          <w:p>
            <w:pPr>
              <w:ind w:left="300"/>
              <w:spacing w:after="0" w:line="182" w:lineRule="exact"/>
              <w:rPr>
                <w:sz w:val="20"/>
                <w:szCs w:val="20"/>
                <w:color w:val="auto"/>
              </w:rPr>
            </w:pPr>
            <w:r>
              <w:rPr>
                <w:rFonts w:ascii="Arial" w:cs="Arial" w:eastAsia="Arial" w:hAnsi="Arial"/>
                <w:sz w:val="18"/>
                <w:szCs w:val="18"/>
                <w:color w:val="auto"/>
              </w:rPr>
              <w:t>Present value of lease liabilities</w:t>
            </w:r>
          </w:p>
        </w:tc>
        <w:tc>
          <w:tcPr>
            <w:tcW w:w="140" w:type="dxa"/>
            <w:vAlign w:val="bottom"/>
            <w:gridSpan w:val="2"/>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3"/>
          </w:tcPr>
          <w:p>
            <w:pPr>
              <w:jc w:val="right"/>
              <w:ind w:right="20"/>
              <w:spacing w:after="0" w:line="182" w:lineRule="exact"/>
              <w:rPr>
                <w:sz w:val="20"/>
                <w:szCs w:val="20"/>
                <w:color w:val="auto"/>
              </w:rPr>
            </w:pPr>
            <w:r>
              <w:rPr>
                <w:rFonts w:ascii="Arial" w:cs="Arial" w:eastAsia="Arial" w:hAnsi="Arial"/>
                <w:sz w:val="18"/>
                <w:szCs w:val="18"/>
                <w:color w:val="auto"/>
              </w:rPr>
              <w:t>2,906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12,542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-4308475</wp:posOffset>
            </wp:positionV>
            <wp:extent cx="431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-4308475</wp:posOffset>
            </wp:positionV>
            <wp:extent cx="342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-3373755</wp:posOffset>
            </wp:positionV>
            <wp:extent cx="431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-3373755</wp:posOffset>
            </wp:positionV>
            <wp:extent cx="342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 w:name="page13"/>
    <w:bookmarkEnd w:id="12"/>
    <w:p>
      <w:pPr>
        <w:ind w:left="820" w:hanging="812"/>
        <w:spacing w:after="0"/>
        <w:tabs>
          <w:tab w:leader="none" w:pos="820" w:val="left"/>
        </w:tabs>
        <w:numPr>
          <w:ilvl w:val="0"/>
          <w:numId w:val="9"/>
        </w:numPr>
        <w:rPr>
          <w:rFonts w:ascii="Arial" w:cs="Arial" w:eastAsia="Arial" w:hAnsi="Arial"/>
          <w:sz w:val="16"/>
          <w:szCs w:val="16"/>
          <w:b w:val="1"/>
          <w:bCs w:val="1"/>
          <w:color w:val="auto"/>
        </w:rPr>
      </w:pPr>
      <w:r>
        <w:rPr>
          <w:rFonts w:ascii="Arial" w:cs="Arial" w:eastAsia="Arial" w:hAnsi="Arial"/>
          <w:sz w:val="18"/>
          <w:szCs w:val="18"/>
          <w:b w:val="1"/>
          <w:bCs w:val="1"/>
          <w:color w:val="auto"/>
        </w:rPr>
        <w:t>Stockholders’ Equity</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Reconciliation of the changes in stockholders' equity for the three months ended March 31, 2022 and 2021</w:t>
      </w: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20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1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32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1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8"/>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72,069</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511,063</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(10,077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(120,453</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380,533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w w:val="95"/>
              </w:rPr>
              <w:t>Common stock issued upon exercise of options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(116 )</w:t>
            </w: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(1,049 )</w:t>
            </w:r>
          </w:p>
        </w:tc>
        <w:tc>
          <w:tcPr>
            <w:tcW w:w="120" w:type="dxa"/>
            <w:vAlign w:val="bottom"/>
          </w:tcPr>
          <w:p>
            <w:pPr>
              <w:spacing w:after="0"/>
              <w:rPr>
                <w:sz w:val="17"/>
                <w:szCs w:val="17"/>
                <w:color w:val="auto"/>
              </w:rPr>
            </w:pPr>
          </w:p>
        </w:tc>
        <w:tc>
          <w:tcPr>
            <w:tcW w:w="12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(1,049 )</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(19,967 )</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(19,967 )</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Unrealized gain on marketable securities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at March 31, 2022</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72,307</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6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513,553</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(8,247</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(140,420</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364,886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1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32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1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8"/>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71,738</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505,123</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(9,097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(97,455</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398,571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w w:val="95"/>
              </w:rPr>
              <w:t>Common stock issued upon exercise of options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(111 )</w:t>
            </w: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(1,730 )</w:t>
            </w:r>
          </w:p>
        </w:tc>
        <w:tc>
          <w:tcPr>
            <w:tcW w:w="120" w:type="dxa"/>
            <w:vAlign w:val="bottom"/>
          </w:tcPr>
          <w:p>
            <w:pPr>
              <w:spacing w:after="0"/>
              <w:rPr>
                <w:sz w:val="17"/>
                <w:szCs w:val="17"/>
                <w:color w:val="auto"/>
              </w:rPr>
            </w:pPr>
          </w:p>
        </w:tc>
        <w:tc>
          <w:tcPr>
            <w:tcW w:w="12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(1,730 )</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Unrealized gain on marketable securities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at March 31, 2021</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71,956</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6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504,949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(7,724</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(93,681</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403,544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-2005330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-1988185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-2005330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-1988185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-2005330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-1988185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-2005330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-1988185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-2005330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-1988185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-2005330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-1988185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Awards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 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shares purchased on the open market.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expense related to stock options for the three months ended March 31, 2022 and 2021 was $348 and $250,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on January 1, 2022</w:t>
            </w:r>
          </w:p>
        </w:tc>
        <w:tc>
          <w:tcPr>
            <w:tcW w:w="5180" w:type="dxa"/>
            <w:vAlign w:val="bottom"/>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1,410</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7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732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Expired</w:t>
            </w:r>
          </w:p>
        </w:tc>
        <w:tc>
          <w:tcPr>
            <w:tcW w:w="7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518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196"/>
        </w:trPr>
        <w:tc>
          <w:tcPr>
            <w:tcW w:w="39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Outstanding on March 31, 2022</w:t>
            </w:r>
          </w:p>
        </w:tc>
        <w:tc>
          <w:tcPr>
            <w:tcW w:w="5180" w:type="dxa"/>
            <w:vAlign w:val="bottom"/>
            <w:tcBorders>
              <w:top w:val="single" w:sz="8" w:color="CFF0FC"/>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1,896</w:t>
            </w:r>
          </w:p>
        </w:tc>
        <w:tc>
          <w:tcPr>
            <w:tcW w:w="2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180" w:type="dxa"/>
            <w:vAlign w:val="bottom"/>
            <w:vMerge w:val="restart"/>
          </w:tcPr>
          <w:p>
            <w:pPr>
              <w:jc w:val="right"/>
              <w:ind w:right="3290"/>
              <w:spacing w:after="0"/>
              <w:rPr>
                <w:sz w:val="20"/>
                <w:szCs w:val="20"/>
                <w:color w:val="auto"/>
              </w:rPr>
            </w:pPr>
            <w:r>
              <w:rPr>
                <w:rFonts w:ascii="Arial" w:cs="Arial" w:eastAsia="Arial" w:hAnsi="Arial"/>
                <w:sz w:val="18"/>
                <w:szCs w:val="18"/>
                <w:color w:val="auto"/>
              </w:rPr>
              <w:t>13</w:t>
            </w: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9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20" w:type="dxa"/>
            <w:vAlign w:val="bottom"/>
            <w:tcBorders>
              <w:bottom w:val="single" w:sz="8" w:color="9A9A9A"/>
            </w:tcBorders>
          </w:tcPr>
          <w:p>
            <w:pPr>
              <w:spacing w:after="0"/>
              <w:rPr>
                <w:sz w:val="7"/>
                <w:szCs w:val="7"/>
                <w:color w:val="auto"/>
              </w:rPr>
            </w:pPr>
          </w:p>
        </w:tc>
        <w:tc>
          <w:tcPr>
            <w:tcW w:w="51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-622300</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Compensation expense of $2,706 and $1,036 related to restricted shares was recognized during the three months ended March 31,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time-vested restricted stock award and restricted stock unit activity for the three months ended March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Units</w:t>
            </w:r>
          </w:p>
        </w:tc>
      </w:tr>
      <w:tr>
        <w:trPr>
          <w:trHeight w:val="196"/>
        </w:trPr>
        <w:tc>
          <w:tcPr>
            <w:tcW w:w="9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Issued and unvested, January 1, 2022</w:t>
            </w: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701</w:t>
            </w:r>
          </w:p>
        </w:tc>
        <w:tc>
          <w:tcPr>
            <w:tcW w:w="240" w:type="dxa"/>
            <w:vAlign w:val="bottom"/>
            <w:shd w:val="clear" w:color="auto" w:fill="CFF0FC"/>
          </w:tcPr>
          <w:p>
            <w:pPr>
              <w:spacing w:after="0"/>
              <w:rPr>
                <w:sz w:val="17"/>
                <w:szCs w:val="17"/>
                <w:color w:val="auto"/>
              </w:rPr>
            </w:pPr>
          </w:p>
        </w:tc>
      </w:tr>
      <w:tr>
        <w:trPr>
          <w:trHeight w:val="203"/>
        </w:trPr>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1,332</w:t>
            </w:r>
          </w:p>
        </w:tc>
        <w:tc>
          <w:tcPr>
            <w:tcW w:w="240" w:type="dxa"/>
            <w:vAlign w:val="bottom"/>
          </w:tcPr>
          <w:p>
            <w:pPr>
              <w:spacing w:after="0"/>
              <w:rPr>
                <w:sz w:val="17"/>
                <w:szCs w:val="17"/>
                <w:color w:val="auto"/>
              </w:rPr>
            </w:pPr>
          </w:p>
        </w:tc>
      </w:tr>
      <w:tr>
        <w:trPr>
          <w:trHeight w:val="203"/>
        </w:trPr>
        <w:tc>
          <w:tcPr>
            <w:tcW w:w="9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2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(243 )</w:t>
            </w:r>
          </w:p>
        </w:tc>
      </w:tr>
      <w:tr>
        <w:trPr>
          <w:trHeight w:val="203"/>
        </w:trPr>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(120 )</w:t>
            </w:r>
          </w:p>
        </w:tc>
      </w:tr>
      <w:tr>
        <w:trPr>
          <w:trHeight w:val="236"/>
        </w:trPr>
        <w:tc>
          <w:tcPr>
            <w:tcW w:w="9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Issued and unvested, March 31, 2022</w:t>
            </w:r>
          </w:p>
        </w:tc>
        <w:tc>
          <w:tcPr>
            <w:tcW w:w="1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1,670</w:t>
            </w:r>
          </w:p>
        </w:tc>
        <w:tc>
          <w:tcPr>
            <w:tcW w:w="2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grant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employed for three years from the grant date. If the one-year target is achieved, the PSUs will then vest three years from grant date. If the three-year target is achieved, the corresponding PSUs will then vest three years from grant date. PSUs are converted into shares of our common stock once vested.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of $470 and $178 related to PSUs was recognized during the three months ended March 31, 2022 and 2021,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PSU activity for the three months ended March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Units</w:t>
            </w:r>
          </w:p>
        </w:tc>
      </w:tr>
      <w:tr>
        <w:trPr>
          <w:trHeight w:val="196"/>
        </w:trPr>
        <w:tc>
          <w:tcPr>
            <w:tcW w:w="9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Issued and unvested, January 1, 2022</w:t>
            </w: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w:t>
            </w:r>
          </w:p>
        </w:tc>
        <w:tc>
          <w:tcPr>
            <w:tcW w:w="240" w:type="dxa"/>
            <w:vAlign w:val="bottom"/>
            <w:shd w:val="clear" w:color="auto" w:fill="CFF0FC"/>
          </w:tcPr>
          <w:p>
            <w:pPr>
              <w:spacing w:after="0"/>
              <w:rPr>
                <w:sz w:val="17"/>
                <w:szCs w:val="17"/>
                <w:color w:val="auto"/>
              </w:rPr>
            </w:pPr>
          </w:p>
        </w:tc>
      </w:tr>
      <w:tr>
        <w:trPr>
          <w:trHeight w:val="203"/>
        </w:trPr>
        <w:tc>
          <w:tcPr>
            <w:tcW w:w="910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3"/>
                <w:szCs w:val="23"/>
                <w:color w:val="auto"/>
                <w:vertAlign w:val="superscript"/>
              </w:rPr>
              <w:t>(1)</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40" w:type="dxa"/>
            <w:vAlign w:val="bottom"/>
          </w:tcPr>
          <w:p>
            <w:pPr>
              <w:spacing w:after="0"/>
              <w:rPr>
                <w:sz w:val="17"/>
                <w:szCs w:val="17"/>
                <w:color w:val="auto"/>
              </w:rPr>
            </w:pPr>
          </w:p>
        </w:tc>
      </w:tr>
      <w:tr>
        <w:trPr>
          <w:trHeight w:val="203"/>
        </w:trPr>
        <w:tc>
          <w:tcPr>
            <w:tcW w:w="910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Performance adjustment </w:t>
            </w:r>
            <w:r>
              <w:rPr>
                <w:rFonts w:ascii="Arial" w:cs="Arial" w:eastAsia="Arial" w:hAnsi="Arial"/>
                <w:sz w:val="23"/>
                <w:szCs w:val="23"/>
                <w:color w:val="auto"/>
                <w:vertAlign w:val="superscript"/>
              </w:rPr>
              <w:t>(2)</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7"/>
                <w:szCs w:val="17"/>
                <w:color w:val="auto"/>
              </w:rPr>
            </w:pPr>
          </w:p>
        </w:tc>
      </w:tr>
      <w:tr>
        <w:trPr>
          <w:trHeight w:val="203"/>
        </w:trPr>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2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(109 )</w:t>
            </w:r>
          </w:p>
        </w:tc>
      </w:tr>
      <w:tr>
        <w:trPr>
          <w:trHeight w:val="202"/>
        </w:trPr>
        <w:tc>
          <w:tcPr>
            <w:tcW w:w="9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(152 )</w:t>
            </w:r>
          </w:p>
        </w:tc>
      </w:tr>
      <w:tr>
        <w:trPr>
          <w:trHeight w:val="196"/>
        </w:trPr>
        <w:tc>
          <w:tcPr>
            <w:tcW w:w="91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Issued and unvested, March 31, 2022</w:t>
            </w:r>
          </w:p>
        </w:tc>
        <w:tc>
          <w:tcPr>
            <w:tcW w:w="1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w:t>
            </w:r>
          </w:p>
        </w:tc>
        <w:tc>
          <w:tcPr>
            <w:tcW w:w="240" w:type="dxa"/>
            <w:vAlign w:val="bottom"/>
            <w:tcBorders>
              <w:top w:val="single" w:sz="8" w:color="CFF0FC"/>
            </w:tcBorders>
          </w:tcPr>
          <w:p>
            <w:pPr>
              <w:spacing w:after="0"/>
              <w:rPr>
                <w:sz w:val="17"/>
                <w:szCs w:val="17"/>
                <w:color w:val="auto"/>
              </w:rPr>
            </w:pPr>
          </w:p>
        </w:tc>
      </w:tr>
      <w:tr>
        <w:trPr>
          <w:trHeight w:val="20"/>
        </w:trPr>
        <w:tc>
          <w:tcPr>
            <w:tcW w:w="9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-159385</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Grant activity for all PSUs disclosed at target</w:t>
      </w:r>
    </w:p>
    <w:p>
      <w:pPr>
        <w:spacing w:after="0" w:line="45" w:lineRule="exact"/>
        <w:rPr>
          <w:rFonts w:ascii="Arial" w:cs="Arial" w:eastAsia="Arial" w:hAnsi="Arial"/>
          <w:sz w:val="16"/>
          <w:szCs w:val="16"/>
          <w:color w:val="auto"/>
          <w:vertAlign w:val="superscript"/>
        </w:rPr>
      </w:pPr>
    </w:p>
    <w:p>
      <w:pPr>
        <w:ind w:left="140" w:hanging="132"/>
        <w:spacing w:after="0" w:line="222" w:lineRule="auto"/>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Reflects the performance adjustment based on actual performance measured at the end of the performance period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5, 2008, our Board of Directors approved a share repurchase program pursuant to which we are permitted to acquire up to $25,000 of our outstanding common shares. No shares were purchased and retired during the three months ended March 31, 2022 and 2021.</w:t>
      </w:r>
    </w:p>
    <w:p>
      <w:pPr>
        <w:spacing w:after="0" w:line="264"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costs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December 31, 2021, the Company's Board of Directors approved the termination of Stephen S. Tang, the Company’s former President and Chief Executive Officer, without cause under his existing employment agreement with the Company, with such termination effective as of March 31, 2022. On January 2, 2022, Dr. Tang and the Company entered into a transition agreement ("Transition Agreement") providing for the terms of the cessation of Dr. Tang’s employment with the Company, including the cessation of his service as President and Chief Executive Officer of the Company and as a member of the Board. Dr. Tang’s service to the Company in all capacities ended on March 31, 2022.</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Pursuant to the Transition Agreement, Dr. Tang received severance of $1,569,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 time-vesting restricted stock awards and PSUs totaling were forfeited on March 31, 2022. These payments, rights and benefits are substantially similar to the severance benefits contemplated by his previous employment agreement in respect to a termination without cause thereunder. In aggregate, we recognized a net $1,380 of expense in relation to Dr. Tang's stock compensation during the three months ended March 31, 2022.</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April 1, 2022 the Company's Board of Directors appointed Nancy J. Gagliano, M.D., M.B.A., to serve as the Company’s Interim Chief Executive Officer. In connection therewith, the Company and Dr. Gagliano entered into an employment agreement, dated as of March 21, 2022 (the “Employment Agreement”). Pursuant to the Employment Agreement, starting on April 1, 2022, Dr. Gagliano began receiving a monthly base salary of $56 per month. Additionally, she was granted a one-time award of fully vested shares of the Company’s common stock with 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jc w:val="both"/>
        <w:spacing w:after="0" w:line="270" w:lineRule="auto"/>
        <w:rPr>
          <w:sz w:val="20"/>
          <w:szCs w:val="20"/>
          <w:color w:val="auto"/>
        </w:rPr>
      </w:pPr>
      <w:r>
        <w:rPr>
          <w:rFonts w:ascii="Arial" w:cs="Arial" w:eastAsia="Arial" w:hAnsi="Arial"/>
          <w:sz w:val="17"/>
          <w:szCs w:val="17"/>
          <w:color w:val="auto"/>
        </w:rPr>
        <w:t>grant date fair value of $100 and a one-time restricted stock unit award with a grant date fair value of $670, which vest in twelve equal monthly installments (with the first installment vesting on April 30, 2022 and subsequent installments vesting on the last day of the following eleven calendar months), subject to Dr. Gagliano’s continued employment as Interim Chief Executive Officer through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three months ended March 31, 2022 and 2021, we recorded income tax expense of $3,936 and $6,529, respectively. Tax expense for 2022 includes $1,702 of withholding tax due on the repatriation of $65,000 of unremitted earnings from Canada to the United States. The remaining balance of $2,234 for the first quarter of 2022 primarily consisted of foreign tax expense. Income taxes for the first quarter of 2021 also primarily consisted of foreign tax expense.</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our total deferred tax liability as of March 31, 2022 and December 31, 2021 relate to the tax effects of the basis difference between the intangible assets acquired in our acquisitions for financial reporting and for tax purposes along with basis differences arising from accelerated tax depreciation of fixed assets.</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 2008, we established a full valuation allowance against our U.S. deferred tax asset. Management believes the full valuation allowance is still appropriate at both March 31, 2022 and December 31, 2021 since the facts and circumstances necessitating the allowance have not changed.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2"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DNAG filed a motion to dismiss Spectrum’s counterclaims in October 2021, which was denied by the Court on March 30, 2022. On April 8, 2022, the Court assigned a new judge to preside over the matter, which vacated all dates for the trial. We await new dates to be set by the Court.</w:t>
      </w:r>
    </w:p>
    <w:p>
      <w:pPr>
        <w:spacing w:after="0" w:line="322"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business consists of two segments: our “Diagnostics” business, which primarily consists of the development, manufacture, and sale of rapid diagnostic tests used to determine if a person has a variety of infectious diseases including, HIV, HCV, and COVID-19. The Diagnostic business also manufactures and sells oral fluid substance abuse testing products. Our “Molecular Solutions” business is operated by our wholly-owned subsidiaries DNAG, Diversigen, and Novosanis. This segment of the business consists of the development, manufacture, and sale of kits that are used to collect, stabilize, transport and store a biological sample of genetic material for molecular testing. In addition, our Molecular Solutions business provides microbiome laboratory services.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organized our operating segments according to the nature of the products included in those segments. The accounting policies of the segments are the same as those described in the summary of significant accounting policies (see Note 1). We evaluate performance of our operating segments based on revenue and operating income. We do not allocate interest income, interest expense, other income, other expenses or income taxes to our operating segments. Reportable segments have no inter-segment revenues and inter-segment expenses have been eliminated.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ind w:right="20"/>
        <w:spacing w:after="0" w:line="261" w:lineRule="auto"/>
        <w:rPr>
          <w:sz w:val="20"/>
          <w:szCs w:val="20"/>
          <w:color w:val="auto"/>
        </w:rPr>
      </w:pPr>
      <w:r>
        <w:rPr>
          <w:rFonts w:ascii="Arial" w:cs="Arial" w:eastAsia="Arial" w:hAnsi="Arial"/>
          <w:sz w:val="18"/>
          <w:szCs w:val="18"/>
          <w:color w:val="auto"/>
        </w:rPr>
        <w:t>The following table summarizes operating segment information for the three months ended March 31, 2022 and 2020, and asset information as of March 31,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Diagnostics</w:t>
            </w:r>
          </w:p>
        </w:tc>
        <w:tc>
          <w:tcPr>
            <w:tcW w:w="980" w:type="dxa"/>
            <w:vAlign w:val="bottom"/>
          </w:tcPr>
          <w:p>
            <w:pPr>
              <w:jc w:val="right"/>
              <w:ind w:right="79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38,310</w:t>
            </w:r>
          </w:p>
        </w:tc>
        <w:tc>
          <w:tcPr>
            <w:tcW w:w="260" w:type="dxa"/>
            <w:vAlign w:val="bottom"/>
          </w:tcPr>
          <w:p>
            <w:pPr>
              <w:spacing w:after="0"/>
              <w:rPr>
                <w:sz w:val="17"/>
                <w:szCs w:val="17"/>
                <w:color w:val="auto"/>
              </w:rPr>
            </w:pPr>
          </w:p>
        </w:tc>
        <w:tc>
          <w:tcPr>
            <w:tcW w:w="960" w:type="dxa"/>
            <w:vAlign w:val="bottom"/>
          </w:tcPr>
          <w:p>
            <w:pPr>
              <w:jc w:val="right"/>
              <w:ind w:right="77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14,546</w:t>
            </w:r>
          </w:p>
        </w:tc>
        <w:tc>
          <w:tcPr>
            <w:tcW w:w="26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Molecular Solutions</w:t>
            </w: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29,397</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44,036</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4"/>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67,707</w:t>
            </w: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ind w:right="77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58,582</w:t>
            </w:r>
          </w:p>
        </w:tc>
        <w:tc>
          <w:tcPr>
            <w:tcW w:w="26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Operating income (loss):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Diagnostics</w:t>
            </w:r>
          </w:p>
        </w:tc>
        <w:tc>
          <w:tcPr>
            <w:tcW w:w="980" w:type="dxa"/>
            <w:vAlign w:val="bottom"/>
          </w:tcPr>
          <w:p>
            <w:pPr>
              <w:jc w:val="right"/>
              <w:ind w:right="794"/>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1"/>
              </w:rPr>
              <w:t>(19,787 )</w:t>
            </w:r>
          </w:p>
        </w:tc>
        <w:tc>
          <w:tcPr>
            <w:tcW w:w="960" w:type="dxa"/>
            <w:vAlign w:val="bottom"/>
          </w:tcPr>
          <w:p>
            <w:pPr>
              <w:jc w:val="right"/>
              <w:ind w:right="772"/>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1"/>
              </w:rPr>
              <w:t>(12,118 )</w:t>
            </w: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Molecular Solutions</w:t>
            </w: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3,809</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22,540</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980" w:type="dxa"/>
            <w:vAlign w:val="bottom"/>
          </w:tcPr>
          <w:p>
            <w:pPr>
              <w:jc w:val="right"/>
              <w:ind w:right="794"/>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1"/>
              </w:rPr>
              <w:t>(15,978 )</w:t>
            </w:r>
          </w:p>
        </w:tc>
        <w:tc>
          <w:tcPr>
            <w:tcW w:w="960" w:type="dxa"/>
            <w:vAlign w:val="bottom"/>
          </w:tcPr>
          <w:p>
            <w:pPr>
              <w:jc w:val="right"/>
              <w:ind w:right="77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10,422</w:t>
            </w:r>
          </w:p>
        </w:tc>
        <w:tc>
          <w:tcPr>
            <w:tcW w:w="26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Diagnostics</w:t>
            </w:r>
          </w:p>
        </w:tc>
        <w:tc>
          <w:tcPr>
            <w:tcW w:w="980" w:type="dxa"/>
            <w:vAlign w:val="bottom"/>
          </w:tcPr>
          <w:p>
            <w:pPr>
              <w:jc w:val="right"/>
              <w:ind w:right="79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1,727</w:t>
            </w:r>
          </w:p>
        </w:tc>
        <w:tc>
          <w:tcPr>
            <w:tcW w:w="260" w:type="dxa"/>
            <w:vAlign w:val="bottom"/>
          </w:tcPr>
          <w:p>
            <w:pPr>
              <w:spacing w:after="0"/>
              <w:rPr>
                <w:sz w:val="17"/>
                <w:szCs w:val="17"/>
                <w:color w:val="auto"/>
              </w:rPr>
            </w:pPr>
          </w:p>
        </w:tc>
        <w:tc>
          <w:tcPr>
            <w:tcW w:w="960" w:type="dxa"/>
            <w:vAlign w:val="bottom"/>
          </w:tcPr>
          <w:p>
            <w:pPr>
              <w:jc w:val="right"/>
              <w:ind w:right="77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890</w:t>
            </w:r>
          </w:p>
        </w:tc>
        <w:tc>
          <w:tcPr>
            <w:tcW w:w="26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Molecular Solutions</w:t>
            </w: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1,955</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1,599</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4"/>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3,682</w:t>
            </w: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ind w:right="77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2,489</w:t>
            </w:r>
          </w:p>
        </w:tc>
        <w:tc>
          <w:tcPr>
            <w:tcW w:w="26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7"/>
                <w:szCs w:val="17"/>
                <w:color w:val="auto"/>
              </w:rPr>
              <w:t>Diagnostics</w:t>
            </w:r>
            <w:r>
              <w:rPr>
                <w:rFonts w:ascii="Arial" w:cs="Arial" w:eastAsia="Arial" w:hAnsi="Arial"/>
                <w:sz w:val="23"/>
                <w:szCs w:val="23"/>
                <w:color w:val="auto"/>
                <w:vertAlign w:val="superscript"/>
              </w:rPr>
              <w:t>(1)</w:t>
            </w:r>
          </w:p>
        </w:tc>
        <w:tc>
          <w:tcPr>
            <w:tcW w:w="980" w:type="dxa"/>
            <w:vAlign w:val="bottom"/>
          </w:tcPr>
          <w:p>
            <w:pPr>
              <w:jc w:val="right"/>
              <w:ind w:right="79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19,132</w:t>
            </w:r>
          </w:p>
        </w:tc>
        <w:tc>
          <w:tcPr>
            <w:tcW w:w="260" w:type="dxa"/>
            <w:vAlign w:val="bottom"/>
          </w:tcPr>
          <w:p>
            <w:pPr>
              <w:spacing w:after="0"/>
              <w:rPr>
                <w:sz w:val="17"/>
                <w:szCs w:val="17"/>
                <w:color w:val="auto"/>
              </w:rPr>
            </w:pPr>
          </w:p>
        </w:tc>
        <w:tc>
          <w:tcPr>
            <w:tcW w:w="960" w:type="dxa"/>
            <w:vAlign w:val="bottom"/>
          </w:tcPr>
          <w:p>
            <w:pPr>
              <w:jc w:val="right"/>
              <w:ind w:right="77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7,637</w:t>
            </w:r>
          </w:p>
        </w:tc>
        <w:tc>
          <w:tcPr>
            <w:tcW w:w="26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Molecular Solutions</w:t>
            </w: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1,087</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3,424</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4"/>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20,219</w:t>
            </w: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ind w:right="77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11,061</w:t>
            </w:r>
          </w:p>
        </w:tc>
        <w:tc>
          <w:tcPr>
            <w:tcW w:w="26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-1805305</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-1805305</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-1256665</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-1256665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-708025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-708025</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-159385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4"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Excludes $28,188 for purchases of property and equipment under government contracts for the three months ended March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3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0"/>
              <w:spacing w:after="0" w:line="202" w:lineRule="exact"/>
              <w:rPr>
                <w:sz w:val="20"/>
                <w:szCs w:val="20"/>
                <w:color w:val="auto"/>
              </w:rPr>
            </w:pPr>
            <w:r>
              <w:rPr>
                <w:rFonts w:ascii="Arial" w:cs="Arial" w:eastAsia="Arial" w:hAnsi="Arial"/>
                <w:sz w:val="18"/>
                <w:szCs w:val="18"/>
                <w:color w:val="auto"/>
              </w:rPr>
              <w:t>Diagnostics</w:t>
            </w:r>
          </w:p>
        </w:tc>
        <w:tc>
          <w:tcPr>
            <w:tcW w:w="4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245,961</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209,674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Molecular Solutions</w:t>
            </w:r>
          </w:p>
        </w:tc>
        <w:tc>
          <w:tcPr>
            <w:tcW w:w="37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189,571</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251,316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41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435,532</w:t>
            </w:r>
          </w:p>
        </w:tc>
        <w:tc>
          <w:tcPr>
            <w:tcW w:w="5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460,990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60" w:type="dxa"/>
            <w:vAlign w:val="bottom"/>
            <w:vMerge w:val="restart"/>
          </w:tcPr>
          <w:p>
            <w:pPr>
              <w:jc w:val="right"/>
              <w:ind w:right="1550"/>
              <w:spacing w:after="0"/>
              <w:rPr>
                <w:sz w:val="20"/>
                <w:szCs w:val="20"/>
                <w:color w:val="auto"/>
              </w:rPr>
            </w:pPr>
            <w:r>
              <w:rPr>
                <w:rFonts w:ascii="Arial" w:cs="Arial" w:eastAsia="Arial" w:hAnsi="Arial"/>
                <w:sz w:val="18"/>
                <w:szCs w:val="18"/>
                <w:color w:val="auto"/>
              </w:rPr>
              <w:t>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-630555</wp:posOffset>
            </wp:positionV>
            <wp:extent cx="431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-630555</wp:posOffset>
            </wp:positionV>
            <wp:extent cx="342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Statements below regarding future events or performance are “forward-looking statements” within the meaning of the Federal securities laws. These may include statements about our expected revenues, earnings, losses, expenses, or other financial performance, future product performance or development, expected regulatory filings and approvals, planned business transactions, expected manufacturing performance,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72" w:lineRule="exact"/>
        <w:rPr>
          <w:sz w:val="20"/>
          <w:szCs w:val="20"/>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risk that our exploration of strategic alternatives may not result in any definitive transaction or enhance stockholder value and may create a distraction or uncertainty that may adversely affect operating results, business or investor perceptions.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diversion of management’s attention from our ongoing business and regular business responsibilities and due to our exploration of strategic alternatives;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market and sell products, whether through our internal, direct sales force or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fulfill our commitments under our contracts with the U.S. government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 xml:space="preserve"> COVID-19 Rapid Tests;</w:t>
      </w:r>
    </w:p>
    <w:p>
      <w:pPr>
        <w:spacing w:after="0" w:line="4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impact of significant customer concentration in the genomics business;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successfully scale-up our manufacturing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COVID-19 Rapid Tests;</w:t>
      </w:r>
    </w:p>
    <w:p>
      <w:pPr>
        <w:spacing w:after="0" w:line="43" w:lineRule="exact"/>
        <w:rPr>
          <w:rFonts w:ascii="Arial" w:cs="Arial" w:eastAsia="Arial" w:hAnsi="Arial"/>
          <w:sz w:val="18"/>
          <w:szCs w:val="18"/>
          <w:color w:val="auto"/>
        </w:rPr>
      </w:pPr>
    </w:p>
    <w:p>
      <w:pPr>
        <w:ind w:left="1020" w:hanging="503"/>
        <w:spacing w:after="0" w:line="25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failure of distributors or other customers to meet purchase forecasts, historic purchase levels or minimum purchase requirements for our products;</w:t>
      </w:r>
    </w:p>
    <w:p>
      <w:pPr>
        <w:spacing w:after="0" w:line="7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our ability to manufacture products in accordance with applicable specifications, performance standards and quality requirements;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obtain, and timing and cost of obtaining, necessary regulatory approvals for new products or new indications or applications for existing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comply with applicable regulatory requirements;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effectively resolve warning letters, audit observations and other findings or comments from the U.S. Food and Drug Administration (or “FDA”), or other regulators;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on our business and labor 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COVID-19 on our supply chain;</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successfully develop new products, validate the expanded use of existing collector products, receive necessary regulatory approvals and authorizations, transport work-in-process goods and finished products and commercialize such products for COVID-19 testing;</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meet increased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diversify our customer base;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replacing distributors on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inventory levels at distributors and other customers;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achieve our financial and strategic objectives and continue to increase our revenues, including the ability to expand international sales;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competitors, competing products and technology changes on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reduction or deferral of public funding available to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competition from new or better technology or lower cost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develop, commercialize and market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market acceptance of oral fluid or urine testing, collection or other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market acceptance and uptake of microbiome informatics, microbial genetics technology and related analytics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jc w:val="both"/>
        <w:ind w:left="1020" w:hanging="503"/>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or “CDC” or other agencies; ability to fund research and development and other products and operations;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new or existing product distribution channels;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reliance on sole supply sources for critical products and components;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availability of related products produced by third parties or products required for use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impact of contracting with the U.S. government on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impact of negative economic conditions on our business; including as a result of hostilities or war;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maintain sustained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increase our gross margins;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ability to utilize net operating loss carry forwards or other deferred tax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volatility of our stock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uncertainty relating to patent protection and potential patent infringement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uncertainty and costs of litigation relating to patents and other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availability of licenses to patents or other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ability to enter into international manufacturing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obstacles to international marketing and manufacturing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sell products internationally, including the impact of changes in international funding sources and testing algorithms;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adverse movements in foreign currency exchange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loss or impairment of sources of capital;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exposure to product liability and other types of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changes in international, federal or state laws and regulations;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customer consolidations and inventory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equipment failures and ability to obtain needed raw materials and components;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impact of terrorist attacks, civil unrest, hostilities and war;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general political, business and economic conditions.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These and other factors that could affect our results are discussed more fully in our Securities and Exchange Commission (“SEC”) filings, including our registration statements, Annual Report on Form 10-K for the year ended December 31, 2021,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w:t>
      </w:r>
      <w:r>
        <w:rPr>
          <w:rFonts w:ascii="Arial" w:cs="Arial" w:eastAsia="Arial" w:hAnsi="Arial"/>
          <w:sz w:val="18"/>
          <w:szCs w:val="18"/>
          <w:b w:val="1"/>
          <w:bCs w:val="1"/>
          <w:i w:val="1"/>
          <w:iCs w:val="1"/>
          <w:color w:val="auto"/>
        </w:rPr>
        <w:t>.</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8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discussion should be read in conjunction with our consolidated financial statements contained herein and the notes thereto, along with the Section entitled “Critical Accounting Policies and Estimates,” set forth below.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Overview and Business Segments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overall goal of our Company is to empower the global community to improve health and wellness by providing access to accurate essential information. Our business consists of two segments: our “Diagnostics” segment and our “Molecular Solutions” segment.</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simple, easy to use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in the case of the HIV product, as a self-test to individuals in a number of other countries. Through our Diagnostics business we are also developing and commercializing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 We began recording revenues on the sales of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Tests during the third quarter of 2021.</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E101A"/>
        </w:rPr>
        <w:t>Our Molecular Solutions business is operated by our wholly-owned subsidiaries, DNA Genotek, Inc. ("DNAG"), Diversigen, Inc. ('Diversigen"), and Novosanis NV ("Novosanis"). Our Molecular Solutions business sells its products and services directly to its customers, primarily through its internal sales force in the U.S. domestic market, and in many international markets, also through distributors. Our products primarily consist of collection kits and services used by clinical laboratories, direct-to-consumer laboratories, researchers, pharmaceutical companies, and animal health service and product providers. Most of our Molecular Solutions revenues are derived from product sales to commercial customers and sales into the academic and research markets. A significant portion of our total sales is from repeat customers in both markets. Molecular Solutions customers span the disease risk management, diagnostics, pharmaceutical, biotech, companion animal and environmental markets.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0E101A"/>
        </w:rPr>
        <w:t>We have expanded the market focus of our Molecular Solutions business by selling existing collection products for use with COVID-19 tests. We have also developed new collection devices for the emerging microbiome market, which focuses on studying microbes and their effect on human health. Our primary product offering in the microbiome market, OMNIgene® • GUT, is focused on the human gut microbiome (microbes living in human stool). In 2021, the OMNIgene® • GUT collection device (OMD-200) was granted “FDA De Novo classification for the preservation and stabilization of the relative abundance of microbial nucleic acids in clinical samples.” We leverage our existing sales force and global research connections to engage microbiome customers worldwide to establish ourselves among the leaders in ease-of-collection, stabilization, and transport of this challenging sample type.</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0E101A"/>
        </w:rPr>
        <w:t>Our Molecular Solutions segment includes the Colli-Pee® device, developed and sold by our Novosanis subsidiary, for the volumetric collection of first void urine. This product is in its early stages, and initial sales are occurring primarily through distributors and collaborations in the liquid biopsy and sexually transmitted disease markets. Our Molecular Solutions business also offers laboratory and analytical services for both genomics and microbiome customers to more fully meet their needs. These services are primarily provided to pharmaceutical, biotech companies, and research institutions.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COVID-19 continues to impact the economy of the United States and other countries around the world, we are committed to being a part of the response to this unprecedented challenge. We have made substantial investments to expand our operations in order to manufacture product used for COVID-19 testing in the United States.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Due to COVID-19, we have experienced volatility, including periods of material decline compared to prior year periods in testing volume of our base business (which excludes COVID-19 testing) and periods of significant demand for COVID-19 testing product, with demand generally fluctuating in line with changes in prevalence of the virus and related variants. It is difficult for us to predict the duration or magnitude of the outbreak’s effects on our business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of Strategic Alternatives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COVID-19 pandemic has provided us an opportunity to fundamentally transform into a higher growth, more innovative and efficient organization with broader customer reach, both within and outside the United States. We believe we are well positioned to address current public health challenges and capitalize on diagnostic trends in the market and enhance its operational and competitive profile. Against this backdrop, our Board of Directors is exploring and evaluating a broad range of strategic alternatives with the goal of maximizing value for stockholders.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8"/>
          <w:szCs w:val="18"/>
          <w:color w:val="auto"/>
        </w:rPr>
        <w:t>There can be no assurance that the exploration of strategic alternatives will result in any agreements or transactions, or that, if completed, any agreements or transactions will be successful or on attractive terms.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Recruitment</w:t>
      </w:r>
    </w:p>
    <w:p>
      <w:pPr>
        <w:spacing w:after="0" w:line="16"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We have hired an external search firm and are in the process of looking for a permanent full time Chief Executive Officer. Nancy J. Gagliano has been appointed as interim President and CEO by our Board of Directors but is not a candidate for the full-time position.</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During the three months ended March 31, 2022, our consolidated net revenues increased 16% to $67.7 million, compared to $58.6 million for the three months ended March 31, 2021. Net product and services revenues during the three months ended March 31, 2022 increased 15% when compared to the same period of 2021, largely due to the inclusion of $22.1 million of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revenues. We began selling this product in August of 2021 resulting in no comparable revenues in the first quarter of 2021. Also contributing to the increase in revenues was higher genomics sales and increased international sales of our HIV product. Declines in sales of our molecular sample collection kits for COVID-19 testing and in domestic sales of our HIV products partially offset these positive drivers of revenue. Other revenues for the three months ended March 31, 2022 were $2.5 million compared to $2.0 million in the same period of 2021. This increase was largely due to research and development funding for 510(k) clearance and CLIA waiver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partially offset by lower royalty income.</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consolidated net loss for the three months ended March 31, 2022 was $20.0 million, or $(0.28) per share on a fully diluted basis, compared to consolidated net income of $3.8 million, or $0.05 per share on a fully diluted basis, for the three months ended March 31, 2021. Results for the three months ended March 31, 2022 were impacted by lower gross margins rates caused by manufacturing inefficiencies and nonrecurring costs associated with our strategic alternatives process and our CEO transition.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Cash used in operating activities during the three months ended March 31, 2022 was $35.8 million. Cash used in operating activities during the three months ended March 31, 2021 was $4.4 million. During the first quarter of 2022, our cash flow used in operating activities increased significantly as a result of our net loss, increased receivables due from the U.S government for end of quarter shipments, and increased investment in building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inventory levels to support expected demand. As of March 31, 2022, we had $112.2 million in cash, cash equivalents and available-for-sale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March 31, 2021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2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during the three months ended March 31, 2022 and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415"/>
              <w:spacing w:after="0"/>
              <w:rPr>
                <w:sz w:val="20"/>
                <w:szCs w:val="20"/>
                <w:color w:val="auto"/>
              </w:rPr>
            </w:pPr>
            <w:r>
              <w:rPr>
                <w:rFonts w:ascii="Arial" w:cs="Arial" w:eastAsia="Arial" w:hAnsi="Arial"/>
                <w:sz w:val="14"/>
                <w:szCs w:val="14"/>
                <w:b w:val="1"/>
                <w:bCs w:val="1"/>
                <w:color w:val="auto"/>
              </w:rPr>
              <w:t>For the Three Months Ended March 31,</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Diagnostics</w:t>
            </w: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36,396</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13,333</w:t>
            </w:r>
          </w:p>
        </w:tc>
        <w:tc>
          <w:tcPr>
            <w:tcW w:w="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Molecular Solutions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28,840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43,246</w:t>
            </w:r>
          </w:p>
        </w:tc>
        <w:tc>
          <w:tcPr>
            <w:tcW w:w="1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(33 )</w:t>
            </w:r>
          </w:p>
        </w:tc>
        <w:tc>
          <w:tcPr>
            <w:tcW w:w="2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r>
      <w:tr>
        <w:trPr>
          <w:trHeight w:val="196"/>
        </w:trPr>
        <w:tc>
          <w:tcPr>
            <w:tcW w:w="49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65,236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56,579</w:t>
            </w:r>
          </w:p>
        </w:tc>
        <w:tc>
          <w:tcPr>
            <w:tcW w:w="1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2,003</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r>
      <w:tr>
        <w:trPr>
          <w:trHeight w:val="236"/>
        </w:trPr>
        <w:tc>
          <w:tcPr>
            <w:tcW w:w="494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67,707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58,582</w:t>
            </w:r>
          </w:p>
        </w:tc>
        <w:tc>
          <w:tcPr>
            <w:tcW w:w="11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340" w:type="dxa"/>
            <w:vAlign w:val="bottom"/>
            <w:tcBorders>
              <w:bottom w:val="single" w:sz="8" w:color="CFF0FC"/>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Consolidated net product and services revenues increased 15% to $65.2 million for the three months ended March 31, 2022 from $56.6 million for the three months ended March 31, 2021. </w:t>
      </w:r>
      <w:r>
        <w:rPr>
          <w:rFonts w:ascii="Arial" w:cs="Arial" w:eastAsia="Arial" w:hAnsi="Arial"/>
          <w:sz w:val="17"/>
          <w:szCs w:val="17"/>
          <w:color w:val="212529"/>
        </w:rPr>
        <w:t>The increase in revenues is</w:t>
      </w:r>
      <w:r>
        <w:rPr>
          <w:rFonts w:ascii="Arial" w:cs="Arial" w:eastAsia="Arial" w:hAnsi="Arial"/>
          <w:sz w:val="17"/>
          <w:szCs w:val="17"/>
          <w:color w:val="auto"/>
        </w:rPr>
        <w:t xml:space="preserve"> largely due to the inclusion of $22.1 million of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revenues. We began selling this product in August of 2021 resulting in no comparable revenues in the first quarter of 2021. Also contributing to the increase in revenues was higher genomics sales and increased international sales of our HIV product. Declines in sales of our molecular sample collection kits for COVID-19 testing and in domestic sales of our HIV products partially offset these positive drivers of revenue. Other revenues for the three months ended March 31, 2022 increased 23% to $2.5 million from $2.0 million for the three months ended March 31, 2021 due to research and development funding for 510(k) clearance and CLIA waiver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partially offset by lower royalty income.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$9.7 million and $9.5 million, or 14% and 16% of total net revenues, for the three months ended March 31, 2022 and 2021, respectively. Because the majority of our international sales are denominated in U.S. dollars, the impact of fluctuating foreign currency exchange rates was not material to our total consolidated net revenues.</w:t>
      </w:r>
    </w:p>
    <w:p>
      <w:pPr>
        <w:spacing w:after="0" w:line="268" w:lineRule="exact"/>
        <w:rPr>
          <w:sz w:val="20"/>
          <w:szCs w:val="20"/>
          <w:color w:val="auto"/>
        </w:rPr>
      </w:pPr>
    </w:p>
    <w:p>
      <w:pPr>
        <w:jc w:val="right"/>
        <w:ind w:right="924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42" w:lineRule="exact"/>
        <w:rPr>
          <w:sz w:val="20"/>
          <w:szCs w:val="20"/>
          <w:color w:val="auto"/>
        </w:rPr>
      </w:pPr>
    </w:p>
    <w:p>
      <w:pPr>
        <w:jc w:val="right"/>
        <w:ind w:right="920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three months ended March 31,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For the Three Months Ended March 31,</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Dollars</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88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3"/>
                <w:szCs w:val="13"/>
                <w:color w:val="auto"/>
              </w:rPr>
            </w:pPr>
          </w:p>
        </w:tc>
        <w:tc>
          <w:tcPr>
            <w:tcW w:w="100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9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Infectious disease testing:</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COVID-19</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22,136</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NM %</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7"/>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96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11,700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11,371</w:t>
            </w:r>
          </w:p>
        </w:tc>
        <w:tc>
          <w:tcPr>
            <w:tcW w:w="10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infectious disease testing</w:t>
            </w: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33,836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11,371</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198</w:t>
            </w:r>
          </w:p>
        </w:tc>
        <w:tc>
          <w:tcPr>
            <w:tcW w:w="3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3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r>
      <w:tr>
        <w:trPr>
          <w:trHeight w:val="203"/>
        </w:trPr>
        <w:tc>
          <w:tcPr>
            <w:tcW w:w="498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Substance abuse testing</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1,962</w:t>
            </w:r>
          </w:p>
        </w:tc>
        <w:tc>
          <w:tcPr>
            <w:tcW w:w="10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3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Net product revenues</w:t>
            </w: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36,396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13,333</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173</w:t>
            </w:r>
          </w:p>
        </w:tc>
        <w:tc>
          <w:tcPr>
            <w:tcW w:w="3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3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20" w:type="dxa"/>
            <w:vAlign w:val="bottom"/>
          </w:tcPr>
          <w:p>
            <w:pPr>
              <w:spacing w:after="0"/>
              <w:rPr>
                <w:sz w:val="17"/>
                <w:szCs w:val="17"/>
                <w:color w:val="auto"/>
              </w:rPr>
            </w:pPr>
          </w:p>
        </w:tc>
      </w:tr>
      <w:tr>
        <w:trPr>
          <w:trHeight w:val="203"/>
        </w:trPr>
        <w:tc>
          <w:tcPr>
            <w:tcW w:w="498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1,213</w:t>
            </w:r>
          </w:p>
        </w:tc>
        <w:tc>
          <w:tcPr>
            <w:tcW w:w="10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3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6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38,310</w:t>
            </w:r>
          </w:p>
        </w:tc>
        <w:tc>
          <w:tcPr>
            <w:tcW w:w="4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14,546</w:t>
            </w:r>
          </w:p>
        </w:tc>
        <w:tc>
          <w:tcPr>
            <w:tcW w:w="10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163</w:t>
            </w:r>
          </w:p>
        </w:tc>
        <w:tc>
          <w:tcPr>
            <w:tcW w:w="3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340" w:type="dxa"/>
            <w:vAlign w:val="bottom"/>
          </w:tcPr>
          <w:p>
            <w:pPr>
              <w:jc w:val="center"/>
              <w:spacing w:after="0" w:line="182" w:lineRule="exact"/>
              <w:rPr>
                <w:sz w:val="20"/>
                <w:szCs w:val="20"/>
                <w:color w:val="auto"/>
              </w:rPr>
            </w:pPr>
            <w:r>
              <w:rPr>
                <w:rFonts w:ascii="Arial" w:cs="Arial" w:eastAsia="Arial" w:hAnsi="Arial"/>
                <w:sz w:val="18"/>
                <w:szCs w:val="18"/>
                <w:color w:val="auto"/>
                <w:w w:val="87"/>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-690880</wp:posOffset>
            </wp:positionV>
            <wp:extent cx="431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-690880</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-690880</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-690880</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-424815</wp:posOffset>
            </wp:positionV>
            <wp:extent cx="431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-424815</wp:posOffset>
            </wp:positionV>
            <wp:extent cx="431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-424815</wp:posOffset>
            </wp:positionV>
            <wp:extent cx="342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-424815</wp:posOffset>
            </wp:positionV>
            <wp:extent cx="342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-159385</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-159385</wp:posOffset>
            </wp:positionV>
            <wp:extent cx="431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342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342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216"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COVID-19 revenues were $22.1 million for the three months ended March 31, 2022, driven by sales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We first began selling this product in August of 2021 and there are no comparable sales in the first quarter of 2021.</w:t>
      </w:r>
    </w:p>
    <w:p>
      <w:pPr>
        <w:spacing w:after="0" w:line="8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Sales to the other infectious disease testing markets increased 3% to $11.7 million for the three months ended March 31, 2022 from $11.4 million for the three months ended March 31, 2021. This increase resulted from higher 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world-wide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 sales, partially offset by lower 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w:t>
      </w:r>
    </w:p>
    <w:p>
      <w:pPr>
        <w:spacing w:after="0" w:line="99"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three months ended March 31, 2022 and 2021.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65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Domestic HIV</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5,293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 %</w:t>
            </w:r>
          </w:p>
        </w:tc>
      </w:tr>
      <w:tr>
        <w:trPr>
          <w:trHeight w:val="203"/>
        </w:trPr>
        <w:tc>
          <w:tcPr>
            <w:tcW w:w="6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International HIV</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4,401</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650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Net HIV revenues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8,166</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8,779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(7 )</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Domestic HCV</w:t>
            </w:r>
          </w:p>
        </w:tc>
        <w:tc>
          <w:tcPr>
            <w:tcW w:w="3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2,036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1,182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52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 HCV</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1,221</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Net HCV revenues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3,257</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6"/>
        </w:trPr>
        <w:tc>
          <w:tcPr>
            <w:tcW w:w="652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Net OraQuick® revenues</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11,423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11,145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-561975</wp:posOffset>
            </wp:positionV>
            <wp:extent cx="768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-561975</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-296545</wp:posOffset>
            </wp:positionV>
            <wp:extent cx="768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-296545</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Domestic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sales decreased 29% to $3.8 million for the three months ended March 31, 2022 from $5.3 million for the three months ended March 31, 2021, primarily as a result of a large first quarter 2021 order of our OraQuick® In-Home HIV test shipped to the Center for Disease Control and Prevention ("CDC") and used in an initiative to drive increased in-home HIV testing. A similar order did not occur in the first quarter of 2022.</w:t>
      </w:r>
    </w:p>
    <w:p>
      <w:pPr>
        <w:spacing w:after="0" w:line="17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increased 26% to $4.4 million for the three months ended March 31, 2022 from $3.5 million for the three months ended March 31, 2021 due to customer ordering patterns and increased sales into Africa as the COVID-19 impact lessens. These increases to revenues were partially offset by the absence of the Gates Foundation subsidy which expired in June 2021 and is not included in revenues in the first quarter of 2022.</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Domestic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HCV sales increased 72% to $2.0 million for the three months ended March 31, 2022 from $1.2 million for the three months ended March 31, 2021, driven by the timing of certain orders which occurred in the first quarter of 2022, compared to the second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remained largely flat at $1.2 million for both the three months ended March 31, 2022 and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Substance Abuse Testing Market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to the substance abuse testing assessment market increased 30% to $2.6 million for the three months ended March 31, 2022 compared to $2.0 million for the three months ended March 31, 2021 due to market share gains.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08"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Other revenues for the three months ended March 31, 2022 increased to $1.9 million from $1.2 million for the three months ended March 31, 2021, due to research and development funding for 510(k) clearance and CLIA waiver of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partially offset by lower royalty income.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a breakdown of our total net revenues (dollars in thousands) during the three months ended March 31, 2022 and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65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Genomics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15,093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Microbiome</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1,751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r>
      <w:tr>
        <w:trPr>
          <w:trHeight w:val="203"/>
        </w:trPr>
        <w:tc>
          <w:tcPr>
            <w:tcW w:w="65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COVID-19</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27,972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(68 )</w:t>
            </w:r>
          </w:p>
        </w:tc>
      </w:tr>
      <w:tr>
        <w:trPr>
          <w:trHeight w:val="202"/>
        </w:trPr>
        <w:tc>
          <w:tcPr>
            <w:tcW w:w="6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Laboratory services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1,733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2,497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(31 )</w:t>
            </w:r>
          </w:p>
        </w:tc>
      </w:tr>
      <w:tr>
        <w:trPr>
          <w:trHeight w:val="203"/>
        </w:trPr>
        <w:tc>
          <w:tcPr>
            <w:tcW w:w="652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product and service revenues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1,128</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Net molecular product and services revenues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28,840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43,246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(33 )</w:t>
            </w:r>
          </w:p>
        </w:tc>
      </w:tr>
      <w:tr>
        <w:trPr>
          <w:trHeight w:val="203"/>
        </w:trPr>
        <w:tc>
          <w:tcPr>
            <w:tcW w:w="652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557</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(29 )</w:t>
            </w:r>
          </w:p>
        </w:tc>
      </w:tr>
      <w:tr>
        <w:trPr>
          <w:trHeight w:val="196"/>
        </w:trPr>
        <w:tc>
          <w:tcPr>
            <w:tcW w:w="20" w:type="dxa"/>
            <w:vAlign w:val="bottom"/>
          </w:tcPr>
          <w:p>
            <w:pPr>
              <w:spacing w:after="0"/>
              <w:rPr>
                <w:sz w:val="17"/>
                <w:szCs w:val="17"/>
                <w:color w:val="auto"/>
              </w:rPr>
            </w:pPr>
          </w:p>
        </w:tc>
        <w:tc>
          <w:tcPr>
            <w:tcW w:w="65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Net molecular revenues</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29,397</w:t>
            </w:r>
          </w:p>
        </w:tc>
        <w:tc>
          <w:tcPr>
            <w:tcW w:w="58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44,036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(33 ) %</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-424815</wp:posOffset>
            </wp:positionV>
            <wp:extent cx="768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-424815</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768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Sales of our genomics products increased 40% to $15.1 million for the three months ended March 31, 2022, compared to $10.8 million for the three months ended March 31, 2021, as result of increased sales to several commercial customers due to customer ordering patterns, organic growth, and a return to pre-COVID-19 ordering levels.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Microbiome kit sales increased 14% to $2.0 million for the three months ended March 31, 2022 compared to $1.8 million for the three months ended March 31, 2021, as the company has expanded the number of customers and clinical research studies it is supporting.</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Sales of our molecular sample collection kits for COVID-19 testing decreased 68% to $8.9 million for the three months ended March 31, 2022 compared to $28.0 million during the comparable period in 2021 due to lower COVID-19 PCR testing sales to our core customers, driven by the availability of antigen tests, the wider availability of vaccines and high inventory levels held by some of those customers.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Laboratory services revenues declined 31% to $1.7 million for the three months ended March 31, 2022 compared to $2.5 million for the three months ended March 31, 2021 as the business continues to be impacted by delays in customer clinical trials due to COVID-19.</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product and service revenues increased 442% to $1.1 million for the three months ended March 31, 2022 compared to $208,000 for the three months ended March 31, 2021 largely due to increased sales by our Novosanis subsidiary.</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revenues for the three months ended March 31, 2022 decreased 29% to $557,000 from $790,000 for the three months ended March 31, 2021, largely as a result of lower royalty income received under a litigation settlement agreement.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1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Consolidated gross profit margins were 36% for the three months ended March 31, 2022 compared to 65% for the three months ended March 31, 2021. The decrease in gross profit margins was primarily due to a less favorable product mix, increased scrap expense, lower absorption of labor, and no subsidies for the international sale of our HIV Self-Test under the charitable support agreement with the Gates Foundation which expired in June 2021.</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Consolidated operating loss for the three months ended March 31, 2022 was $16.0 million, a $26.4 million decrease from the $10.4 million operating income reported for the three months ended March 31, 2021. </w:t>
      </w:r>
      <w:r>
        <w:rPr>
          <w:rFonts w:ascii="Arial" w:cs="Arial" w:eastAsia="Arial" w:hAnsi="Arial"/>
          <w:sz w:val="18"/>
          <w:szCs w:val="18"/>
          <w:color w:val="212529"/>
        </w:rPr>
        <w:t>Results</w:t>
      </w:r>
      <w:r>
        <w:rPr>
          <w:rFonts w:ascii="Arial" w:cs="Arial" w:eastAsia="Arial" w:hAnsi="Arial"/>
          <w:sz w:val="18"/>
          <w:szCs w:val="18"/>
          <w:color w:val="auto"/>
        </w:rPr>
        <w:t xml:space="preserve"> for the three months ended March 31, 2022 were negatively impacted by the lower gross profit margin described above coupled with an increase in operating expenses as described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the U.S. and Canadian entities.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gross profit margin for the Diagnostics segment was 19% for the three months ended March 31, 2022 compared to 43% for the three months ended March 31, 2021. This decrease is due to inefficiencies in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manufacturing process including high scrap rates at the beginning of 2022 and under-absorption of labor costs as well a less favorable product mix and the June 2021 expiration of subsidies under the support agreement with the Gates Foundation. The inefficiencies in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manufacturing process were largely corrected by the end of the first quarter of 2022.</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expenses decreased 16% to $5.5 million for the three months ended March 31, 2022 compared to $6.6 million for the three months ended March 31, 2021 largely due to clinical study activities in the first quarter of 2021 related to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rapid test which did not repeat in the first quarter of 2022 as we received EUA authorization in June 2021. Sales and marketing expenses increased 30% to $8.1 million for three months ended March 31, 2022 from $6.2 million for the three months ended March 31, 2021 due to an increase in spend associated with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test, increased staffing costs associated with higher head count, and increased travel expenses as travel has resumed as COVID-19 restrictions have been lifted. These increases in spend were partially offset by a decline in reserves for uncollectible accounts. General and administrative expenses increased 112% to $13.7 million for the three months ended March 31, 2022 from $6.4 million for the three months ended March 31, 2021 largely due to increased consulting costs, higher stock compensation expense associated with accelerated vesting of shares under our former CEO's employment agreement, increased legal costs, higher staffing costs associated with increased head count, and higher recruitment expense largely associated with our CEO search.</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All of the above contributed to the Diagnostics segment’s operating loss of $19.8 million for the three months ended March 31, 2022, which included non-cash charges of $1.7 million for depreciation and amortization and $3.1 million for stock-based compensation. The Diagnostics segment operating loss also included a non-cash pre-tax benefit of $36,000 associated with the change in the fair value of acquisition-related contingent consideration. This is in comparison to an $806,000 benefit recorded in the first quarter of 2021.</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gross profit margins for the Molecular Solutions segment was 58% for the three months ended March 31, 2022 compared to 73% for the three months ended March 31, 2021. This decrease was due to a less favorable product mix.</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expenses increased 20% to $2.9 million for the three months ended March 31, 2022 from $2.4 million for the three months ended March 31, 2021 due to higher staffing costs. Sales and marketing expenses increased 39% to $4.6 million for the three months ended March 31, 2022 from $3.3 million for the three months ended March 31, 2021 due to higher staffing costs related to increased head count, increased consulting expense associated with business strategy planning, and an increase in our reserve for uncollectible accounts. These increases in expenses were partially offset by lower amortization expense associated with an intangible asset that was fully amortized at the end of 2021. General and administrative expenses increased 47% to $5.5 million for the three months ended March 31, 2022 from $3.7 million for the three months ended March 31, 2021 due to increased legal fees and staffing costs.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of the above contributed to the Molecular Solutions segment’s operating income of $3.8 million for the three months ended March 31, 2022, which included $2.0 million for depreciation and amortization and $396,000 for stock-based compensation.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believe the full valuation allowance established against our total U.S. deferred tax asset is appropriate as the facts and circumstances necessitating the allowance have not changed. For the three months ended March 31, 2022, we recorded U.S. state tax expense of $216,000 compared to $169,000 of state income tax expense for the three months ended March 31, 2021. Additionally, in the first quarter of 2022, we recorded approximately $1.7 million of withholding taxes due to the Canada Revenue Agency associated with our repatriation of $65.0 million of cash from Canada to the United States. For the three months ended March 31, 2022, we recorded foreign tax expense of $2.0 million compared to foreign tax expense of $6.4 million for the three months ended March 31, 2021. This overall decrease in foreign tax expense is largely a result of the decrease in income before taxes generated by our Canadian subsidiary.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399"/>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277"/>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r>
      <w:tr>
        <w:trPr>
          <w:trHeight w:val="185"/>
        </w:trPr>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4"/>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70,721</w:t>
            </w:r>
          </w:p>
        </w:tc>
        <w:tc>
          <w:tcPr>
            <w:tcW w:w="6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116,762</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Available for sale securities</w:t>
            </w: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41,503</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53,288</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Working capital</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212,777</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220,367</w:t>
            </w:r>
          </w:p>
        </w:tc>
        <w:tc>
          <w:tcPr>
            <w:tcW w:w="10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and available-for-sale securities decreased to $112.2 million at March 31, 2022 from $170.1 million at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decreased to $212.8 million at March 31, 2022 from $220.4 million at December 31, 2021.</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three months ended March 31, 2022, net cash used in operating activities was $35.8 million. Our net loss of $20.0 million included non-cash charges for depreciation and amortization expense of $3.7 million, stock-based compensation expense of $3.5 million, an inventory reserve of $1.1 million, and other non-cash expense of $1.5 million. Cash used to fund our working capital accounts included an increase in accounts receivable of $15.3 million largely associated with end of the quarter shipments of product to the U.S. government, an increase in inventory of $9.4 million to meet anticipated demand to support COVD-19 testing programs, and a $4.6 million decrease in accrued expenses and other liabilities largely due to payment of our 2021 bonuses. Offsetting these uses of cash was a $4.4 million increase in accounts payable due to the timing of invoices received and payments made.</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cash used in investing activities was $9.9 million for the three months ended March 31, 2022, which reflects proceeds from the maturities and redemptions of investments of $12.1 million. This was offset by $20.2 million to acquire property and equipment largely to increase our manufacturing capacity. Cash used in investing activities also reflects net cash used of $1.8 million to build additional manufacturing capacity as required by our $109 million agreement with the U.S. Department of Defense (the “DOD”), which is expected to be reimbursed in the second quarter of 2022.</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financing activities was $1.4 million for the three months ended March 31, 2022, which is largely comprised of $1.0 million used for the repurchase of common stock to satisfy withholding taxes related to the vesting of restricted shares awarded to our employees.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expect current balances of cash and cash equivalents and available-for-sale securities to be sufficient to fund our current and foreseeable operating and capital needs. Our cash requirements, however, may vary materially from those now planned due to many factors, including, but not limited to, the timing of reimbursement under our $109 million DOD contract, the scope and timing of future strategic acquisitions, the progress of our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$72.7 million or 65% of our $112.2 million in cash, cash equivalents and available-for-sale securities belongs to our Canadian subsidiary. In the first quarter of 2022, we repatriated $65.0 million of cash from Canada into the United States and incurred approximately $1.7 million of Canadian withholding tax. Further repatriation of cash from Canada into the United States could have additional adverse tax consequences. It is our intention going forward to continue to permanently reinvest the historical undistributed earnings of our foreign subsidiaries.</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summary of our obligations to make future payments under contracts existing at December 31, 2021 is included in Item 7, Management’s Discussion and Analysis of Financial Condition and Results of Operations, of our Annual Report on Form 10-K for the year ended December 31, 2021. As of March 31, 2022, there were no significant changes to this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we evaluate our judgments and estimates, including those related to the bad debts, customer sales returns, inventories, intangible assets, income taxes, revenue recognition, performance-based compensation, contingencies and litigation.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more detailed review of our critical accounting policies is contained in our Annual Report on Form 10-K for the year ended December 31, 2021 filed with the SEC. During the first three months of 2022, there were no material changes to our critical accounting policies.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of March 31, 2022, we did not have any foreign currency exchange contracts or purchase currency options to hedge local currency cash flows. Sales denominated in foreign currencies comprised 5.1% of our total revenues for the three months ended March 31, 2022. We do have foreign currency exchange risk related to our operating subsidiaries in Canada and in Belgium. The principal foreign currencies in which we conduct business are the Canadian dollar and the Euro. Fluctuations in the exchange rate between the U.S. dollar and these foreign currencies could affect year-to-year comparability of operating results and cash flows. Our foreign subsidiaries had net assets, subject to translation, of $139.4 million in U.S. Dollars, which are included in the Company’s consolidated balance sheet as of March 31, 2022. A 10% unfavorable change in the Canadian-to-U.S. dollar and Euro-to-U.S. dollar exchange rates would have decreased our comprehensive income by approximately $13.9 million in the three months ended March 31, 2022.</w:t>
      </w:r>
    </w:p>
    <w:p>
      <w:pPr>
        <w:spacing w:after="0" w:line="2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8"/>
        <w:spacing w:after="0" w:line="274" w:lineRule="auto"/>
        <w:tabs>
          <w:tab w:leader="none" w:pos="24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March 31, 2022. Based on that evaluation, the Company’s management, including such officers, concluded that the Company’s disclosure controls and procedures were effective as of March 31, 2022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63" w:lineRule="exact"/>
        <w:rPr>
          <w:rFonts w:ascii="Arial" w:cs="Arial" w:eastAsia="Arial" w:hAnsi="Arial"/>
          <w:sz w:val="16"/>
          <w:szCs w:val="16"/>
          <w:color w:val="auto"/>
        </w:rPr>
      </w:pPr>
    </w:p>
    <w:p>
      <w:pPr>
        <w:jc w:val="both"/>
        <w:ind w:firstLine="8"/>
        <w:spacing w:after="0" w:line="248"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the Company’s internal control over financial reporting that occurred during the three months ended March 31,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Spectrum Patent Litigation</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DNAG filed a motion to dismiss Spectrum’s counterclaims in October 2021, which was denied by the Court on March 30, 2022. On April 8, 2022, the Court assigned a new judge to preside over the matter, which vacated all dates for the trial. We await new dates to be set by the Court.</w:t>
      </w:r>
    </w:p>
    <w:p>
      <w:pPr>
        <w:spacing w:after="0" w:line="32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the risk factors disclosed in Item 1A, entitled “Risk Factors,” in our Annual Report on Form 10-K for the year ended December 31, 2021.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5" w:name="page26"/>
    <w:bookmarkEnd w:id="25"/>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left="117"/>
              <w:spacing w:after="0"/>
              <w:rPr>
                <w:sz w:val="20"/>
                <w:szCs w:val="20"/>
                <w:color w:val="auto"/>
              </w:rPr>
            </w:pPr>
            <w:r>
              <w:rPr>
                <w:rFonts w:ascii="Arial" w:cs="Arial" w:eastAsia="Arial" w:hAnsi="Arial"/>
                <w:sz w:val="13"/>
                <w:szCs w:val="13"/>
                <w:b w:val="1"/>
                <w:bCs w:val="1"/>
                <w:color w:val="auto"/>
                <w:w w:val="87"/>
              </w:rPr>
              <w:t>Total number of</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0"/>
              </w:rPr>
              <w:t>Maximum number (or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left="117"/>
              <w:spacing w:after="0" w:line="122" w:lineRule="exact"/>
              <w:rPr>
                <w:sz w:val="20"/>
                <w:szCs w:val="20"/>
                <w:color w:val="auto"/>
              </w:rPr>
            </w:pPr>
            <w:r>
              <w:rPr>
                <w:rFonts w:ascii="Arial" w:cs="Arial" w:eastAsia="Arial" w:hAnsi="Arial"/>
                <w:sz w:val="13"/>
                <w:szCs w:val="13"/>
                <w:b w:val="1"/>
                <w:bCs w:val="1"/>
                <w:color w:val="auto"/>
                <w:w w:val="84"/>
              </w:rPr>
              <w:t>shares purchased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approximate dollar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Total number of</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86"/>
              </w:rPr>
              <w:t>Average price</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left="117"/>
              <w:spacing w:after="0" w:line="122" w:lineRule="exact"/>
              <w:rPr>
                <w:sz w:val="20"/>
                <w:szCs w:val="20"/>
                <w:color w:val="auto"/>
              </w:rPr>
            </w:pPr>
            <w:r>
              <w:rPr>
                <w:rFonts w:ascii="Arial" w:cs="Arial" w:eastAsia="Arial" w:hAnsi="Arial"/>
                <w:sz w:val="13"/>
                <w:szCs w:val="13"/>
                <w:b w:val="1"/>
                <w:bCs w:val="1"/>
                <w:color w:val="auto"/>
                <w:w w:val="88"/>
              </w:rPr>
              <w:t>as part of publicly</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of shares that may yet be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40" w:type="dxa"/>
            <w:vAlign w:val="bottom"/>
            <w:vMerge w:val="restart"/>
          </w:tcPr>
          <w:p>
            <w:pPr>
              <w:ind w:left="1840"/>
              <w:spacing w:after="0"/>
              <w:rPr>
                <w:sz w:val="20"/>
                <w:szCs w:val="20"/>
                <w:color w:val="auto"/>
              </w:rPr>
            </w:pPr>
            <w:r>
              <w:rPr>
                <w:rFonts w:ascii="Arial" w:cs="Arial" w:eastAsia="Arial" w:hAnsi="Arial"/>
                <w:sz w:val="13"/>
                <w:szCs w:val="13"/>
                <w:b w:val="1"/>
                <w:bCs w:val="1"/>
                <w:color w:val="auto"/>
              </w:rPr>
              <w:t>Period</w:t>
            </w: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left="117"/>
              <w:spacing w:after="0" w:line="122" w:lineRule="exact"/>
              <w:rPr>
                <w:sz w:val="20"/>
                <w:szCs w:val="20"/>
                <w:color w:val="auto"/>
              </w:rPr>
            </w:pPr>
            <w:r>
              <w:rPr>
                <w:rFonts w:ascii="Arial" w:cs="Arial" w:eastAsia="Arial" w:hAnsi="Arial"/>
                <w:sz w:val="13"/>
                <w:szCs w:val="13"/>
                <w:b w:val="1"/>
                <w:bCs w:val="1"/>
                <w:color w:val="auto"/>
                <w:w w:val="84"/>
              </w:rPr>
              <w:t>announced plans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repurchased under the plans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 purchased</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8"/>
              </w:rPr>
              <w:t>paid per Share</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86"/>
              </w:rPr>
              <w:t>or programs</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3"/>
                <w:szCs w:val="13"/>
                <w:b w:val="1"/>
                <w:bCs w:val="1"/>
                <w:color w:val="auto"/>
                <w:w w:val="83"/>
              </w:rPr>
              <w:t xml:space="preserve">or programs </w:t>
            </w:r>
            <w:r>
              <w:rPr>
                <w:rFonts w:ascii="Arial" w:cs="Arial" w:eastAsia="Arial" w:hAnsi="Arial"/>
                <w:sz w:val="16"/>
                <w:szCs w:val="16"/>
                <w:b w:val="1"/>
                <w:bCs w:val="1"/>
                <w:color w:val="auto"/>
                <w:w w:val="83"/>
                <w:vertAlign w:val="superscript"/>
              </w:rPr>
              <w:t>(1, 2)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January 1, 2022 - January 31, 2022</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rPr>
              <w:t>(3)</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February 1, 2022 - February 28, 2022</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116,149</w:t>
            </w:r>
          </w:p>
        </w:tc>
        <w:tc>
          <w:tcPr>
            <w:tcW w:w="380" w:type="dxa"/>
            <w:vAlign w:val="bottom"/>
          </w:tcPr>
          <w:p>
            <w:pPr>
              <w:jc w:val="right"/>
              <w:ind w:right="132"/>
              <w:spacing w:after="0"/>
              <w:rPr>
                <w:sz w:val="20"/>
                <w:szCs w:val="20"/>
                <w:color w:val="auto"/>
              </w:rPr>
            </w:pPr>
            <w:r>
              <w:rPr>
                <w:rFonts w:ascii="Arial" w:cs="Arial" w:eastAsia="Arial" w:hAnsi="Arial"/>
                <w:sz w:val="10"/>
                <w:szCs w:val="10"/>
                <w:color w:val="auto"/>
              </w:rPr>
              <w:t>(3)</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8.86</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March 1, 2022 - March 31, 2022</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6.92</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116,785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20" w:hanging="512"/>
        <w:spacing w:after="0" w:line="24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ind w:left="520" w:hanging="512"/>
        <w:spacing w:after="0" w:line="23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spacing w:after="0" w:line="1" w:lineRule="exact"/>
        <w:rPr>
          <w:rFonts w:ascii="Arial" w:cs="Arial" w:eastAsia="Arial" w:hAnsi="Arial"/>
          <w:sz w:val="18"/>
          <w:szCs w:val="18"/>
          <w:color w:val="auto"/>
        </w:rPr>
      </w:pPr>
    </w:p>
    <w:p>
      <w:pPr>
        <w:ind w:left="520" w:hanging="512"/>
        <w:spacing w:after="0" w:line="24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the OraSure Technologies, Inc. Stock Award Plan, and in connection with the vesting of restricted and performance shares, these shares were retired to satisfy minimum tax withholdings.</w:t>
      </w:r>
    </w:p>
    <w:p>
      <w:pPr>
        <w:spacing w:after="0" w:line="3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6" w:name="page27"/>
    <w:bookmarkEnd w:id="26"/>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40" w:type="dxa"/>
            <w:vAlign w:val="bottom"/>
            <w:gridSpan w:val="14"/>
            <w:vMerge w:val="restart"/>
          </w:tcPr>
          <w:p>
            <w:pPr>
              <w:ind w:left="29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54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center"/>
              <w:ind w:right="332"/>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1"/>
              </w:rPr>
            </w:pPr>
            <w:hyperlink r:id="rId222">
              <w:r>
                <w:rPr>
                  <w:rFonts w:ascii="Arial" w:cs="Arial" w:eastAsia="Arial" w:hAnsi="Arial"/>
                  <w:sz w:val="18"/>
                  <w:szCs w:val="18"/>
                  <w:color w:val="0000FF"/>
                  <w:w w:val="91"/>
                </w:rPr>
                <w:t>Transition Agreement dated as of January 2, 2022, between OraSure Technologies, Inc. and Stephen S. Tang, Ph.D. is incorporated by</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reference to Exhibit 10.1 to the Company's Current Report on Form 8-K filed January 6,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288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ind w:right="332"/>
              <w:spacing w:after="0"/>
              <w:rPr>
                <w:sz w:val="20"/>
                <w:szCs w:val="20"/>
                <w:color w:val="auto"/>
              </w:rPr>
            </w:pPr>
            <w:r>
              <w:rPr>
                <w:rFonts w:ascii="Arial" w:cs="Arial" w:eastAsia="Arial" w:hAnsi="Arial"/>
                <w:sz w:val="18"/>
                <w:szCs w:val="18"/>
                <w:color w:val="auto"/>
                <w:w w:val="97"/>
              </w:rPr>
              <w:t>10.2**</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5"/>
              </w:rPr>
            </w:pPr>
            <w:hyperlink r:id="rId223">
              <w:r>
                <w:rPr>
                  <w:rFonts w:ascii="Arial" w:cs="Arial" w:eastAsia="Arial" w:hAnsi="Arial"/>
                  <w:sz w:val="18"/>
                  <w:szCs w:val="18"/>
                  <w:color w:val="0000FF"/>
                  <w:w w:val="95"/>
                </w:rPr>
                <w:t>Employment Agreement dated as of March 21, 2022 between OraSure Technologies, Inc. and Nancy J. Gagliano, M.D., M..B.A. is</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incorporated by reference to Item 10.1 to the Company's Current Report on Form 8-K Filed on March 23, 2022.</w:t>
              </w:r>
            </w:hyperlink>
          </w:p>
        </w:tc>
        <w:tc>
          <w:tcPr>
            <w:tcW w:w="1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92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412"/>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89"/>
              </w:rPr>
            </w:pPr>
            <w:hyperlink r:id="rId224">
              <w:r>
                <w:rPr>
                  <w:rFonts w:ascii="Arial" w:cs="Arial" w:eastAsia="Arial" w:hAnsi="Arial"/>
                  <w:sz w:val="18"/>
                  <w:szCs w:val="18"/>
                  <w:color w:val="0000FF"/>
                  <w:w w:val="89"/>
                </w:rPr>
                <w:t>Industrial Lease between Core5 at Laughman Farms Phase 1, LLC as Landlord and OraSure Technologies, Inc. as Tenant, dated January</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3, 2022, is incorporated by reference to Exhibit 10.30 to the Company's Annual Report on form 10-K filed March 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92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412"/>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4"/>
              </w:rPr>
            </w:pPr>
            <w:hyperlink w:anchor="page29">
              <w:r>
                <w:rPr>
                  <w:rFonts w:ascii="Arial" w:cs="Arial" w:eastAsia="Arial" w:hAnsi="Arial"/>
                  <w:sz w:val="18"/>
                  <w:szCs w:val="18"/>
                  <w:color w:val="0000FF"/>
                  <w:w w:val="94"/>
                </w:rPr>
                <w:t>Certification of Nancy J. Gagliano, M.D., M.B.A. required by Rule 13a-14(a) or Rule 15d-14(a) under the Securities Exchange Act of</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w:anchor="page29">
              <w:r>
                <w:rPr>
                  <w:rFonts w:ascii="Arial" w:cs="Arial" w:eastAsia="Arial" w:hAnsi="Arial"/>
                  <w:sz w:val="18"/>
                  <w:szCs w:val="18"/>
                  <w:color w:val="0000FF"/>
                  <w:w w:val="85"/>
                </w:rPr>
                <w:t>1934, as 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84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412"/>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3"/>
              </w:rPr>
            </w:pPr>
            <w:hyperlink w:anchor="page30">
              <w:r>
                <w:rPr>
                  <w:rFonts w:ascii="Arial" w:cs="Arial" w:eastAsia="Arial" w:hAnsi="Arial"/>
                  <w:sz w:val="18"/>
                  <w:szCs w:val="18"/>
                  <w:color w:val="0000FF"/>
                  <w:w w:val="93"/>
                </w:rPr>
                <w:t>Certification of Scott Gleason required by Rule 13a-14(a) or Rule 15d-14(a) under the Securities Exchange Act of 1934, as amended.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FF"/>
            </w:tcBorders>
            <w:gridSpan w:val="5"/>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12"/>
              <w:spacing w:after="0"/>
              <w:rPr>
                <w:sz w:val="20"/>
                <w:szCs w:val="20"/>
                <w:color w:val="auto"/>
              </w:rPr>
            </w:pPr>
            <w:r>
              <w:rPr>
                <w:rFonts w:ascii="Arial" w:cs="Arial" w:eastAsia="Arial" w:hAnsi="Arial"/>
                <w:sz w:val="18"/>
                <w:szCs w:val="18"/>
                <w:color w:val="auto"/>
                <w:w w:val="95"/>
              </w:rPr>
              <w:t>32.1*+</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4"/>
              </w:rPr>
            </w:pPr>
            <w:hyperlink w:anchor="page31">
              <w:r>
                <w:rPr>
                  <w:rFonts w:ascii="Arial" w:cs="Arial" w:eastAsia="Arial" w:hAnsi="Arial"/>
                  <w:sz w:val="18"/>
                  <w:szCs w:val="18"/>
                  <w:color w:val="0000FF"/>
                  <w:w w:val="94"/>
                </w:rPr>
                <w:t>Certification of Nancy J. Gagliano, M.D., M.B.A. required by Rule 13a-14(b) or Rule 15d-14(b) under the Securities Exchange Act of</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31">
              <w:r>
                <w:rPr>
                  <w:rFonts w:ascii="Arial" w:cs="Arial" w:eastAsia="Arial" w:hAnsi="Arial"/>
                  <w:sz w:val="18"/>
                  <w:szCs w:val="18"/>
                  <w:color w:val="0000FF"/>
                </w:rPr>
                <w:t>1934, as amended, and 18 U.S.C. Section 1350, as Adopted Pursuant to Section 906 of the Sarbanes-Oxley Act of 2002.</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FF"/>
            </w:tcBorders>
            <w:gridSpan w:val="5"/>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312"/>
              <w:spacing w:after="0"/>
              <w:rPr>
                <w:sz w:val="20"/>
                <w:szCs w:val="20"/>
                <w:color w:val="auto"/>
              </w:rPr>
            </w:pPr>
            <w:r>
              <w:rPr>
                <w:rFonts w:ascii="Arial" w:cs="Arial" w:eastAsia="Arial" w:hAnsi="Arial"/>
                <w:sz w:val="18"/>
                <w:szCs w:val="18"/>
                <w:color w:val="auto"/>
                <w:w w:val="95"/>
              </w:rPr>
              <w:t>32.2*+</w:t>
            </w:r>
          </w:p>
        </w:tc>
        <w:tc>
          <w:tcPr>
            <w:tcW w:w="24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Scott Gleason a required by Rule 13a-14(b) or Rule 15d-14(b) under the Securities Exchange Act of 1934, as amended,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and 18 U.S.C. Section 1350, as Adopted Pursuant to Section 906 of the Sarbanes-Oxley Act of 2002.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EE"/>
            </w:tcBorders>
            <w:gridSpan w:val="5"/>
            <w:shd w:val="clear" w:color="auto" w:fill="0000FF"/>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7"/>
        </w:trPr>
        <w:tc>
          <w:tcPr>
            <w:tcW w:w="1140" w:type="dxa"/>
            <w:vAlign w:val="bottom"/>
          </w:tcPr>
          <w:p>
            <w:pPr>
              <w:jc w:val="center"/>
              <w:ind w:right="352"/>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140" w:type="dxa"/>
            <w:vAlign w:val="bottom"/>
          </w:tcPr>
          <w:p>
            <w:pPr>
              <w:jc w:val="center"/>
              <w:ind w:right="332"/>
              <w:spacing w:after="0"/>
              <w:rPr>
                <w:sz w:val="20"/>
                <w:szCs w:val="20"/>
                <w:color w:val="auto"/>
              </w:rPr>
            </w:pPr>
            <w:r>
              <w:rPr>
                <w:rFonts w:ascii="Arial" w:cs="Arial" w:eastAsia="Arial" w:hAnsi="Arial"/>
                <w:sz w:val="18"/>
                <w:szCs w:val="18"/>
                <w:color w:val="auto"/>
                <w:w w:val="97"/>
              </w:rPr>
              <w:t>101.CAL</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140" w:type="dxa"/>
            <w:vAlign w:val="bottom"/>
          </w:tcPr>
          <w:p>
            <w:pPr>
              <w:jc w:val="center"/>
              <w:ind w:right="352"/>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140" w:type="dxa"/>
            <w:vAlign w:val="bottom"/>
          </w:tcPr>
          <w:p>
            <w:pPr>
              <w:jc w:val="center"/>
              <w:ind w:right="332"/>
              <w:spacing w:after="0"/>
              <w:rPr>
                <w:sz w:val="20"/>
                <w:szCs w:val="20"/>
                <w:color w:val="auto"/>
              </w:rPr>
            </w:pPr>
            <w:r>
              <w:rPr>
                <w:rFonts w:ascii="Arial" w:cs="Arial" w:eastAsia="Arial" w:hAnsi="Arial"/>
                <w:sz w:val="18"/>
                <w:szCs w:val="18"/>
                <w:color w:val="auto"/>
                <w:w w:val="98"/>
              </w:rPr>
              <w:t>101.LAB</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78"/>
        </w:trPr>
        <w:tc>
          <w:tcPr>
            <w:tcW w:w="1140" w:type="dxa"/>
            <w:vAlign w:val="bottom"/>
          </w:tcPr>
          <w:p>
            <w:pPr>
              <w:jc w:val="center"/>
              <w:ind w:right="372"/>
              <w:spacing w:after="0"/>
              <w:rPr>
                <w:sz w:val="20"/>
                <w:szCs w:val="20"/>
                <w:color w:val="auto"/>
              </w:rPr>
            </w:pPr>
            <w:r>
              <w:rPr>
                <w:rFonts w:ascii="Arial" w:cs="Arial" w:eastAsia="Arial" w:hAnsi="Arial"/>
                <w:sz w:val="18"/>
                <w:szCs w:val="18"/>
                <w:color w:val="auto"/>
                <w:w w:val="88"/>
              </w:rPr>
              <w:t>101.PRE</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4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24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w w:val="94"/>
              </w:rPr>
              <w:t>Cover Page from the Company’s Quarterly Report on Form 10-Q for the Quarter Ended June 30, 2021 has been formatted in Inline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4711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50" w:lineRule="exact"/>
        <w:rPr>
          <w:sz w:val="20"/>
          <w:szCs w:val="20"/>
          <w:color w:val="auto"/>
        </w:rPr>
      </w:pPr>
    </w:p>
    <w:p>
      <w:pPr>
        <w:ind w:left="160" w:right="360" w:hanging="149"/>
        <w:spacing w:after="0" w:line="261" w:lineRule="auto"/>
        <w:rPr>
          <w:sz w:val="20"/>
          <w:szCs w:val="20"/>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ind w:left="504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ORASURE TECHNOLOGIES, INC.</w:t>
      </w:r>
    </w:p>
    <w:p>
      <w:pPr>
        <w:spacing w:after="0" w:line="266"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 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5"/>
          <w:szCs w:val="15"/>
          <w:color w:val="auto"/>
        </w:rPr>
        <w:t>Scott Gleason</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Interim Chief Financial Officer</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p>
      <w:pPr>
        <w:spacing w:after="0" w:line="266"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/s/Michele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7"/>
          <w:szCs w:val="17"/>
          <w:color w:val="auto"/>
        </w:rPr>
        <w:t>Michele M. Miller</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Senior Vice President, Controller and Chief Accounting Officer</w:t>
      </w:r>
    </w:p>
    <w:p>
      <w:pPr>
        <w:spacing w:after="0" w:line="59"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24" w:right="11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Nancy J. Gagliano, M.D., certify that:</w:t>
      </w:r>
    </w:p>
    <w:p>
      <w:pPr>
        <w:spacing w:after="0" w:line="10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140" w:hanging="512"/>
        <w:spacing w:after="0" w:line="24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 Nancy J. Gagliano,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Nancy J. Gagliano, M.D., MBA</w:t>
      </w:r>
    </w:p>
    <w:p>
      <w:pPr>
        <w:ind w:left="6780"/>
        <w:spacing w:after="0" w:line="234" w:lineRule="auto"/>
        <w:rPr>
          <w:sz w:val="20"/>
          <w:szCs w:val="20"/>
          <w:color w:val="auto"/>
        </w:rPr>
      </w:pPr>
      <w:r>
        <w:rPr>
          <w:rFonts w:ascii="Arial" w:cs="Arial" w:eastAsia="Arial" w:hAnsi="Arial"/>
          <w:sz w:val="18"/>
          <w:szCs w:val="18"/>
          <w:color w:val="auto"/>
        </w:rPr>
        <w:t>Interim 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Scott Gleason, certify that:</w:t>
      </w:r>
    </w:p>
    <w:p>
      <w:pPr>
        <w:spacing w:after="0" w:line="104"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140" w:hanging="512"/>
        <w:spacing w:after="0" w:line="24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Scott Gleason</w:t>
      </w:r>
    </w:p>
    <w:p>
      <w:pPr>
        <w:ind w:left="6780"/>
        <w:spacing w:after="0" w:line="234" w:lineRule="auto"/>
        <w:rPr>
          <w:sz w:val="20"/>
          <w:szCs w:val="20"/>
          <w:color w:val="auto"/>
        </w:rPr>
      </w:pPr>
      <w:r>
        <w:rPr>
          <w:rFonts w:ascii="Arial" w:cs="Arial" w:eastAsia="Arial" w:hAnsi="Arial"/>
          <w:sz w:val="18"/>
          <w:szCs w:val="18"/>
          <w:color w:val="auto"/>
        </w:rPr>
        <w:t>Interim 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March 31, 2022 as filed with the Securities and Exchange Commission on the date hereof (the “Report”), I, Nancy J. Gagliano, M.D., Interim Chief Executive Officer of the Company, certify, pursuant to 18 U.S.C. §1350, as adopted pursuant to Section 906 of the Sarbanes-Oxley Act of 2002, that:</w:t>
      </w:r>
    </w:p>
    <w:p>
      <w:pPr>
        <w:spacing w:after="0" w:line="74" w:lineRule="exact"/>
        <w:rPr>
          <w:sz w:val="20"/>
          <w:szCs w:val="20"/>
          <w:color w:val="auto"/>
        </w:rPr>
      </w:pPr>
    </w:p>
    <w:p>
      <w:pPr>
        <w:ind w:left="780" w:hanging="263"/>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Nancy J. Gagliano, M.D., MBA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Nancy J. Gagliano, M.D., MBA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March 31, 2022, as filed with the Securities and Exchange Commission on the date hereof (the “Report”), I, Scott Gleason, Interim Chief Financial Officer of the Company, certify, pursuant to 18 U.S.C. §1350, as adopted pursuant to Section 906 of the Sarbanes-Oxley Act of 2002, that:</w:t>
      </w:r>
    </w:p>
    <w:p>
      <w:pPr>
        <w:spacing w:after="0" w:line="74" w:lineRule="exact"/>
        <w:rPr>
          <w:sz w:val="20"/>
          <w:szCs w:val="20"/>
          <w:color w:val="auto"/>
        </w:rPr>
      </w:pPr>
    </w:p>
    <w:p>
      <w:pPr>
        <w:ind w:left="780" w:hanging="263"/>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Scott Gleason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Scott Gleason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22" Type="http://schemas.openxmlformats.org/officeDocument/2006/relationships/hyperlink" Target="https://www.sec.gov/Archives/edgar/data/1116463/000095017022000095/osur-ex10_1.htm" TargetMode="External"/><Relationship Id="rId223" Type="http://schemas.openxmlformats.org/officeDocument/2006/relationships/hyperlink" Target="https://www.sec.gov/Archives/edgar/data/1116463/000119312522082900/d332944dex101.htm" TargetMode="External"/><Relationship Id="rId224" Type="http://schemas.openxmlformats.org/officeDocument/2006/relationships/hyperlink" Target="https://www.sec.gov/Archives/edgar/data/1116463/000095017022002556/osur-ex10_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2022-05-10T16:18:34Z</dcterms:created>
  <dcterms:modified xsi:type="dcterms:W3CDTF">2022-05-10T16:18:34Z</dcterms:modified>
</cp:coreProperties>
</file>