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ORASURE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PRIVATE MANAGEMENT GROUP INC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spacing w:before="0" w:after="283"/>
              <w:jc w:val="left"/>
              <w:rPr/>
            </w:pPr>
            <w:r>
              <w:rPr/>
              <w:t xml:space="preserve">Citizenship or Place of Organization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3,797,682.00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3,797,682.00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3,797,682.00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ORASURE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 E FIRST ST, BETHLEHEM, PENNSYLVANIA, 18015.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Private Management Group,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15635 Alton Parkway, Suite 400, Irvine, CA 92618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The State of California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3,797,682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3,797,682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3,797,682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separately managed accounts for whom the reporting person acts as investment advisor have the right to receive dividends from, and the proceeds of the sale of, the shares reported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PRIVATE MANAGEMENT GROUP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Robert T. Summers, CFA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Co-President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848</Words>
  <Characters>4353</Characters>
  <CharactersWithSpaces>5192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