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OraSure Technologies,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620"/>
              <w:spacing w:after="0"/>
              <w:rPr>
                <w:sz w:val="20"/>
                <w:szCs w:val="20"/>
                <w:color w:val="auto"/>
              </w:rPr>
            </w:pPr>
            <w:r>
              <w:rPr>
                <w:rFonts w:ascii="Arial" w:cs="Arial" w:eastAsia="Arial" w:hAnsi="Arial"/>
                <w:sz w:val="18"/>
                <w:szCs w:val="18"/>
                <w:b w:val="1"/>
                <w:bCs w:val="1"/>
                <w:color w:val="auto"/>
              </w:rPr>
              <w:t>001-16537</w:t>
            </w:r>
          </w:p>
        </w:tc>
        <w:tc>
          <w:tcPr>
            <w:tcW w:w="2860" w:type="dxa"/>
            <w:vAlign w:val="bottom"/>
          </w:tcPr>
          <w:p>
            <w:pPr>
              <w:jc w:val="center"/>
              <w:ind w:left="1641"/>
              <w:spacing w:after="0"/>
              <w:rPr>
                <w:sz w:val="20"/>
                <w:szCs w:val="20"/>
                <w:color w:val="auto"/>
              </w:rPr>
            </w:pPr>
            <w:r>
              <w:rPr>
                <w:rFonts w:ascii="Arial" w:cs="Arial" w:eastAsia="Arial" w:hAnsi="Arial"/>
                <w:sz w:val="18"/>
                <w:szCs w:val="18"/>
                <w:b w:val="1"/>
                <w:bCs w:val="1"/>
                <w:color w:val="auto"/>
                <w:w w:val="89"/>
              </w:rPr>
              <w:t>36-4370966</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60" w:type="dxa"/>
            <w:vAlign w:val="bottom"/>
          </w:tcPr>
          <w:p>
            <w:pPr>
              <w:jc w:val="center"/>
              <w:ind w:left="16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60" w:type="dxa"/>
            <w:vAlign w:val="bottom"/>
          </w:tcPr>
          <w:p>
            <w:pPr>
              <w:jc w:val="center"/>
              <w:ind w:left="16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220 East First Street</w:t>
            </w:r>
          </w:p>
        </w:tc>
        <w:tc>
          <w:tcPr>
            <w:tcW w:w="23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Bethlehem, Pennsylvania</w:t>
            </w:r>
          </w:p>
        </w:tc>
        <w:tc>
          <w:tcPr>
            <w:tcW w:w="2360" w:type="dxa"/>
            <w:vAlign w:val="bottom"/>
          </w:tcPr>
          <w:p>
            <w:pPr>
              <w:spacing w:after="0"/>
              <w:rPr>
                <w:sz w:val="19"/>
                <w:szCs w:val="19"/>
                <w:color w:val="auto"/>
              </w:rPr>
            </w:pPr>
          </w:p>
        </w:tc>
        <w:tc>
          <w:tcPr>
            <w:tcW w:w="2860" w:type="dxa"/>
            <w:vAlign w:val="bottom"/>
          </w:tcPr>
          <w:p>
            <w:pPr>
              <w:jc w:val="right"/>
              <w:ind w:right="961"/>
              <w:spacing w:after="0"/>
              <w:rPr>
                <w:sz w:val="20"/>
                <w:szCs w:val="20"/>
                <w:color w:val="auto"/>
              </w:rPr>
            </w:pPr>
            <w:r>
              <w:rPr>
                <w:rFonts w:ascii="Arial" w:cs="Arial" w:eastAsia="Arial" w:hAnsi="Arial"/>
                <w:sz w:val="18"/>
                <w:szCs w:val="18"/>
                <w:b w:val="1"/>
                <w:bCs w:val="1"/>
                <w:color w:val="auto"/>
              </w:rPr>
              <w:t>18015-1360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60" w:type="dxa"/>
            <w:vAlign w:val="bottom"/>
          </w:tcPr>
          <w:p>
            <w:pPr>
              <w:spacing w:after="0"/>
              <w:rPr>
                <w:sz w:val="16"/>
                <w:szCs w:val="16"/>
                <w:color w:val="auto"/>
              </w:rPr>
            </w:pPr>
          </w:p>
        </w:tc>
        <w:tc>
          <w:tcPr>
            <w:tcW w:w="2860" w:type="dxa"/>
            <w:vAlign w:val="bottom"/>
          </w:tcPr>
          <w:p>
            <w:pPr>
              <w:jc w:val="center"/>
              <w:ind w:right="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610-882-1820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OSUR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120"/>
        <w:spacing w:after="0" w:line="277" w:lineRule="auto"/>
        <w:rPr>
          <w:sz w:val="20"/>
          <w:szCs w:val="20"/>
          <w:color w:val="auto"/>
        </w:rPr>
      </w:pPr>
      <w:r>
        <w:rPr>
          <w:rFonts w:ascii="Arial" w:cs="Arial" w:eastAsia="Arial" w:hAnsi="Arial"/>
          <w:sz w:val="18"/>
          <w:szCs w:val="18"/>
          <w:color w:val="auto"/>
        </w:rPr>
        <w:t>Indicate by a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right="1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Appointment of President and Chief Executive Officer</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On May 20, 2022, OraSure Technologies, Inc. (the “Company”) entered into an employment agreement with Carrie Eglinton Manner, and in connection therewith, the board of directors (the “Board”) of the Company will appoint Ms. Eglinton Manner as the Company’s President and Chief Executive Officer, effective June 4, 2022 (the “Effective Date”). In addition, the Board intends to increase the size of the Board by one seat, and in connection therewith, Ms. Eglinton Manner will be appointed by the Board to serve as a Class I director on the Board as of the Effective Date. Ms. Eglinton Manner will succeed Dr. Nancy J. Gagliano, who has served as the Company’s Interim Chief Executive Officer following the termination of Dr. Stephen S. Tang on March 31, 2022, as previously disclosed. In connection with Ms. Eglinton Manner’s appointment as Chief Executive Officer, Dr. Gagliano will resign, effective June 4, 2022, from her position as the Company’s interim Chief Executive Officer.</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7"/>
          <w:szCs w:val="17"/>
          <w:color w:val="auto"/>
        </w:rPr>
        <w:t>Ms. Eglinton Manner, age 48, joins the Company with years of leadership experience across multiple disciplines. Prior to joining the Company,</w:t>
      </w:r>
    </w:p>
    <w:p>
      <w:pPr>
        <w:spacing w:after="0" w:line="35" w:lineRule="exact"/>
        <w:rPr>
          <w:sz w:val="20"/>
          <w:szCs w:val="20"/>
          <w:color w:val="auto"/>
        </w:rPr>
      </w:pPr>
    </w:p>
    <w:p>
      <w:pPr>
        <w:ind w:left="4" w:right="60"/>
        <w:spacing w:after="0" w:line="253" w:lineRule="auto"/>
        <w:rPr>
          <w:sz w:val="20"/>
          <w:szCs w:val="20"/>
          <w:color w:val="auto"/>
        </w:rPr>
      </w:pPr>
      <w:r>
        <w:rPr>
          <w:rFonts w:ascii="Arial" w:cs="Arial" w:eastAsia="Arial" w:hAnsi="Arial"/>
          <w:sz w:val="18"/>
          <w:szCs w:val="18"/>
          <w:color w:val="auto"/>
        </w:rPr>
        <w:t>Ms. Eglinton Manner served as Senior Vice President, Advanced &amp; General Diagnostic and Clinical Solutions at Quest Diagnostics since January 2017. Prior to Quest, Ms. Eglinton Manner spent over 20 years in various leadership roles in healthcare businesses at GE Healthcare. From 2009 through 2016, she served as President &amp; CEO of four distinct GE Healthcare global businesses in the areas of diagnostic imaging, lab services and medical devices. She has served as a director of Repligen Corporation since June 2020. Ms. Eglinton Manner holds a B.S. in mechanical engineering from the University of Notre Dame.</w:t>
      </w:r>
    </w:p>
    <w:p>
      <w:pPr>
        <w:spacing w:after="0" w:line="191" w:lineRule="exact"/>
        <w:rPr>
          <w:sz w:val="20"/>
          <w:szCs w:val="20"/>
          <w:color w:val="auto"/>
        </w:rPr>
      </w:pPr>
    </w:p>
    <w:p>
      <w:pPr>
        <w:ind w:left="4" w:right="220"/>
        <w:spacing w:after="0" w:line="291" w:lineRule="auto"/>
        <w:rPr>
          <w:sz w:val="20"/>
          <w:szCs w:val="20"/>
          <w:color w:val="auto"/>
        </w:rPr>
      </w:pPr>
      <w:r>
        <w:rPr>
          <w:rFonts w:ascii="Arial" w:cs="Arial" w:eastAsia="Arial" w:hAnsi="Arial"/>
          <w:sz w:val="16"/>
          <w:szCs w:val="16"/>
          <w:color w:val="auto"/>
        </w:rPr>
        <w:t>In connection with the appointment of Ms. Eglinton Manner as the Company’s President and Chief Executive Officer, the Company and Ms. Eglinton Manner entered into an employment agreement dated May 20, 2022 (the “Employment Agreement”). Pursuant to the Employment Agreement,</w:t>
      </w:r>
    </w:p>
    <w:p>
      <w:pPr>
        <w:jc w:val="both"/>
        <w:ind w:left="4" w:right="60"/>
        <w:spacing w:after="0" w:line="253" w:lineRule="auto"/>
        <w:rPr>
          <w:sz w:val="20"/>
          <w:szCs w:val="20"/>
          <w:color w:val="auto"/>
        </w:rPr>
      </w:pPr>
      <w:r>
        <w:rPr>
          <w:rFonts w:ascii="Arial" w:cs="Arial" w:eastAsia="Arial" w:hAnsi="Arial"/>
          <w:sz w:val="18"/>
          <w:szCs w:val="18"/>
          <w:color w:val="auto"/>
        </w:rPr>
        <w:t>Ms. Eglinton Manner’s initial annual base salary will be $700,000 and she will participate in the Company’s annual incentive plan with a target annual incentive amount of at least 100% of her annual base salary. The Employment Agreement also provides that the Company will reimburse Ms. Eglinton Manner for reasonable car service fees incurred to commute between her home and the Company’s offices and, subject to the Company’s policies, other reasonable and necessary expenses incurred in the course of her employment.</w:t>
      </w:r>
    </w:p>
    <w:p>
      <w:pPr>
        <w:spacing w:after="0" w:line="193"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As an inducement for Ms. Eglinton Manner to enter into employment with the Company, the Employment Agreement provides that Ms. Eglinton Manner will receive the following equity awards upon her commencement of employment:</w:t>
      </w:r>
    </w:p>
    <w:p>
      <w:pPr>
        <w:spacing w:after="0" w:line="62" w:lineRule="exact"/>
        <w:rPr>
          <w:sz w:val="20"/>
          <w:szCs w:val="20"/>
          <w:color w:val="auto"/>
        </w:rPr>
      </w:pPr>
    </w:p>
    <w:p>
      <w:pPr>
        <w:ind w:left="444" w:right="60" w:hanging="4"/>
        <w:spacing w:after="0" w:line="259" w:lineRule="auto"/>
        <w:tabs>
          <w:tab w:leader="none" w:pos="659"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restricted stock (or restricted stock unit) award for a number of shares of the Company’s common stock determined by dividing $4,000,000 by the average closing price of the Company’s common stock for the 20 trading days immediately preceding the grant date (the “Trailing Average Price”), which award will vest on the second anniversary of the Effective Date and is intended to replace compensation from her prior employer that Ms. Eglinton Manner will forfeit to accept employment with the Company;</w:t>
      </w:r>
    </w:p>
    <w:p>
      <w:pPr>
        <w:spacing w:after="0" w:line="78" w:lineRule="exact"/>
        <w:rPr>
          <w:rFonts w:ascii="Arial" w:cs="Arial" w:eastAsia="Arial" w:hAnsi="Arial"/>
          <w:sz w:val="18"/>
          <w:szCs w:val="18"/>
          <w:color w:val="auto"/>
        </w:rPr>
      </w:pPr>
    </w:p>
    <w:p>
      <w:pPr>
        <w:jc w:val="both"/>
        <w:ind w:left="444" w:right="140" w:hanging="4"/>
        <w:spacing w:after="0" w:line="342" w:lineRule="auto"/>
        <w:tabs>
          <w:tab w:leader="none" w:pos="709"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restricted stock (or restricted stock unit) award for a number of shares of the Company’s common stock determined by dividing $1,600,000 by the Trailing Average Price, which award will vest in three equal annual installments, on the first three anniversaries of the Effective Date; and</w:t>
      </w:r>
    </w:p>
    <w:p>
      <w:pPr>
        <w:spacing w:after="0" w:line="15" w:lineRule="exact"/>
        <w:rPr>
          <w:rFonts w:ascii="Arial" w:cs="Arial" w:eastAsia="Arial" w:hAnsi="Arial"/>
          <w:sz w:val="16"/>
          <w:szCs w:val="16"/>
          <w:color w:val="auto"/>
        </w:rPr>
      </w:pPr>
    </w:p>
    <w:p>
      <w:pPr>
        <w:ind w:left="764" w:hanging="324"/>
        <w:spacing w:after="0"/>
        <w:tabs>
          <w:tab w:leader="none" w:pos="764" w:val="left"/>
        </w:tabs>
        <w:numPr>
          <w:ilvl w:val="0"/>
          <w:numId w:val="2"/>
        </w:numPr>
        <w:rPr>
          <w:rFonts w:ascii="Arial" w:cs="Arial" w:eastAsia="Arial" w:hAnsi="Arial"/>
          <w:sz w:val="17"/>
          <w:szCs w:val="17"/>
          <w:color w:val="auto"/>
        </w:rPr>
      </w:pPr>
      <w:r>
        <w:rPr>
          <w:rFonts w:ascii="Arial" w:cs="Arial" w:eastAsia="Arial" w:hAnsi="Arial"/>
          <w:sz w:val="17"/>
          <w:szCs w:val="17"/>
          <w:color w:val="auto"/>
        </w:rPr>
        <w:t>a performance-based restricted stock unit award for a target number of shares of the Company’s common stock determined by dividing</w:t>
      </w:r>
    </w:p>
    <w:p>
      <w:pPr>
        <w:spacing w:after="0" w:line="35" w:lineRule="exact"/>
        <w:rPr>
          <w:sz w:val="20"/>
          <w:szCs w:val="20"/>
          <w:color w:val="auto"/>
        </w:rPr>
      </w:pPr>
    </w:p>
    <w:p>
      <w:pPr>
        <w:ind w:left="444" w:right="300"/>
        <w:spacing w:after="0" w:line="260" w:lineRule="auto"/>
        <w:rPr>
          <w:sz w:val="20"/>
          <w:szCs w:val="20"/>
          <w:color w:val="auto"/>
        </w:rPr>
      </w:pPr>
      <w:r>
        <w:rPr>
          <w:rFonts w:ascii="Arial" w:cs="Arial" w:eastAsia="Arial" w:hAnsi="Arial"/>
          <w:sz w:val="18"/>
          <w:szCs w:val="18"/>
          <w:color w:val="auto"/>
        </w:rPr>
        <w:t>$1,600,000 by the Trailing Average Price, which award will be subject to the same vesting and performance conditions as are applicable to the 2022 performance-based restricted stock unit awards granted to the Company’s other executive officers.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foregoing awards will be granted in reliance on the employment inducement exemption provided under Nasdaq Listing Rule 5635(c)(4).</w:t>
      </w:r>
    </w:p>
    <w:p>
      <w:pPr>
        <w:spacing w:after="0" w:line="237"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For 2023 and subsequent calendar years, Ms. Eglinton Manner will be eligible to receive annual equity awards under the Company’s long-term incentive policy or plan, as in effect from time to time. It is the Company’s current intention that Ms. Eglinton Manner’s 2023 annual equity awards will be at least equal in value to the awards described in clauses (ii) and (iii) above, and be equally weighted between time- and performance-based components.</w:t>
      </w:r>
    </w:p>
    <w:p>
      <w:pPr>
        <w:spacing w:after="0" w:line="149" w:lineRule="exact"/>
        <w:rPr>
          <w:sz w:val="20"/>
          <w:szCs w:val="20"/>
          <w:color w:val="auto"/>
        </w:rPr>
      </w:pPr>
    </w:p>
    <w:p>
      <w:pPr>
        <w:ind w:left="4" w:right="120"/>
        <w:spacing w:after="0" w:line="286" w:lineRule="auto"/>
        <w:rPr>
          <w:sz w:val="20"/>
          <w:szCs w:val="20"/>
          <w:color w:val="auto"/>
        </w:rPr>
      </w:pPr>
      <w:r>
        <w:rPr>
          <w:rFonts w:ascii="Arial" w:cs="Arial" w:eastAsia="Arial" w:hAnsi="Arial"/>
          <w:sz w:val="16"/>
          <w:szCs w:val="16"/>
          <w:color w:val="auto"/>
        </w:rPr>
        <w:t>The Employment Agreement also provides that, if Ms. Eglinton Manner’s employment with the Company ceases due to a termination by the Company without cause or resignation by her with good reason, in either case not proximate to a change of control (as defined in the Employment Agreement) of the Company, then she will receive: (i) a lump sum cash payment equal to 18 months of her then-current annual base salary, (ii) a lump sum cash payment equal to 150% of her target bonus amount for the year of termination; (iii) subsidized COBRA continuation coverage for up to 18 months,</w:t>
      </w:r>
    </w:p>
    <w:p>
      <w:pPr>
        <w:spacing w:after="0" w:line="1" w:lineRule="exact"/>
        <w:rPr>
          <w:sz w:val="20"/>
          <w:szCs w:val="20"/>
          <w:color w:val="auto"/>
        </w:rPr>
      </w:pPr>
    </w:p>
    <w:p>
      <w:pPr>
        <w:ind w:left="4" w:right="80" w:hanging="4"/>
        <w:spacing w:after="0" w:line="255" w:lineRule="auto"/>
        <w:tabs>
          <w:tab w:leader="none" w:pos="309"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vesting of 50% of any outstanding and otherwise unvested time-based awards (other than the Mark Whole Award, which (if not already vested) will then vest in full); and (v) 50% of any outstanding performance-based awards will remain outstanding and vest (or be forfeited) based on actual performance through the end of the applicable performance period.</w:t>
      </w:r>
    </w:p>
    <w:p>
      <w:pPr>
        <w:spacing w:after="0" w:line="190" w:lineRule="exact"/>
        <w:rPr>
          <w:sz w:val="20"/>
          <w:szCs w:val="20"/>
          <w:color w:val="auto"/>
        </w:rPr>
      </w:pPr>
    </w:p>
    <w:p>
      <w:pPr>
        <w:ind w:left="4" w:right="320"/>
        <w:spacing w:after="0" w:line="286" w:lineRule="auto"/>
        <w:rPr>
          <w:sz w:val="20"/>
          <w:szCs w:val="20"/>
          <w:color w:val="auto"/>
        </w:rPr>
      </w:pPr>
      <w:r>
        <w:rPr>
          <w:rFonts w:ascii="Arial" w:cs="Arial" w:eastAsia="Arial" w:hAnsi="Arial"/>
          <w:sz w:val="17"/>
          <w:szCs w:val="17"/>
          <w:color w:val="auto"/>
        </w:rPr>
        <w:t>However, if Ms. Eglinton Manner’s employment with the Company ceases due to a termination by the Company without cause or resignation by her with good reason (as defined in the Employment Agreement), in either case within 60 days prior or 18 months following a change of control of the Company, then in lieu of the severance benefits described above, she will receive: (i) a lump sum cash payment equal</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97"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to 24 months of her then-current annual base salary; (ii) a lump sum cash payment equal to 200% of her target bonus amount for the year of termination;</w:t>
      </w:r>
    </w:p>
    <w:p>
      <w:pPr>
        <w:spacing w:after="0" w:line="46" w:lineRule="exact"/>
        <w:rPr>
          <w:sz w:val="20"/>
          <w:szCs w:val="20"/>
          <w:color w:val="auto"/>
        </w:rPr>
      </w:pPr>
    </w:p>
    <w:p>
      <w:pPr>
        <w:ind w:left="4" w:right="20" w:hanging="4"/>
        <w:spacing w:after="0" w:line="253"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subsidized COBRA continuation coverage for up to 18 months; (iv) accelerated vesting of all outstanding and otherwise unvested time-based awards; and (v) any outstanding performance-based awards will remain outstanding and vest (or be forfeited) based on actual performance through the end of the applicable performance period (but at not less than the target performance level, if the cessation of her employment occurs on or following the change of control).</w:t>
      </w:r>
    </w:p>
    <w:p>
      <w:pPr>
        <w:spacing w:after="0" w:line="193"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Any severance benefit payable under the Employment Agreement will be subject to Ms. Eglinton Manner’s timely execution and non-revocation of a release of claims.</w:t>
      </w:r>
    </w:p>
    <w:p>
      <w:pPr>
        <w:spacing w:after="0" w:line="170"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Ms. Eglinton Manner will also be bound by confidentiality, intellectual property assignment and restrictive covenants (including an agreement not to compete with the Company or its affiliates, and not to solicit the employees and customers of the Company and its affiliates, during her employment and for 18 months thereafter). Finally, Ms. Eglinton Manner will be entitled to indemnification for her acts and omissions as an officer, director or agent of the Company to the full extent authorized by applicable law, and to directors’ and officers’ insurance coverage.</w:t>
      </w:r>
    </w:p>
    <w:p>
      <w:pPr>
        <w:spacing w:after="0" w:line="171"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above description of the Employment Agreement is qualified in its entirety by reference to the full text of the Employment Agreement, a copy of which is filed hereto as Exhibit 10.1 and incorporated herein by reference.</w:t>
      </w:r>
    </w:p>
    <w:p>
      <w:pPr>
        <w:spacing w:after="0" w:line="170"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No family relationship exists between Ms. Eglinton Manner and any of the Company’s directors or executive officers. There are no arrangements or understandings between Ms. Eglinton Manner and any other person pursuant to which Ms. Eglinton Manner was selected as an officer of the Company, nor are there any transactions to which the Company is or was a participant and in which Ms. Eglinton Manner had or will have a direct or indirect material interest subject to disclosure under Item 404(a) of Regulation S-K.</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May 23, 2022, the Company issued a press release announcing the appointment of Ms. Eglinton Manner as its President and Chief Executive Officer.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 copy of such press release is attached hereto as Exhibit 99.1 and incorporated herein by reference.</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Resignation of Named Executive Officer</w:t>
      </w:r>
    </w:p>
    <w:p>
      <w:pPr>
        <w:spacing w:after="0" w:line="117" w:lineRule="exact"/>
        <w:rPr>
          <w:sz w:val="20"/>
          <w:szCs w:val="20"/>
          <w:color w:val="auto"/>
        </w:rPr>
      </w:pPr>
    </w:p>
    <w:p>
      <w:pPr>
        <w:ind w:left="4" w:right="140"/>
        <w:spacing w:after="0" w:line="342" w:lineRule="auto"/>
        <w:rPr>
          <w:sz w:val="20"/>
          <w:szCs w:val="20"/>
          <w:color w:val="auto"/>
        </w:rPr>
      </w:pPr>
      <w:r>
        <w:rPr>
          <w:rFonts w:ascii="Arial" w:cs="Arial" w:eastAsia="Arial" w:hAnsi="Arial"/>
          <w:sz w:val="16"/>
          <w:szCs w:val="16"/>
          <w:color w:val="auto"/>
        </w:rPr>
        <w:t>On May 23, 2022, Kathleen G. Weber, who currently serves as the Company’s President of Molecular Solutions, notified the Company of her intention to resign from the Company. Pursuant to the terms of her employment agreement, Ms. Weber’s resignation is currently planned for August 21, 2022.</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being filed herewith:</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73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99"/>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80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Employment Agreement, dated May 20, 2022 between OraSure Technologies, Inc. and Carrie Eglinton Manner</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99"/>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802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Press Release dated May 23,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4" w:right="4200" w:hanging="5464"/>
        <w:spacing w:after="0" w:line="44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ectPr>
          <w:pgSz w:w="11900" w:h="16838" w:orient="portrait"/>
          <w:cols w:equalWidth="0" w:num="1">
            <w:col w:w="11024"/>
          </w:cols>
          <w:pgMar w:left="436" w:top="301" w:right="4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ORASURE TECHNOLOGIES,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Scott Gleason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Interim Chief Financial Officer and Senior Vice President, Investor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Relations and Corporate Communications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97"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May 20, 2022 between Carrie Eglinton Manner (“</w:t>
      </w:r>
      <w:r>
        <w:rPr>
          <w:rFonts w:ascii="Arial" w:cs="Arial" w:eastAsia="Arial" w:hAnsi="Arial"/>
          <w:sz w:val="18"/>
          <w:szCs w:val="18"/>
          <w:b w:val="1"/>
          <w:bCs w:val="1"/>
          <w:color w:val="auto"/>
        </w:rPr>
        <w:t>Employee</w:t>
      </w:r>
      <w:r>
        <w:rPr>
          <w:rFonts w:ascii="Arial" w:cs="Arial" w:eastAsia="Arial" w:hAnsi="Arial"/>
          <w:sz w:val="18"/>
          <w:szCs w:val="18"/>
          <w:color w:val="auto"/>
        </w:rPr>
        <w:t>”) and OraSure Technologies, Inc. (“</w:t>
      </w:r>
      <w:r>
        <w:rPr>
          <w:rFonts w:ascii="Arial" w:cs="Arial" w:eastAsia="Arial" w:hAnsi="Arial"/>
          <w:sz w:val="18"/>
          <w:szCs w:val="18"/>
          <w:b w:val="1"/>
          <w:bCs w:val="1"/>
          <w:color w:val="auto"/>
        </w:rPr>
        <w:t>OraSure</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WHEREAS, the parties wish to set forth the terms of their relationship and to enter into this Agreement and a confidentiality agreement of even date herewith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mutual promises made herein, intending to be legally bound, the parties hereby agree as follows:</w:t>
      </w:r>
    </w:p>
    <w:p>
      <w:pPr>
        <w:spacing w:after="0" w:line="136" w:lineRule="exact"/>
        <w:rPr>
          <w:sz w:val="20"/>
          <w:szCs w:val="20"/>
          <w:color w:val="auto"/>
        </w:rPr>
      </w:pPr>
    </w:p>
    <w:p>
      <w:pPr>
        <w:ind w:left="620" w:hanging="184"/>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Services.</w:t>
      </w:r>
    </w:p>
    <w:p>
      <w:pPr>
        <w:spacing w:after="0" w:line="117" w:lineRule="exact"/>
        <w:rPr>
          <w:sz w:val="20"/>
          <w:szCs w:val="20"/>
          <w:color w:val="auto"/>
        </w:rPr>
      </w:pPr>
    </w:p>
    <w:p>
      <w:pPr>
        <w:ind w:right="80" w:firstLine="991"/>
        <w:spacing w:after="0" w:line="31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Employment.</w:t>
      </w:r>
      <w:r>
        <w:rPr>
          <w:rFonts w:ascii="Arial" w:cs="Arial" w:eastAsia="Arial" w:hAnsi="Arial"/>
          <w:sz w:val="16"/>
          <w:szCs w:val="16"/>
          <w:color w:val="auto"/>
        </w:rPr>
        <w:t xml:space="preserve"> Subject to the terms hereof, the Company agrees to employ Employee as the Company’s President and Chief Executive Officer (the “</w:t>
      </w:r>
      <w:r>
        <w:rPr>
          <w:rFonts w:ascii="Arial" w:cs="Arial" w:eastAsia="Arial" w:hAnsi="Arial"/>
          <w:sz w:val="16"/>
          <w:szCs w:val="16"/>
          <w:b w:val="1"/>
          <w:bCs w:val="1"/>
          <w:color w:val="auto"/>
        </w:rPr>
        <w:t>Position</w:t>
      </w:r>
      <w:r>
        <w:rPr>
          <w:rFonts w:ascii="Arial" w:cs="Arial" w:eastAsia="Arial" w:hAnsi="Arial"/>
          <w:sz w:val="16"/>
          <w:szCs w:val="16"/>
          <w:color w:val="auto"/>
        </w:rPr>
        <w:t>”), and Employee hereby accepts such employment in accordance with the terms and conditions of this Agreement. Employee shall begin her employment with the Company on June 4, 2022 or such other date agreed between the parties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34"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Duties.</w:t>
      </w:r>
      <w:r>
        <w:rPr>
          <w:rFonts w:ascii="Arial" w:cs="Arial" w:eastAsia="Arial" w:hAnsi="Arial"/>
          <w:sz w:val="18"/>
          <w:szCs w:val="18"/>
          <w:color w:val="auto"/>
        </w:rPr>
        <w:t xml:space="preserve"> Upon the Effective Date, Employee shall have such powers and duties that are commensurate with the Position, as well as such other duties as are reasonably determined from time to time by the Board of Directors of OraSure (the “</w:t>
      </w:r>
      <w:r>
        <w:rPr>
          <w:rFonts w:ascii="Arial" w:cs="Arial" w:eastAsia="Arial" w:hAnsi="Arial"/>
          <w:sz w:val="18"/>
          <w:szCs w:val="18"/>
          <w:b w:val="1"/>
          <w:bCs w:val="1"/>
          <w:color w:val="auto"/>
        </w:rPr>
        <w:t>Board of Directors</w:t>
      </w:r>
      <w:r>
        <w:rPr>
          <w:rFonts w:ascii="Arial" w:cs="Arial" w:eastAsia="Arial" w:hAnsi="Arial"/>
          <w:sz w:val="18"/>
          <w:szCs w:val="18"/>
          <w:color w:val="auto"/>
        </w:rPr>
        <w:t>”). No other employee or officer of the Company or its subsidiaries will be senior (or equal) in title, position or authority to Employee. Employee’s primary place of work shall be the Company’s headquarters, at its present location in Bethlehem, Pennsylvania.</w:t>
      </w:r>
    </w:p>
    <w:p>
      <w:pPr>
        <w:spacing w:after="0" w:line="72" w:lineRule="exact"/>
        <w:rPr>
          <w:sz w:val="20"/>
          <w:szCs w:val="20"/>
          <w:color w:val="auto"/>
        </w:rPr>
      </w:pPr>
    </w:p>
    <w:p>
      <w:pPr>
        <w:ind w:right="20" w:firstLine="991"/>
        <w:spacing w:after="0" w:line="294"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color w:val="auto"/>
        </w:rPr>
        <w:t>Outside Activities.</w:t>
      </w:r>
      <w:r>
        <w:rPr>
          <w:rFonts w:ascii="Arial" w:cs="Arial" w:eastAsia="Arial" w:hAnsi="Arial"/>
          <w:sz w:val="16"/>
          <w:szCs w:val="16"/>
          <w:color w:val="auto"/>
        </w:rPr>
        <w:t xml:space="preserve"> Employee shall obtain the consent of the Board of Directors before she engages, either directly or indirectly, in any other professional or business activities, except for (a) continuing service as a non-employee director on the boards of the entities upon which she is currently serving, as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Agreement; (b) reasonable time devoted to volunteer services for or on behalf of religious, educational, non-profit and/or other charitable organizations; and (c) reasonable time devoted to activities in professional societies or industry associations. Notwithstanding the foregoing, Employee may engage in the outside activities described in clauses (a) – (c) above only to the extent that such activities do not violate the Confidentiality Agreement or otherwise conflict with Employee’s obligations and duties to the Company.</w:t>
      </w:r>
    </w:p>
    <w:p>
      <w:pPr>
        <w:spacing w:after="0" w:line="52" w:lineRule="exact"/>
        <w:rPr>
          <w:sz w:val="20"/>
          <w:szCs w:val="20"/>
          <w:color w:val="auto"/>
        </w:rPr>
      </w:pPr>
    </w:p>
    <w:p>
      <w:pPr>
        <w:ind w:right="380" w:firstLine="991"/>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Direction of Services.</w:t>
      </w:r>
      <w:r>
        <w:rPr>
          <w:rFonts w:ascii="Arial" w:cs="Arial" w:eastAsia="Arial" w:hAnsi="Arial"/>
          <w:sz w:val="18"/>
          <w:szCs w:val="18"/>
          <w:color w:val="auto"/>
        </w:rPr>
        <w:t xml:space="preserve"> Employee shall at all times report directly and solely to, and discharge her duties under the supervision and direction of, the Board.</w:t>
      </w:r>
    </w:p>
    <w:p>
      <w:pPr>
        <w:spacing w:after="0" w:line="54" w:lineRule="exact"/>
        <w:rPr>
          <w:sz w:val="20"/>
          <w:szCs w:val="20"/>
          <w:color w:val="auto"/>
        </w:rPr>
      </w:pPr>
    </w:p>
    <w:p>
      <w:pPr>
        <w:ind w:right="220" w:firstLine="436"/>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term of this Agreement shall begin as of the Effective Date and shall continue until Employee’s employment ceases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6 below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620" w:hanging="184"/>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Compensation and Expenses.</w:t>
      </w:r>
    </w:p>
    <w:p>
      <w:pPr>
        <w:spacing w:after="0" w:line="117" w:lineRule="exact"/>
        <w:rPr>
          <w:sz w:val="20"/>
          <w:szCs w:val="20"/>
          <w:color w:val="auto"/>
        </w:rPr>
      </w:pPr>
    </w:p>
    <w:p>
      <w:pPr>
        <w:ind w:right="20" w:firstLine="991"/>
        <w:spacing w:after="0" w:line="29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Salary.</w:t>
      </w:r>
      <w:r>
        <w:rPr>
          <w:rFonts w:ascii="Arial" w:cs="Arial" w:eastAsia="Arial" w:hAnsi="Arial"/>
          <w:sz w:val="16"/>
          <w:szCs w:val="16"/>
          <w:color w:val="auto"/>
        </w:rPr>
        <w:t xml:space="preserve"> As compensation for services under this Agreement, the Company shall pay to Employee a base salary of $700,000 per annum. Such salary will be subject to review by the Board of Directors or its compensation committee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on an annual basis and may be increased from time to time in the discretion of the Board of Directors or the Compensation Committee. Any reduction shall be subject to the provisions of Good Reason (as defined below) and Section 6 below. Payment shall be made in accordance with the Company’s normal payroll practices as in effect from time to time, less all amounts required by law or authorized by Employee to be withheld or deducted. For all purposes under this Agreement, the term “salary” shall mean the regular annual base salary of Employee payable under this Section 3.1, as increased.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121" w:right="439" w:bottom="1440" w:gutter="0" w:footer="0" w:header="0"/>
        </w:sectPr>
      </w:pPr>
    </w:p>
    <w:bookmarkStart w:id="5" w:name="page6"/>
    <w:bookmarkEnd w:id="5"/>
    <w:p>
      <w:pPr>
        <w:ind w:left="4" w:right="16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Arial" w:cs="Arial" w:eastAsia="Arial" w:hAnsi="Arial"/>
          <w:sz w:val="16"/>
          <w:szCs w:val="16"/>
          <w:b w:val="1"/>
          <w:bCs w:val="1"/>
          <w:color w:val="auto"/>
        </w:rPr>
        <w:t>Bonus.</w:t>
      </w:r>
      <w:r>
        <w:rPr>
          <w:rFonts w:ascii="Arial" w:cs="Arial" w:eastAsia="Arial" w:hAnsi="Arial"/>
          <w:sz w:val="16"/>
          <w:szCs w:val="16"/>
          <w:color w:val="auto"/>
        </w:rPr>
        <w:t xml:space="preserve"> In addition to the salary described in Section 3.1 above, Employee shall be entitled to participate in the incentive plan established by OraSure each year for the payment of cash bonuses to senior executive officers of OraSure and its subsidiaries (each, a “</w:t>
      </w:r>
      <w:r>
        <w:rPr>
          <w:rFonts w:ascii="Arial" w:cs="Arial" w:eastAsia="Arial" w:hAnsi="Arial"/>
          <w:sz w:val="16"/>
          <w:szCs w:val="16"/>
          <w:b w:val="1"/>
          <w:bCs w:val="1"/>
          <w:color w:val="auto"/>
        </w:rPr>
        <w:t>Bonus Plan</w:t>
      </w:r>
      <w:r>
        <w:rPr>
          <w:rFonts w:ascii="Arial" w:cs="Arial" w:eastAsia="Arial" w:hAnsi="Arial"/>
          <w:sz w:val="16"/>
          <w:szCs w:val="16"/>
          <w:color w:val="auto"/>
        </w:rPr>
        <w:t>”), on such terms as may be approved by the Board of Directors or the Compensation Committee in its discretion. With respect to each Bonus Plan,</w:t>
      </w:r>
    </w:p>
    <w:p>
      <w:pPr>
        <w:spacing w:after="0" w:line="2" w:lineRule="exact"/>
        <w:rPr>
          <w:sz w:val="20"/>
          <w:szCs w:val="20"/>
          <w:color w:val="auto"/>
        </w:rPr>
      </w:pPr>
    </w:p>
    <w:p>
      <w:pPr>
        <w:ind w:left="4" w:right="80" w:hanging="4"/>
        <w:spacing w:after="0" w:line="253"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shall have a target bonus amount as determined by the Board of Directors or Compensation Committee, but that is at least equal to 100% of Employee’s salary, (b) cash bonuses payable to Employee shall be determined in the same manner as the cash bonuses paid to other senior executive officers of the Company under the applicable Bonus Plan with respect to the same time period, and (c) any earned bonus will be paid not later than March 15th of the year following the year to which such bonus relates. Employee’s 2022 annual cash bonus opportunity will not be pro-rated to reflect the commencement of Employee’s service after the start of 2022.</w:t>
      </w:r>
    </w:p>
    <w:p>
      <w:pPr>
        <w:spacing w:after="0" w:line="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Long-Term Incentive Awards.</w:t>
      </w:r>
    </w:p>
    <w:p>
      <w:pPr>
        <w:spacing w:after="0" w:line="121" w:lineRule="exact"/>
        <w:rPr>
          <w:sz w:val="20"/>
          <w:szCs w:val="20"/>
          <w:color w:val="auto"/>
        </w:rPr>
      </w:pPr>
    </w:p>
    <w:p>
      <w:pPr>
        <w:ind w:left="4" w:firstLine="991"/>
        <w:spacing w:after="0" w:line="275" w:lineRule="auto"/>
        <w:rPr>
          <w:sz w:val="20"/>
          <w:szCs w:val="20"/>
          <w:color w:val="auto"/>
        </w:rPr>
      </w:pPr>
      <w:r>
        <w:rPr>
          <w:rFonts w:ascii="Arial" w:cs="Arial" w:eastAsia="Arial" w:hAnsi="Arial"/>
          <w:sz w:val="17"/>
          <w:szCs w:val="17"/>
          <w:color w:val="auto"/>
        </w:rPr>
        <w:t>3.3.1 With respect to 2023 and subsequent calendar years, Employee shall be eligible to participate in the Long-Term Incentive Policy or comparable long-term incentive equity policy or plan that may from time to time be adopted by the Board of Directors or the Compensation Committee, in its sole discretion (an “</w:t>
      </w:r>
      <w:r>
        <w:rPr>
          <w:rFonts w:ascii="Arial" w:cs="Arial" w:eastAsia="Arial" w:hAnsi="Arial"/>
          <w:sz w:val="17"/>
          <w:szCs w:val="17"/>
          <w:b w:val="1"/>
          <w:bCs w:val="1"/>
          <w:color w:val="auto"/>
        </w:rPr>
        <w:t>LTIP</w:t>
      </w:r>
      <w:r>
        <w:rPr>
          <w:rFonts w:ascii="Arial" w:cs="Arial" w:eastAsia="Arial" w:hAnsi="Arial"/>
          <w:sz w:val="17"/>
          <w:szCs w:val="17"/>
          <w:color w:val="auto"/>
        </w:rPr>
        <w:t>”). It is the current intention of the Company that Employee’s 2023 annual equity awards shall (i) be at least equal or greater in value to the aggregate awards set forth in Sections 4.2 and 4.3 below, and (ii) consist of a mix of time-based versus performance-based equity awards that are substantially equal in value at the time of each such grant.</w:t>
      </w:r>
    </w:p>
    <w:p>
      <w:pPr>
        <w:spacing w:after="0" w:line="68"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3.3.2 All equity awards granted to Employee on or after the Effective Date (including the awards provided for in Section 4) will be subject to accelerated vesting to the extent set forth below:</w:t>
      </w:r>
    </w:p>
    <w:p>
      <w:pPr>
        <w:spacing w:after="0" w:line="62" w:lineRule="exact"/>
        <w:rPr>
          <w:sz w:val="20"/>
          <w:szCs w:val="20"/>
          <w:color w:val="auto"/>
        </w:rPr>
      </w:pPr>
    </w:p>
    <w:p>
      <w:pPr>
        <w:ind w:left="4" w:right="100" w:firstLine="1428"/>
        <w:spacing w:after="0" w:line="263" w:lineRule="auto"/>
        <w:tabs>
          <w:tab w:leader="none" w:pos="168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Employee’s service terminates due to her death or Disability (as defined in Section 6.1): (i) 50% of any outstanding and otherwise unvested time-based awards will then vest, and (ii) 50% of any outstanding performance-based awards subject to an open performance period will then vest at the target performance level;</w:t>
      </w:r>
    </w:p>
    <w:p>
      <w:pPr>
        <w:spacing w:after="0" w:line="75" w:lineRule="exact"/>
        <w:rPr>
          <w:rFonts w:ascii="Arial" w:cs="Arial" w:eastAsia="Arial" w:hAnsi="Arial"/>
          <w:sz w:val="18"/>
          <w:szCs w:val="18"/>
          <w:color w:val="auto"/>
        </w:rPr>
      </w:pPr>
    </w:p>
    <w:p>
      <w:pPr>
        <w:ind w:left="4" w:right="320" w:firstLine="1428"/>
        <w:spacing w:after="0" w:line="275" w:lineRule="auto"/>
        <w:tabs>
          <w:tab w:leader="none" w:pos="1691"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 to the release requirement described in Section 6.7.2, in the event of Employee’s resignation for Good Reason or termination without Cause other than during the Change in Control Period (as those terms are defined in Section 6): (i) 50% of any outstanding and otherwise unvested time-based awards will then vest (other than the Make-Whole Award (as defined below), in which case such percentage shall be 100%), and (ii) 50% of any outstanding performance-based awards subject to an open performance period will remain outstanding and vest (or be forfeited) based on actual performance through the end of the applicable performance period; and</w:t>
      </w:r>
    </w:p>
    <w:p>
      <w:pPr>
        <w:spacing w:after="0" w:line="68" w:lineRule="exact"/>
        <w:rPr>
          <w:rFonts w:ascii="Arial" w:cs="Arial" w:eastAsia="Arial" w:hAnsi="Arial"/>
          <w:sz w:val="17"/>
          <w:szCs w:val="17"/>
          <w:color w:val="auto"/>
        </w:rPr>
      </w:pPr>
    </w:p>
    <w:p>
      <w:pPr>
        <w:ind w:left="4" w:right="40" w:firstLine="1428"/>
        <w:spacing w:after="0" w:line="275" w:lineRule="auto"/>
        <w:tabs>
          <w:tab w:leader="none" w:pos="1681"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 to the release requirement described in Section 6.7.2, in the event of Employee’s resignation for Good Reason or termination without Cause during the Change in Control Period: (i) all outstanding and otherwise unvested time-based awards will then vest, and (ii) all outstanding performance-based awards subject to an open performance period will remain outstanding and vest (or be forfeited) based on actual performance through the end of the applicable performance period (but at not less than the target performance level, where such resignation or termination occurs both during the Change in Control Period and upon or following the Change in Control).</w:t>
      </w:r>
    </w:p>
    <w:p>
      <w:pPr>
        <w:sectPr>
          <w:pgSz w:w="11900" w:h="16838" w:orient="portrait"/>
          <w:cols w:equalWidth="0" w:num="1">
            <w:col w:w="10964"/>
          </w:cols>
          <w:pgMar w:left="436" w:top="270" w:right="499" w:bottom="1440" w:gutter="0" w:footer="0" w:header="0"/>
        </w:sectPr>
      </w:pPr>
    </w:p>
    <w:bookmarkStart w:id="6" w:name="page7"/>
    <w:bookmarkEnd w:id="6"/>
    <w:p>
      <w:pPr>
        <w:ind w:right="140" w:firstLine="99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Arial" w:cs="Arial" w:eastAsia="Arial" w:hAnsi="Arial"/>
          <w:sz w:val="18"/>
          <w:szCs w:val="18"/>
          <w:b w:val="1"/>
          <w:bCs w:val="1"/>
          <w:color w:val="auto"/>
        </w:rPr>
        <w:t>Employee Benefits.</w:t>
      </w:r>
      <w:r>
        <w:rPr>
          <w:rFonts w:ascii="Arial" w:cs="Arial" w:eastAsia="Arial" w:hAnsi="Arial"/>
          <w:sz w:val="18"/>
          <w:szCs w:val="18"/>
          <w:color w:val="auto"/>
        </w:rPr>
        <w:t xml:space="preserve"> Employee shall be entitled to receive or participate in any additional benefits, including without limitation medical and dental insurance programs, qualified and non-qualified profit sharing or pension plans, disability plans, medical reimbursement plans, and life insurance programs, which may from time to time be made available by the Company to other senior executive officers of the Company. The Company may change or discontinue such benefits at any time in its sole discretion; provided that the benefits provided to Employee shall be determined in the same manner as the benefits provided to other senior executive officers of the Company under such plans with respect to the same time period.</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The Company shall reimburse Employee for: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3.5.1 reasonable legal fees incurred in connection with the negotiation and documentation of this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3.5.2 reasonable car service fees incurred to commute between her home and the Company’s offices; and</w:t>
      </w:r>
    </w:p>
    <w:p>
      <w:pPr>
        <w:spacing w:after="0" w:line="11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3.5.3 all reasonable and necessary expenses incurred in carrying out her duties under this Agreement, subject to compliance with the Company’s policies relating to expense reimbursement. Expenses subject to reimbursement under this Section 3.5.3 shall include, but not be limited to, the cost of business-related travel, lodging and meals and the fees and expenses incurred by Employee to maintain her membership in relevant professional associations.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reimbursements under this Section 3.5 will be made as soon as practicable after submission of any required documentation in compliance with the Company’s policies relating to expense reimbursement.</w:t>
      </w:r>
    </w:p>
    <w:p>
      <w:pPr>
        <w:spacing w:after="0" w:line="58"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Fees.</w:t>
      </w:r>
      <w:r>
        <w:rPr>
          <w:rFonts w:ascii="Arial" w:cs="Arial" w:eastAsia="Arial" w:hAnsi="Arial"/>
          <w:sz w:val="17"/>
          <w:szCs w:val="17"/>
          <w:color w:val="auto"/>
        </w:rPr>
        <w:t xml:space="preserve"> From and after the Effective Date, all compensation earned by Employee, other than pursuant to this Agreement, as a result of services performed on behalf of the Company or as a result of or arising out of any work done by Employee in any way related to the scientific or business activities of the Company shall belong to the Company. Employee shall pay or deliver such compensation to the Company promptly upon receipt. For the purposes of this provision, “compensation” shall include, but is not limited to, all professional and nonprofessional fees, lecture fees, expert testimony fees, publishing fees, royalties, and any related income, earnings, or other things of value; and “scientific or business activities of the Company” shall include, but not be limited to, any project or projects in which the Company is involved and any subject matter that is directly or indirectly researched, tested, developed, promoted, or marketed by the Company.</w:t>
      </w:r>
    </w:p>
    <w:p>
      <w:pPr>
        <w:spacing w:after="0" w:line="64" w:lineRule="exact"/>
        <w:rPr>
          <w:sz w:val="20"/>
          <w:szCs w:val="20"/>
          <w:color w:val="auto"/>
        </w:rPr>
      </w:pPr>
    </w:p>
    <w:p>
      <w:pPr>
        <w:ind w:right="620" w:firstLine="436"/>
        <w:spacing w:after="0" w:line="28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Onboarding Compensation. </w:t>
      </w:r>
      <w:r>
        <w:rPr>
          <w:rFonts w:ascii="Arial" w:cs="Arial" w:eastAsia="Arial" w:hAnsi="Arial"/>
          <w:sz w:val="18"/>
          <w:szCs w:val="18"/>
          <w:color w:val="auto"/>
        </w:rPr>
        <w:t>As an inducement for Employee to enter into this Agreement and accept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will be granted the following equity awards upon commencement of her employment hereunder:</w:t>
      </w:r>
    </w:p>
    <w:p>
      <w:pPr>
        <w:spacing w:after="0" w:line="5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4.1 a restricted stock (or restricted stock unit) award with respect to a number of shares of the Company’s common stock determined by dividing $4,000,000 by the average closing price of the Company’s common stock for the twenty (20) trading days immediately preceding the grant date (the “</w:t>
      </w:r>
      <w:r>
        <w:rPr>
          <w:rFonts w:ascii="Arial" w:cs="Arial" w:eastAsia="Arial" w:hAnsi="Arial"/>
          <w:sz w:val="18"/>
          <w:szCs w:val="18"/>
          <w:b w:val="1"/>
          <w:bCs w:val="1"/>
          <w:color w:val="auto"/>
        </w:rPr>
        <w:t>Make Whole Award</w:t>
      </w:r>
      <w:r>
        <w:rPr>
          <w:rFonts w:ascii="Arial" w:cs="Arial" w:eastAsia="Arial" w:hAnsi="Arial"/>
          <w:sz w:val="18"/>
          <w:szCs w:val="18"/>
          <w:color w:val="auto"/>
        </w:rPr>
        <w:t>”). The Make Whole Award will vest on the second anniversary of the Effective Date, subject to the continued service of Employee through that date.</w:t>
      </w:r>
    </w:p>
    <w:p>
      <w:pPr>
        <w:spacing w:after="0" w:line="79"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4.2 a restricted stock (or restricted stock unit) award with respect to a number of shares of the Company’s common stock determined by dividing $1,600,000 by the average closing price of the Company’s common stock for the twenty (20) trading days immediately preceding the grant date (the “</w:t>
      </w:r>
      <w:r>
        <w:rPr>
          <w:rFonts w:ascii="Arial" w:cs="Arial" w:eastAsia="Arial" w:hAnsi="Arial"/>
          <w:sz w:val="17"/>
          <w:szCs w:val="17"/>
          <w:b w:val="1"/>
          <w:bCs w:val="1"/>
          <w:color w:val="auto"/>
        </w:rPr>
        <w:t>2022 Time-Vested Award</w:t>
      </w:r>
      <w:r>
        <w:rPr>
          <w:rFonts w:ascii="Arial" w:cs="Arial" w:eastAsia="Arial" w:hAnsi="Arial"/>
          <w:sz w:val="17"/>
          <w:szCs w:val="17"/>
          <w:color w:val="auto"/>
        </w:rPr>
        <w:t>”). The 2022 Time-Vested Award will vest in three equal annual installments, on the first three anniversaries of the Effective Date, subject in each case to the continued service of Employee through the applicable vesting date.</w:t>
      </w:r>
    </w:p>
    <w:p>
      <w:pPr>
        <w:sectPr>
          <w:pgSz w:w="11900" w:h="16838" w:orient="portrait"/>
          <w:cols w:equalWidth="0" w:num="1">
            <w:col w:w="10980"/>
          </w:cols>
          <w:pgMar w:left="440" w:top="270" w:right="479" w:bottom="1440" w:gutter="0" w:footer="0" w:header="0"/>
        </w:sectPr>
      </w:pPr>
    </w:p>
    <w:bookmarkStart w:id="7" w:name="page8"/>
    <w:bookmarkEnd w:id="7"/>
    <w:p>
      <w:pPr>
        <w:ind w:left="4" w:right="4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 a performance-based restricted stock unit with respect to a target number of shares of the Company’s common stock determined by dividing $1,600,000 by the average closing price of the Company’s common stock for the twenty (20) trading days immediately preceding the grant date (the “</w:t>
      </w:r>
      <w:r>
        <w:rPr>
          <w:rFonts w:ascii="Arial" w:cs="Arial" w:eastAsia="Arial" w:hAnsi="Arial"/>
          <w:sz w:val="17"/>
          <w:szCs w:val="17"/>
          <w:b w:val="1"/>
          <w:bCs w:val="1"/>
          <w:color w:val="auto"/>
        </w:rPr>
        <w:t>2022 PRSUs</w:t>
      </w:r>
      <w:r>
        <w:rPr>
          <w:rFonts w:ascii="Arial" w:cs="Arial" w:eastAsia="Arial" w:hAnsi="Arial"/>
          <w:sz w:val="17"/>
          <w:szCs w:val="17"/>
          <w:color w:val="auto"/>
        </w:rPr>
        <w:t>”). The 2022 PRSUs will be subject to the same vesting and performance conditions as are applicable to the performance-based restricted stock unit awards granted to the Company’s other executive officers in the first calendar quarter of 2022.</w:t>
      </w:r>
    </w:p>
    <w:p>
      <w:pPr>
        <w:spacing w:after="0" w:line="59" w:lineRule="exact"/>
        <w:rPr>
          <w:sz w:val="20"/>
          <w:szCs w:val="20"/>
          <w:color w:val="auto"/>
        </w:rPr>
      </w:pPr>
    </w:p>
    <w:p>
      <w:pPr>
        <w:ind w:left="4" w:right="120" w:firstLine="436"/>
        <w:spacing w:after="0" w:line="253"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Employee’s compliance with the terms of the Confidentiality Agreement is a material requirement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breach of the Confidentiality Agreement that is materially detrimental to the Company and that, if capable of being cured, is not cured within 30 days of written notice thereof from the Company to Employee shall constitute a material breach of this Agreement. Notwithstanding the foregoing, (i) nothing in this Agreement or the Confidentiality Agreement shall prohibit the Employee from reporting possible violations of law or a regulation to any governmental agency or entity or self-regulatory organization or making disclosures that are protected under law, including the whistleblower provisions of U.S. federal law or regulation; and (ii) in accordance with the U.S. Defend Trade Secrets Act of 2016, Employee shall not be held criminally or civilly liable under any U.S. federal or state trade secret law for the disclosure of a trade secret that: (A) is made (i) in confidence to a U.S.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86" w:lineRule="exact"/>
        <w:rPr>
          <w:rFonts w:ascii="Arial" w:cs="Arial" w:eastAsia="Arial" w:hAnsi="Arial"/>
          <w:sz w:val="18"/>
          <w:szCs w:val="18"/>
          <w:color w:val="auto"/>
        </w:rPr>
      </w:pPr>
    </w:p>
    <w:p>
      <w:pPr>
        <w:ind w:left="624" w:hanging="184"/>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117"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Termination Upon Death or Disability.</w:t>
      </w:r>
      <w:r>
        <w:rPr>
          <w:rFonts w:ascii="Arial" w:cs="Arial" w:eastAsia="Arial" w:hAnsi="Arial"/>
          <w:sz w:val="16"/>
          <w:szCs w:val="16"/>
          <w:color w:val="auto"/>
        </w:rPr>
        <w:t xml:space="preserve"> Employee’s employment under this Agreement shall terminate immediately upon Employee’s death or Disability. The term “</w:t>
      </w:r>
      <w:r>
        <w:rPr>
          <w:rFonts w:ascii="Arial" w:cs="Arial" w:eastAsia="Arial" w:hAnsi="Arial"/>
          <w:sz w:val="16"/>
          <w:szCs w:val="16"/>
          <w:b w:val="1"/>
          <w:bCs w:val="1"/>
          <w:color w:val="auto"/>
        </w:rPr>
        <w:t>Disability</w:t>
      </w:r>
      <w:r>
        <w:rPr>
          <w:rFonts w:ascii="Arial" w:cs="Arial" w:eastAsia="Arial" w:hAnsi="Arial"/>
          <w:sz w:val="16"/>
          <w:szCs w:val="16"/>
          <w:color w:val="auto"/>
        </w:rPr>
        <w:t>” means Employee is (a) unable to engage in any substantial gainful activity by reason of any medically determinable physical or mental impairment that can be expected to result in death or can be expected to last for a continuous period of not less than twelve (12) months; or (b) by reason of any medically determinable physical or mental impairment that can be expected to result in death or can be expected to last for a continuous period of not less than twelve (12) months, receiving income replacement benefits for a period of not less than three</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(3) months under an accident and health plan covering employees of the Company</w:t>
      </w:r>
      <w:r>
        <w:rPr>
          <w:rFonts w:ascii="Arial" w:cs="Arial" w:eastAsia="Arial" w:hAnsi="Arial"/>
          <w:sz w:val="18"/>
          <w:szCs w:val="18"/>
          <w:i w:val="1"/>
          <w:iCs w:val="1"/>
          <w:color w:val="auto"/>
        </w:rPr>
        <w:t>.</w:t>
      </w:r>
    </w:p>
    <w:p>
      <w:pPr>
        <w:spacing w:after="0" w:line="99" w:lineRule="exact"/>
        <w:rPr>
          <w:sz w:val="20"/>
          <w:szCs w:val="20"/>
          <w:color w:val="auto"/>
        </w:rPr>
      </w:pPr>
    </w:p>
    <w:p>
      <w:pPr>
        <w:ind w:left="4" w:right="260" w:firstLine="991"/>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Termination by Employee Without Good Reason.</w:t>
      </w:r>
      <w:r>
        <w:rPr>
          <w:rFonts w:ascii="Arial" w:cs="Arial" w:eastAsia="Arial" w:hAnsi="Arial"/>
          <w:sz w:val="18"/>
          <w:szCs w:val="18"/>
          <w:color w:val="auto"/>
        </w:rPr>
        <w:t xml:space="preserve"> Employee may terminate her employment under this Agreement without Good Reason (as defined below) upon thirty (30) days’ written notice to the Company.</w:t>
      </w:r>
    </w:p>
    <w:p>
      <w:pPr>
        <w:spacing w:after="0" w:line="54" w:lineRule="exact"/>
        <w:rPr>
          <w:sz w:val="20"/>
          <w:szCs w:val="20"/>
          <w:color w:val="auto"/>
        </w:rPr>
      </w:pPr>
    </w:p>
    <w:p>
      <w:pPr>
        <w:ind w:left="4" w:right="80" w:firstLine="991"/>
        <w:spacing w:after="0" w:line="28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Termination by the Company for Cause.</w:t>
      </w:r>
      <w:r>
        <w:rPr>
          <w:rFonts w:ascii="Arial" w:cs="Arial" w:eastAsia="Arial" w:hAnsi="Arial"/>
          <w:sz w:val="16"/>
          <w:szCs w:val="16"/>
          <w:color w:val="auto"/>
        </w:rPr>
        <w:t xml:space="preserve"> Employee’s employment under this Agreement may be terminated by the Company at any time for Cause. Only the following actions, failures, or events by or affecting Employee shall constitute “</w:t>
      </w:r>
      <w:r>
        <w:rPr>
          <w:rFonts w:ascii="Arial" w:cs="Arial" w:eastAsia="Arial" w:hAnsi="Arial"/>
          <w:sz w:val="16"/>
          <w:szCs w:val="16"/>
          <w:b w:val="1"/>
          <w:bCs w:val="1"/>
          <w:color w:val="auto"/>
        </w:rPr>
        <w:t>Cause</w:t>
      </w:r>
      <w:r>
        <w:rPr>
          <w:rFonts w:ascii="Arial" w:cs="Arial" w:eastAsia="Arial" w:hAnsi="Arial"/>
          <w:sz w:val="16"/>
          <w:szCs w:val="16"/>
          <w:color w:val="auto"/>
        </w:rPr>
        <w:t>” for termination of Employee by the Company: (i) willful and continued failure by Employee to substantially perform her duties provided herein after a written demand for substantial performance is delivered to Employee by the Board of Directors, which demand identifies with reasonable specificity the manner in which Employee has not substantially performed her duties, and Employee’s failure to comply with such demand within a reasonable time, which shall not be less than thirty (30) days after Employee’s receipt of such demand; (ii) the engaging by Employee in gross misconduct or gross negligence materially injurious to the Company, which if capable of being cured, is not cured within thirty (30) days of written notice thereof from the Board of Directors to Employee;</w:t>
      </w:r>
    </w:p>
    <w:p>
      <w:pPr>
        <w:spacing w:after="0" w:line="1" w:lineRule="exact"/>
        <w:rPr>
          <w:sz w:val="20"/>
          <w:szCs w:val="20"/>
          <w:color w:val="auto"/>
        </w:rPr>
      </w:pPr>
    </w:p>
    <w:p>
      <w:pPr>
        <w:ind w:left="4" w:right="80" w:hanging="4"/>
        <w:spacing w:after="0" w:line="255"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material violation of the Confidentiality Agreement or any other restrictive covenant between Employee and the Company or any of its affiliates; or (iv) the commission of any willful act that is materially detrimental to the best interests of the Company, which if capable of being cured, is not cured within thirty (30) days of written notice thereof from the Board of Directors to Employee; or (v) Employee’s</w:t>
      </w:r>
    </w:p>
    <w:p>
      <w:pPr>
        <w:sectPr>
          <w:pgSz w:w="11900" w:h="16838" w:orient="portrait"/>
          <w:cols w:equalWidth="0" w:num="1">
            <w:col w:w="11024"/>
          </w:cols>
          <w:pgMar w:left="436" w:top="274" w:right="439" w:bottom="1440" w:gutter="0" w:footer="0" w:header="0"/>
        </w:sectPr>
      </w:pPr>
    </w:p>
    <w:bookmarkStart w:id="8" w:name="page9"/>
    <w:bookmarkEnd w:id="8"/>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conviction of having committed a felony. No action or failure to act on Employee’s part will be considered “willful” unless it is done without the good faith reasonable belief that such action was in the best interests of the Company, or if it is done upon the advice of Company counsel. Notwithstanding the foregoing, Employee shall not be deemed to have been terminated by the Company for Cause unless and until there shall have been delivered to her a copy of a resolution duly adopted by the affirmative vote of not less than a majority of the entire membership of the Board of Directors finding that, in the good faith opinion of the Board of Directors, the Company has Cause for the termination of the employment of Employee as set forth in any of clauses (i) through (v) above and specifying the particulars thereof in reasonable detail.</w:t>
      </w:r>
    </w:p>
    <w:p>
      <w:pPr>
        <w:spacing w:after="0" w:line="66"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color w:val="auto"/>
        </w:rPr>
        <w:t>Termination by Employee With Good Reason.</w:t>
      </w:r>
      <w:r>
        <w:rPr>
          <w:rFonts w:ascii="Arial" w:cs="Arial" w:eastAsia="Arial" w:hAnsi="Arial"/>
          <w:sz w:val="16"/>
          <w:szCs w:val="16"/>
          <w:color w:val="auto"/>
        </w:rPr>
        <w:t xml:space="preserve"> Employee may terminate her employment under this Agreement for Good Reason; provided that (i) Employee gives written notice to the Board of Directors within sixty (60) days of the event constituting Good Reason; (ii) the Company has not cured the event giving rise to such notice within thirty (30) days of receipt of Employee’s notice; and (iii) Employee resigns her employment within thirty (30) days following the expiration of such cure period. The term “</w:t>
      </w:r>
      <w:r>
        <w:rPr>
          <w:rFonts w:ascii="Arial" w:cs="Arial" w:eastAsia="Arial" w:hAnsi="Arial"/>
          <w:sz w:val="16"/>
          <w:szCs w:val="16"/>
          <w:b w:val="1"/>
          <w:bCs w:val="1"/>
          <w:color w:val="auto"/>
        </w:rPr>
        <w:t>Good Reason</w:t>
      </w:r>
      <w:r>
        <w:rPr>
          <w:rFonts w:ascii="Arial" w:cs="Arial" w:eastAsia="Arial" w:hAnsi="Arial"/>
          <w:sz w:val="16"/>
          <w:szCs w:val="16"/>
          <w:color w:val="auto"/>
        </w:rPr>
        <w:t>” shall mean any of the following actions that are taken without Employee’s prior written consent: (a) a diminution in Employee’s base salary or target bonus opportunity, (b) a material diminution in Employee’s authority, duties or responsibilities as the President and Chief Executive Officer; (c) a change in Employee’s reporting obligation; (d) a relocation of Employee’s principal worksite by more than thirty (30) miles, unless the new worksite is equidistant or closer to Employee’s primary residence than the former worksite; or (e) any other material breach of this Agreement by the Company (or its successor).</w:t>
      </w:r>
    </w:p>
    <w:p>
      <w:pPr>
        <w:spacing w:after="0" w:line="51"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Termination by the Company Without Cause.</w:t>
      </w:r>
      <w:r>
        <w:rPr>
          <w:rFonts w:ascii="Arial" w:cs="Arial" w:eastAsia="Arial" w:hAnsi="Arial"/>
          <w:sz w:val="18"/>
          <w:szCs w:val="18"/>
          <w:color w:val="auto"/>
        </w:rPr>
        <w:t xml:space="preserve"> The Company may terminate Employee’s employment under this Agreement without Cause by thirty (30) days’ written notice to Employee.</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color w:val="auto"/>
        </w:rPr>
        <w:t>Definitions.</w:t>
      </w:r>
      <w:r>
        <w:rPr>
          <w:rFonts w:ascii="Arial" w:cs="Arial" w:eastAsia="Arial" w:hAnsi="Arial"/>
          <w:sz w:val="17"/>
          <w:szCs w:val="17"/>
          <w:color w:val="auto"/>
        </w:rPr>
        <w:t xml:space="preserve"> For purposes of this Agreement, the term “</w:t>
      </w:r>
      <w:r>
        <w:rPr>
          <w:rFonts w:ascii="Arial" w:cs="Arial" w:eastAsia="Arial" w:hAnsi="Arial"/>
          <w:sz w:val="17"/>
          <w:szCs w:val="17"/>
          <w:b w:val="1"/>
          <w:bCs w:val="1"/>
          <w:color w:val="auto"/>
        </w:rPr>
        <w:t>Change of Control Period</w:t>
      </w:r>
      <w:r>
        <w:rPr>
          <w:rFonts w:ascii="Arial" w:cs="Arial" w:eastAsia="Arial" w:hAnsi="Arial"/>
          <w:sz w:val="17"/>
          <w:szCs w:val="17"/>
          <w:color w:val="auto"/>
        </w:rPr>
        <w:t>” shall mean the period which begins sixty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(60) days prior to the consummation of a Change of Control and ends eighteen (18) months thereafter. For purposes of this Agreement, the 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a change of control of a nature that would be required to be reported in response to Item 6(e) of Schedule 14A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 14A pursuant to the U.S. Securities Exchange Act of 1934 (the “</w:t>
      </w:r>
      <w:r>
        <w:rPr>
          <w:rFonts w:ascii="Arial" w:cs="Arial" w:eastAsia="Arial" w:hAnsi="Arial"/>
          <w:sz w:val="16"/>
          <w:szCs w:val="16"/>
          <w:b w:val="1"/>
          <w:bCs w:val="1"/>
          <w:color w:val="auto"/>
        </w:rPr>
        <w:t>Exchange Act</w:t>
      </w:r>
      <w:r>
        <w:rPr>
          <w:rFonts w:ascii="Arial" w:cs="Arial" w:eastAsia="Arial" w:hAnsi="Arial"/>
          <w:sz w:val="16"/>
          <w:szCs w:val="16"/>
          <w:color w:val="auto"/>
        </w:rPr>
        <w:t>”); provided, however, that a change of control shall only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have occurred at such time as (i) any person, or more than one person acting as a group within the meaning of Section 409A of the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Code (the “</w:t>
      </w:r>
      <w:r>
        <w:rPr>
          <w:rFonts w:ascii="Arial" w:cs="Arial" w:eastAsia="Arial" w:hAnsi="Arial"/>
          <w:sz w:val="16"/>
          <w:szCs w:val="16"/>
          <w:b w:val="1"/>
          <w:bCs w:val="1"/>
          <w:color w:val="auto"/>
        </w:rPr>
        <w:t>Code</w:t>
      </w:r>
      <w:r>
        <w:rPr>
          <w:rFonts w:ascii="Arial" w:cs="Arial" w:eastAsia="Arial" w:hAnsi="Arial"/>
          <w:sz w:val="16"/>
          <w:szCs w:val="16"/>
          <w:color w:val="auto"/>
        </w:rPr>
        <w:t>”) and the regulations issued thereunder, acquires ownership of stock of the Company that, together with stock held by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person or group, constitutes more than fifty percent (50%) of the total fair market value or total voting power of the stock of the Company; (ii)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 or more than one person acting as a group within the meaning of Code Section 409A and the regulations issued thereunder, acquires (or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acquired during the twelve (12) month period ending on the date of the most recent acquisition) ownership of stock of the Company possessing thirty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 (30%) or more of the total voting power of the Company’s stock; (iii) a majority of the members of the Board of Directors is replaced during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twelve (12) month period by directors whose appointment or election is not endorsed by a majority of the members of the Board of Directors before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of the appointment or election; or (iv) a person, or more than one person acting as a group within the meaning of Code Section 409A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issued thereunder, acquires (or has acquired during the 12-month period ending on the date of the most recent acquisition) assets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that have a total gross fair market value equal to or more than 40 percent of the total gross fair market value of all the assets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immediately before such acquisition or acquisitions.</w:t>
      </w:r>
    </w:p>
    <w:p>
      <w:pPr>
        <w:sectPr>
          <w:pgSz w:w="11900" w:h="16838" w:orient="portrait"/>
          <w:cols w:equalWidth="0" w:num="1">
            <w:col w:w="11000"/>
          </w:cols>
          <w:pgMar w:left="440" w:top="274" w:right="459" w:bottom="1440" w:gutter="0" w:footer="0" w:header="0"/>
        </w:sectPr>
      </w:pPr>
    </w:p>
    <w:bookmarkStart w:id="9" w:name="page10"/>
    <w:bookmarkEnd w:id="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6.7 </w:t>
      </w:r>
      <w:r>
        <w:rPr>
          <w:rFonts w:ascii="Arial" w:cs="Arial" w:eastAsia="Arial" w:hAnsi="Arial"/>
          <w:sz w:val="18"/>
          <w:szCs w:val="18"/>
          <w:b w:val="1"/>
          <w:bCs w:val="1"/>
          <w:color w:val="auto"/>
        </w:rPr>
        <w:t>Compensation Upon Termination.</w:t>
      </w:r>
    </w:p>
    <w:p>
      <w:pPr>
        <w:spacing w:after="0" w:line="117" w:lineRule="exact"/>
        <w:rPr>
          <w:sz w:val="20"/>
          <w:szCs w:val="20"/>
          <w:color w:val="auto"/>
        </w:rPr>
      </w:pPr>
    </w:p>
    <w:p>
      <w:pPr>
        <w:ind w:right="40" w:firstLine="1432"/>
        <w:spacing w:after="0" w:line="286" w:lineRule="auto"/>
        <w:rPr>
          <w:sz w:val="20"/>
          <w:szCs w:val="20"/>
          <w:color w:val="auto"/>
        </w:rPr>
      </w:pPr>
      <w:r>
        <w:rPr>
          <w:rFonts w:ascii="Arial" w:cs="Arial" w:eastAsia="Arial" w:hAnsi="Arial"/>
          <w:sz w:val="16"/>
          <w:szCs w:val="16"/>
          <w:color w:val="auto"/>
        </w:rPr>
        <w:t xml:space="preserve">6.7.1 </w:t>
      </w:r>
      <w:r>
        <w:rPr>
          <w:rFonts w:ascii="Arial" w:cs="Arial" w:eastAsia="Arial" w:hAnsi="Arial"/>
          <w:sz w:val="16"/>
          <w:szCs w:val="16"/>
          <w:b w:val="1"/>
          <w:bCs w:val="1"/>
          <w:color w:val="auto"/>
        </w:rPr>
        <w:t>Termination Upon Death or Disability, by Employee (Other Than for Good Reason) or for Cause.</w:t>
      </w:r>
      <w:r>
        <w:rPr>
          <w:rFonts w:ascii="Arial" w:cs="Arial" w:eastAsia="Arial" w:hAnsi="Arial"/>
          <w:sz w:val="16"/>
          <w:szCs w:val="16"/>
          <w:color w:val="auto"/>
        </w:rPr>
        <w:t xml:space="preserve"> In the event of a termination of Employee’s employment under Sections 6.1, 6.2 or 6.3, all salary and benefits shall cease on the date of termination, subject to the terms of any benefit plans then in force and applicable to Employee, and the Company shall have no further liability or obligation hereunder by reason of such termination, save and except as stated herein. In the event of a termination of Employee’s employment under Sections 6.1, 6.2 or 6.3, Employee or her estate, as applicable, shall be paid all salary earned under Section 3.1 through the date of termination on the next regularly scheduled payroll date following the termination date (“</w:t>
      </w:r>
      <w:r>
        <w:rPr>
          <w:rFonts w:ascii="Arial" w:cs="Arial" w:eastAsia="Arial" w:hAnsi="Arial"/>
          <w:sz w:val="16"/>
          <w:szCs w:val="16"/>
          <w:b w:val="1"/>
          <w:bCs w:val="1"/>
          <w:color w:val="auto"/>
        </w:rPr>
        <w:t>Accrued Salary and Benefits</w:t>
      </w:r>
      <w:r>
        <w:rPr>
          <w:rFonts w:ascii="Arial" w:cs="Arial" w:eastAsia="Arial" w:hAnsi="Arial"/>
          <w:sz w:val="16"/>
          <w:szCs w:val="16"/>
          <w:color w:val="auto"/>
        </w:rPr>
        <w:t>”). With respect to terminations under Sections 6.1 and 6.2 only, Employee or her estate, as applicable, shall receive, in addition to the foregoing, any annual bonus that has been otherwise earned but not yet paid with respect to a year ending prior to the date of termination (the “</w:t>
      </w:r>
      <w:r>
        <w:rPr>
          <w:rFonts w:ascii="Arial" w:cs="Arial" w:eastAsia="Arial" w:hAnsi="Arial"/>
          <w:sz w:val="16"/>
          <w:szCs w:val="16"/>
          <w:b w:val="1"/>
          <w:bCs w:val="1"/>
          <w:color w:val="auto"/>
        </w:rPr>
        <w:t>Accrued Bonus</w:t>
      </w:r>
      <w:r>
        <w:rPr>
          <w:rFonts w:ascii="Arial" w:cs="Arial" w:eastAsia="Arial" w:hAnsi="Arial"/>
          <w:sz w:val="16"/>
          <w:szCs w:val="16"/>
          <w:color w:val="auto"/>
        </w:rPr>
        <w:t>”), payable at the time that cash bonuses are or would otherwise be payable to other officers of the Company in respect of such year. In the event of a termination under Sections 6.1 or 6.2 that occurs after June 30 in any given year, Employee or her estate, as applicable, shall receive a prorated portion of her target annual cash bonus (subject to adjustment for bonus pool funding as determined by the Board of Directors or Compensation Committee) for the calendar year in which termination occurs (calculated based on the number of days in the calendar year that have passed prior to Employee’s termination), payable at the time that cash bonuses are or would otherwise be payable to other officers of the Company in respect of such year (the “</w:t>
      </w:r>
      <w:r>
        <w:rPr>
          <w:rFonts w:ascii="Arial" w:cs="Arial" w:eastAsia="Arial" w:hAnsi="Arial"/>
          <w:sz w:val="16"/>
          <w:szCs w:val="16"/>
          <w:b w:val="1"/>
          <w:bCs w:val="1"/>
          <w:color w:val="auto"/>
        </w:rPr>
        <w:t>Prorated Bonus</w:t>
      </w:r>
      <w:r>
        <w:rPr>
          <w:rFonts w:ascii="Arial" w:cs="Arial" w:eastAsia="Arial" w:hAnsi="Arial"/>
          <w:sz w:val="16"/>
          <w:szCs w:val="16"/>
          <w:color w:val="auto"/>
        </w:rPr>
        <w:t>”). For greater certainty, in the event a termination under Sections 6.1 or 6.2 occurs on or before June 30 in any given year, Employee or her estate, as applicable, shall not receive a Prorated Bonus. The Accrued Salary and Benefits and Prorated Bonus (if any) are herein referred to collectively as the “</w:t>
      </w:r>
      <w:r>
        <w:rPr>
          <w:rFonts w:ascii="Arial" w:cs="Arial" w:eastAsia="Arial" w:hAnsi="Arial"/>
          <w:sz w:val="16"/>
          <w:szCs w:val="16"/>
          <w:b w:val="1"/>
          <w:bCs w:val="1"/>
          <w:color w:val="auto"/>
        </w:rPr>
        <w:t>Accrued Obligations</w:t>
      </w:r>
      <w:r>
        <w:rPr>
          <w:rFonts w:ascii="Arial" w:cs="Arial" w:eastAsia="Arial" w:hAnsi="Arial"/>
          <w:sz w:val="16"/>
          <w:szCs w:val="16"/>
          <w:color w:val="auto"/>
        </w:rPr>
        <w:t>.”</w:t>
      </w:r>
    </w:p>
    <w:p>
      <w:pPr>
        <w:spacing w:after="0" w:line="5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6.7.2 </w:t>
      </w:r>
      <w:r>
        <w:rPr>
          <w:rFonts w:ascii="Arial" w:cs="Arial" w:eastAsia="Arial" w:hAnsi="Arial"/>
          <w:sz w:val="16"/>
          <w:szCs w:val="16"/>
          <w:b w:val="1"/>
          <w:bCs w:val="1"/>
          <w:color w:val="auto"/>
        </w:rPr>
        <w:t>Termination Without Cause or Upon Good Reason.</w:t>
      </w:r>
      <w:r>
        <w:rPr>
          <w:rFonts w:ascii="Arial" w:cs="Arial" w:eastAsia="Arial" w:hAnsi="Arial"/>
          <w:sz w:val="16"/>
          <w:szCs w:val="16"/>
          <w:color w:val="auto"/>
        </w:rPr>
        <w:t xml:space="preserve"> In the event of a termination of Employee’s employment under Sections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6.4 or 6.5 of this Agreement, the following shall occur:</w:t>
      </w:r>
    </w:p>
    <w:p>
      <w:pPr>
        <w:spacing w:after="0" w:line="103" w:lineRule="exact"/>
        <w:rPr>
          <w:sz w:val="20"/>
          <w:szCs w:val="20"/>
          <w:color w:val="auto"/>
        </w:rPr>
      </w:pPr>
    </w:p>
    <w:p>
      <w:pPr>
        <w:ind w:left="2200" w:hanging="221"/>
        <w:spacing w:after="0"/>
        <w:tabs>
          <w:tab w:leader="none" w:pos="2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shall receive the Accrued Obligations;</w:t>
      </w:r>
    </w:p>
    <w:p>
      <w:pPr>
        <w:spacing w:after="0" w:line="117" w:lineRule="exact"/>
        <w:rPr>
          <w:rFonts w:ascii="Arial" w:cs="Arial" w:eastAsia="Arial" w:hAnsi="Arial"/>
          <w:sz w:val="18"/>
          <w:szCs w:val="18"/>
          <w:color w:val="auto"/>
        </w:rPr>
      </w:pPr>
    </w:p>
    <w:p>
      <w:pPr>
        <w:ind w:right="400" w:firstLine="1979"/>
        <w:spacing w:after="0" w:line="263" w:lineRule="auto"/>
        <w:tabs>
          <w:tab w:leader="none" w:pos="22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shall receive: (A) if such termination does not occur during a Change of Control Period, a lump sum cash payment equivalent to 18 months of Employee’s annual salary; or (B) if such termination occurs during a Change of Control Period, a lump sum payment equivalent to 24 months of the Employee’s annual salary;</w:t>
      </w:r>
    </w:p>
    <w:p>
      <w:pPr>
        <w:spacing w:after="0" w:line="75" w:lineRule="exact"/>
        <w:rPr>
          <w:rFonts w:ascii="Arial" w:cs="Arial" w:eastAsia="Arial" w:hAnsi="Arial"/>
          <w:sz w:val="18"/>
          <w:szCs w:val="18"/>
          <w:color w:val="auto"/>
        </w:rPr>
      </w:pPr>
    </w:p>
    <w:p>
      <w:pPr>
        <w:ind w:right="140" w:firstLine="1979"/>
        <w:spacing w:after="0" w:line="311" w:lineRule="auto"/>
        <w:tabs>
          <w:tab w:leader="none" w:pos="2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Employee shall receive an additional lump sum cash payment equal to (A) if such termination does not occur during a Change of Control Period, 150% of Employee’s target bonus amount for the calendar year in which such termination occurs; or (B) if such termination occurs during a Change of Control Period, 200% of Employee’s target bonus amount for the calendar year in which such termination occurs;</w:t>
      </w:r>
    </w:p>
    <w:p>
      <w:pPr>
        <w:spacing w:after="0" w:line="40" w:lineRule="exact"/>
        <w:rPr>
          <w:rFonts w:ascii="Arial" w:cs="Arial" w:eastAsia="Arial" w:hAnsi="Arial"/>
          <w:sz w:val="16"/>
          <w:szCs w:val="16"/>
          <w:color w:val="auto"/>
        </w:rPr>
      </w:pPr>
    </w:p>
    <w:p>
      <w:pPr>
        <w:ind w:right="60" w:firstLine="1979"/>
        <w:spacing w:after="0" w:line="257" w:lineRule="auto"/>
        <w:tabs>
          <w:tab w:leader="none" w:pos="2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Employee validly elects to receive continuation coverage under OraSure’s group health plan pursuant to the Consolidated Omnibus Budget Reconciliation Act of 1985 (“</w:t>
      </w:r>
      <w:r>
        <w:rPr>
          <w:rFonts w:ascii="Arial" w:cs="Arial" w:eastAsia="Arial" w:hAnsi="Arial"/>
          <w:sz w:val="18"/>
          <w:szCs w:val="18"/>
          <w:b w:val="1"/>
          <w:bCs w:val="1"/>
          <w:color w:val="auto"/>
        </w:rPr>
        <w:t>COBRA</w:t>
      </w:r>
      <w:r>
        <w:rPr>
          <w:rFonts w:ascii="Arial" w:cs="Arial" w:eastAsia="Arial" w:hAnsi="Arial"/>
          <w:sz w:val="18"/>
          <w:szCs w:val="18"/>
          <w:color w:val="auto"/>
        </w:rPr>
        <w:t>”), the Company shall reimburse Employee each month for the applicable premium otherwise payable for COBRA continuation coverage for a period equal to the shorter of (x) 18 months after the date of termination; or (y) the date Employee is no longer eligible for COBRA, but only with respect to the portion of such premium that exceeds the monthly amount charged to active employees of the Company for the same coverage; and</w:t>
      </w:r>
    </w:p>
    <w:p>
      <w:pPr>
        <w:spacing w:after="0" w:line="79" w:lineRule="exact"/>
        <w:rPr>
          <w:rFonts w:ascii="Arial" w:cs="Arial" w:eastAsia="Arial" w:hAnsi="Arial"/>
          <w:sz w:val="18"/>
          <w:szCs w:val="18"/>
          <w:color w:val="auto"/>
        </w:rPr>
      </w:pPr>
    </w:p>
    <w:p>
      <w:pPr>
        <w:ind w:left="2240" w:hanging="261"/>
        <w:spacing w:after="0"/>
        <w:tabs>
          <w:tab w:leader="none" w:pos="2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shall receive accelerated vesting as described in Section 3.3.2 herein.</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amounts payable under clauses (ii), (iii), (iv) and (v) are collectively referred to as “severance.” For clarity and the avoidance of doubt, in the case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 resignation for the Good Reason described in Section 6.4(a) (reduction in base salary or target bonus opportunity), references herein to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salary” and “target bonus” in clauses (ii) and (iii) above shall refer to such amounts immediately before the reduction giving rise to such Good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 Subject to Section 6.8, all severance payments under clauses (ii), (iii) and (iv) will be made (or commence) under this Section 6.7.2 on the 60th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after termination of employment hereunder. As a condition to receipt of severance under this Section 6.7.2, within forty-five (45) days following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of Employee’s employment, Employee shall sign, deliver and not revoke a release agreement, in the form and substance set forth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releasing all claims related to Employee’s employment, other than those that cannot be released as a matter of law. The severance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 lieu of and not in addition to any other severance arrangement maintained by the Company, and to the extent consistent with Section 409A,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offset by any monies Employee may owe to the Company. The Company’s obligation to pay the amounts stated in clauses (ii), (iii), (iv) and (v)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Section 6.7.2 shall terminate if, during the period commencing on termination of employment and continuing until all severance payments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made by the Company, Employee fails to comply with Sections 9, 13 or 19 of this Agreement or with the Confidentiality Agreement.</w:t>
      </w:r>
    </w:p>
    <w:p>
      <w:pPr>
        <w:spacing w:after="0" w:line="99"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6.7.3 </w:t>
      </w:r>
      <w:r>
        <w:rPr>
          <w:rFonts w:ascii="Arial" w:cs="Arial" w:eastAsia="Arial" w:hAnsi="Arial"/>
          <w:sz w:val="16"/>
          <w:szCs w:val="16"/>
          <w:b w:val="1"/>
          <w:bCs w:val="1"/>
          <w:color w:val="auto"/>
        </w:rPr>
        <w:t>Parachute Payment.</w:t>
      </w:r>
      <w:r>
        <w:rPr>
          <w:rFonts w:ascii="Arial" w:cs="Arial" w:eastAsia="Arial" w:hAnsi="Arial"/>
          <w:sz w:val="16"/>
          <w:szCs w:val="16"/>
          <w:color w:val="auto"/>
        </w:rPr>
        <w:t xml:space="preserve"> In the event that (i) Employee becomes entitled to any payments or benefits hereunder or otherwise from the Company or any of its affiliates which constitute a “parachute payment” as defined in Code Section 280G (the “</w:t>
      </w:r>
      <w:r>
        <w:rPr>
          <w:rFonts w:ascii="Arial" w:cs="Arial" w:eastAsia="Arial" w:hAnsi="Arial"/>
          <w:sz w:val="16"/>
          <w:szCs w:val="16"/>
          <w:b w:val="1"/>
          <w:bCs w:val="1"/>
          <w:color w:val="auto"/>
        </w:rPr>
        <w:t>Total Payments</w:t>
      </w:r>
      <w:r>
        <w:rPr>
          <w:rFonts w:ascii="Arial" w:cs="Arial" w:eastAsia="Arial" w:hAnsi="Arial"/>
          <w:sz w:val="16"/>
          <w:szCs w:val="16"/>
          <w:color w:val="auto"/>
        </w:rPr>
        <w:t>”) and (ii) Employee is subject to an excise tax imposed under Code Section 4999 (the “</w:t>
      </w:r>
      <w:r>
        <w:rPr>
          <w:rFonts w:ascii="Arial" w:cs="Arial" w:eastAsia="Arial" w:hAnsi="Arial"/>
          <w:sz w:val="16"/>
          <w:szCs w:val="16"/>
          <w:b w:val="1"/>
          <w:bCs w:val="1"/>
          <w:color w:val="auto"/>
        </w:rPr>
        <w:t>Excise Tax</w:t>
      </w:r>
      <w:r>
        <w:rPr>
          <w:rFonts w:ascii="Arial" w:cs="Arial" w:eastAsia="Arial" w:hAnsi="Arial"/>
          <w:sz w:val="16"/>
          <w:szCs w:val="16"/>
          <w:color w:val="auto"/>
        </w:rPr>
        <w:t>”), then, if it would be economically advantageous for Employee, the Total Payments shall be reduced by an amount (including zero) that results in the receipt by Employee on an after tax basis (including the applicable U.S. federal, state and local income taxes, and the Excise Tax) of the greatest Total Payments, notwithstanding that some or all of the portion of the Total Payments may be subject to the Excise Tax (it being understood that if Employee’s aggregate after tax benefit hereunder would be greater with the imposition of the Excise Tax and without such reduction, then no such reduction in Total Payments hereunder shall occur). If a reduction in Total Payments is required pursuant to the preceding sentence, the reduction will occur in the manner (the “</w:t>
      </w:r>
      <w:r>
        <w:rPr>
          <w:rFonts w:ascii="Arial" w:cs="Arial" w:eastAsia="Arial" w:hAnsi="Arial"/>
          <w:sz w:val="16"/>
          <w:szCs w:val="16"/>
          <w:b w:val="1"/>
          <w:bCs w:val="1"/>
          <w:color w:val="auto"/>
        </w:rPr>
        <w:t>Reduction Method</w:t>
      </w:r>
      <w:r>
        <w:rPr>
          <w:rFonts w:ascii="Arial" w:cs="Arial" w:eastAsia="Arial" w:hAnsi="Arial"/>
          <w:sz w:val="16"/>
          <w:szCs w:val="16"/>
          <w:color w:val="auto"/>
        </w:rPr>
        <w:t>”) that results in the greatest economic benefit for Employee. If more than one method of reduction will result in the same economic benefit, the items so reduced will be reduced pro rata (the “</w:t>
      </w:r>
      <w:r>
        <w:rPr>
          <w:rFonts w:ascii="Arial" w:cs="Arial" w:eastAsia="Arial" w:hAnsi="Arial"/>
          <w:sz w:val="16"/>
          <w:szCs w:val="16"/>
          <w:b w:val="1"/>
          <w:bCs w:val="1"/>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Total Payments being subject to taxes pursuant to Code Section 409A (as defined below) that would not otherwise be subject to taxes pursuant to Section 409A, then the Reduction Method and/or the Pro Rata Reduction Method, as the case may be, will be modified so as to avoid the imposition of taxes pursuant to Section 409A as follows: (A) as a first priority, the modification will preserve to the greatest extent possible, the greatest economic benefit for Employee as determined on an after-tax basis; (B) as a second priority, Payments that are contingent on future events (e.g., being terminated without Cause), will be reduced (or eliminated) before Payments that are not contingent on future events; and (C) as a third priority, Payments that are “deferred compensation” within the meaning of Section 409A will be reduced (or eliminated) before Payments that are not deferred compensation within the meaning of Section 409A. All calculations hereunder shall be performed by a nationally recognized independent accounting firm selected by the Company, who shall also determine the value of any services to be rendered by Employee in connection with any non-competition or other restrictive covenant in order to mitigate any potential impact of Sections 280G/4999 on the Company and Employee, with the full cost of such firm being borne by the Company. Any determinations made by such firm shall be final and binding on Employee and the Company.</w:t>
      </w:r>
    </w:p>
    <w:p>
      <w:pPr>
        <w:spacing w:after="0" w:line="58" w:lineRule="exact"/>
        <w:rPr>
          <w:sz w:val="20"/>
          <w:szCs w:val="20"/>
          <w:color w:val="auto"/>
        </w:rPr>
      </w:pPr>
    </w:p>
    <w:p>
      <w:pPr>
        <w:ind w:right="220" w:firstLine="440"/>
        <w:spacing w:after="0" w:line="28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b w:val="1"/>
          <w:bCs w:val="1"/>
          <w:color w:val="auto"/>
        </w:rPr>
        <w:t>Section 409A.</w:t>
      </w:r>
      <w:r>
        <w:rPr>
          <w:rFonts w:ascii="Arial" w:cs="Arial" w:eastAsia="Arial" w:hAnsi="Arial"/>
          <w:sz w:val="17"/>
          <w:szCs w:val="17"/>
          <w:color w:val="auto"/>
        </w:rPr>
        <w:t xml:space="preserve"> This Agreement is intended to comply with Section 409A of the Internal Revenue Code of 1986, as amended (“</w:t>
      </w:r>
      <w:r>
        <w:rPr>
          <w:rFonts w:ascii="Arial" w:cs="Arial" w:eastAsia="Arial" w:hAnsi="Arial"/>
          <w:sz w:val="17"/>
          <w:szCs w:val="17"/>
          <w:b w:val="1"/>
          <w:bCs w:val="1"/>
          <w:color w:val="auto"/>
        </w:rPr>
        <w:t>Code</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409A</w:t>
      </w:r>
      <w:r>
        <w:rPr>
          <w:rFonts w:ascii="Arial" w:cs="Arial" w:eastAsia="Arial" w:hAnsi="Arial"/>
          <w:sz w:val="17"/>
          <w:szCs w:val="17"/>
          <w:color w:val="auto"/>
        </w:rPr>
        <w:t>”) (to the extent applicable) and the parties hereto agree to interpret, apply and administer this Agreement in the least restrictive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comply therewith and without resulting in any increase in the amounts owed hereunder by the Company. To the</w:t>
      </w:r>
    </w:p>
    <w:p>
      <w:pPr>
        <w:sectPr>
          <w:pgSz w:w="11900" w:h="16838" w:orient="portrait"/>
          <w:cols w:equalWidth="0" w:num="1">
            <w:col w:w="10980"/>
          </w:cols>
          <w:pgMar w:left="440" w:top="274" w:right="479" w:bottom="1440" w:gutter="0" w:footer="0" w:header="0"/>
        </w:sectPr>
      </w:pPr>
    </w:p>
    <w:bookmarkStart w:id="11" w:name="page12"/>
    <w:bookmarkEnd w:id="11"/>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compliance with the requirements of Treas. Reg. § 1.409A-3(i)(2) (or any successor provision) is necessary to avoid the application of an additional tax under Code Section 409A to payments due to Employee upon or following her separation from service, then notwithstanding any other provision of this Agreement (or any otherwise applicable plan, policy, agreement or arrangement), any such payments that are otherwise due within six months following Employee’s separation from service will be deferred without interest and paid to Employee in a lump sum immediately following that six month period. For purposes of the application of Code Section 409A, each payment in a series of payments will be deemed a separate payment. Notwithstanding anything herein to the contrary, except to the extent any expense, reimbursement or in-kind benefit provided to the Employee does not constitute “nonqualified deferred compensation” within the meaning of Code Section 409A, and its implementing regulations and guidance, (i) the amount of expenses eligible for reimbursement or in-kind benefits provided to the Employee during any calendar year will not affect the amount of expenses eligible for reimbursement or in-kind benefits provided to the Employee in any other calendar year, (ii) the reimbursements for expenses for which the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67" w:lineRule="exact"/>
        <w:rPr>
          <w:sz w:val="20"/>
          <w:szCs w:val="20"/>
          <w:color w:val="auto"/>
        </w:rPr>
      </w:pPr>
    </w:p>
    <w:p>
      <w:pPr>
        <w:ind w:right="20" w:firstLine="436"/>
        <w:spacing w:after="0" w:line="289"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The Company agrees that if Employee is made a party (or is threatened to be made a party to) any action, suit, or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her service (including past service) as an officer, director, employee, agent, or the like of the Company, or by reason of her service at the request of the Company as an officer, director, employee, agent, or the like of another entity, including, without limitation, as a fiduciary of an employee benefit plan sponsored or established by the Company (any such service for a subsidiary, affiliate, joint venture or other entity in which the Company has an ownership or other financial interest, or as a fiduciary of any employee benefit plan sponsored by the Company or any such other entity, shall be presumed to be at the request of the Company), then Employee shall be indemnified and held harmless by the Company to the fullest extent authorized by applicable law (including advancements for all reasonable attorneys’ fees and costs incurred by Employee, subject to any repayment undertakings required by Delaware law), and such indemnification shall continue even if Employee has ceased to be a director, officer, employee, agent, or the like of the Company for any reason.</w:t>
      </w:r>
    </w:p>
    <w:p>
      <w:pPr>
        <w:spacing w:after="0" w:line="58" w:lineRule="exact"/>
        <w:rPr>
          <w:rFonts w:ascii="Arial" w:cs="Arial" w:eastAsia="Arial" w:hAnsi="Arial"/>
          <w:sz w:val="16"/>
          <w:szCs w:val="16"/>
          <w:color w:val="auto"/>
        </w:rPr>
      </w:pPr>
    </w:p>
    <w:p>
      <w:pPr>
        <w:ind w:firstLine="436"/>
        <w:spacing w:after="0" w:line="261"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During the Term and for a period of six (6) years thereafter (regardless of the reason for the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the Company shall maintain suitable directors and officers insurance coverage for Employee in her respective roles and shall name Employee as an additional insured under such insurance policies, which policies shall be no less favorable to Employee than such insurance policies that cover OraSure’s directors during such time period.</w:t>
      </w:r>
    </w:p>
    <w:p>
      <w:pPr>
        <w:spacing w:after="0" w:line="71" w:lineRule="exact"/>
        <w:rPr>
          <w:rFonts w:ascii="Arial" w:cs="Arial" w:eastAsia="Arial" w:hAnsi="Arial"/>
          <w:sz w:val="18"/>
          <w:szCs w:val="18"/>
          <w:color w:val="auto"/>
        </w:rPr>
      </w:pPr>
    </w:p>
    <w:p>
      <w:pPr>
        <w:jc w:val="both"/>
        <w:ind w:right="120" w:firstLine="436"/>
        <w:spacing w:after="0" w:line="26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Non-Competition. </w:t>
      </w:r>
      <w:r>
        <w:rPr>
          <w:rFonts w:ascii="Arial" w:cs="Arial" w:eastAsia="Arial" w:hAnsi="Arial"/>
          <w:sz w:val="18"/>
          <w:szCs w:val="18"/>
          <w:color w:val="auto"/>
        </w:rPr>
        <w:t>During her employment with the Company and for eighteen (18) months following the cessation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for any reason, Employee agrees that, unless she obtains written agreement from the Board of Directors, she will not directly or indirectly (including, for avoidance of doubt, either personally or through or on behalf of any other person):</w:t>
      </w:r>
    </w:p>
    <w:p>
      <w:pPr>
        <w:spacing w:after="0" w:line="67" w:lineRule="exact"/>
        <w:rPr>
          <w:rFonts w:ascii="Arial" w:cs="Arial" w:eastAsia="Arial" w:hAnsi="Arial"/>
          <w:sz w:val="18"/>
          <w:szCs w:val="18"/>
          <w:color w:val="auto"/>
        </w:rPr>
      </w:pPr>
    </w:p>
    <w:p>
      <w:pPr>
        <w:ind w:left="1240" w:hanging="253"/>
        <w:spacing w:after="0"/>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recruit, solicit, or hire any executive or employee of the Company or its affiliates (collectively, the “</w:t>
      </w:r>
      <w:r>
        <w:rPr>
          <w:rFonts w:ascii="Arial" w:cs="Arial" w:eastAsia="Arial" w:hAnsi="Arial"/>
          <w:sz w:val="18"/>
          <w:szCs w:val="18"/>
          <w:b w:val="1"/>
          <w:bCs w:val="1"/>
          <w:color w:val="auto"/>
        </w:rPr>
        <w:t>Company Group</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320" w:firstLine="987"/>
        <w:spacing w:after="0" w:line="277" w:lineRule="auto"/>
        <w:tabs>
          <w:tab w:leader="none" w:pos="1246"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induce or solicit any current or prospective customer, client, or supplier of the Company Group to cease being a customer, client or supplier or divert Company Group business away from any customer, client, or supplier of the Company Group; or</w:t>
      </w:r>
    </w:p>
    <w:p>
      <w:pPr>
        <w:sectPr>
          <w:pgSz w:w="11900" w:h="16838" w:orient="portrait"/>
          <w:cols w:equalWidth="0" w:num="1">
            <w:col w:w="10980"/>
          </w:cols>
          <w:pgMar w:left="440" w:top="274" w:right="479" w:bottom="1440" w:gutter="0" w:footer="0" w:header="0"/>
        </w:sectPr>
      </w:pPr>
    </w:p>
    <w:bookmarkStart w:id="12" w:name="page13"/>
    <w:bookmarkEnd w:id="12"/>
    <w:p>
      <w:pPr>
        <w:ind w:left="4" w:right="40" w:firstLine="987"/>
        <w:spacing w:after="0" w:line="285" w:lineRule="auto"/>
        <w:tabs>
          <w:tab w:leader="none" w:pos="1240"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 manage, control, work for, or provide services to any entity engaged in (i) the development, manufacture or sale of point of care diagnostic products for infectious disease self-testing, (ii) the collection and/or analysis of molecular samples, or the development, manufacture or sale of products or methods for the collection and/or analysis of molecular samples (but with respect to this clause (ii), only to the extent of the type of molecular samples that are the subject of the Company Group’s products or services (or products or services actively planned by the Company Group during Employee’s employment)), (iii) any other field of research or business in which the Company Group engages during Employee’s employment, or</w:t>
      </w:r>
    </w:p>
    <w:p>
      <w:pPr>
        <w:spacing w:after="0" w:line="1" w:lineRule="exact"/>
        <w:rPr>
          <w:rFonts w:ascii="Arial" w:cs="Arial" w:eastAsia="Arial" w:hAnsi="Arial"/>
          <w:sz w:val="16"/>
          <w:szCs w:val="16"/>
          <w:color w:val="auto"/>
        </w:rPr>
      </w:pPr>
    </w:p>
    <w:p>
      <w:pPr>
        <w:ind w:left="4" w:right="340" w:hanging="4"/>
        <w:spacing w:after="0" w:line="260" w:lineRule="auto"/>
        <w:tabs>
          <w:tab w:leader="none" w:pos="3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field of research or business which the Company Group is actively planning or preparing to engage in, if such planning or preparation occurs or occurred (at least in part) during Employee’s employment;</w:t>
      </w:r>
    </w:p>
    <w:p>
      <w:pPr>
        <w:spacing w:after="0" w:line="185"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provided, however, that this Section 9 shall not prevent Employee from purchasing or owning less than five percent (5%) of the stock or other securities of any entity, provided that such stock or other securities are traded on any national or regional securities exchange or are actively traded in the over-the-counter market and registered under Section 12(g) of the Securities Exchange Act of 1934, as amended. The parties acknowledge that this Section 9 is intended to replace and supersede the section entitled “Non-Soliciation and Non-Competition” set forth on page 1 of the Confidentiality Agreement executed contemporaneously herewith. Employee acknowledges that the market for the Company’s products and services is global and that these covenants therefore will be applied worldwide. Employee further acknowledges that the covenants contained in this section are reasonable and necessary to protect the Company’s legitimate business interests and that damages alone would not be an adequate remedy for any breach of these covenants. Accordingly, in addition to any other remedies that the Company may have, the Company shall be entitled to injunctive relief for any breach or threatened breach of any these covenants, without the posting of a bond.</w:t>
      </w:r>
    </w:p>
    <w:p>
      <w:pPr>
        <w:spacing w:after="0" w:line="69" w:lineRule="exact"/>
        <w:rPr>
          <w:sz w:val="20"/>
          <w:szCs w:val="20"/>
          <w:color w:val="auto"/>
        </w:rPr>
      </w:pPr>
    </w:p>
    <w:p>
      <w:pPr>
        <w:ind w:left="4" w:right="240" w:firstLine="436"/>
        <w:spacing w:after="0" w:line="282" w:lineRule="auto"/>
        <w:tabs>
          <w:tab w:leader="none" w:pos="71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The respective rights and duties of the Company and Employee under this Agreement are in addition to, and not in lieu of, those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duties afforded to and imposed upon them by law or at equity.</w:t>
      </w:r>
    </w:p>
    <w:p>
      <w:pPr>
        <w:spacing w:after="0" w:line="53" w:lineRule="exact"/>
        <w:rPr>
          <w:rFonts w:ascii="Arial" w:cs="Arial" w:eastAsia="Arial" w:hAnsi="Arial"/>
          <w:sz w:val="18"/>
          <w:szCs w:val="18"/>
          <w:color w:val="auto"/>
        </w:rPr>
      </w:pPr>
    </w:p>
    <w:p>
      <w:pPr>
        <w:ind w:left="4" w:right="300" w:firstLine="436"/>
        <w:spacing w:after="0" w:line="347" w:lineRule="auto"/>
        <w:tabs>
          <w:tab w:leader="none" w:pos="707"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of Provisions. </w:t>
      </w:r>
      <w:r>
        <w:rPr>
          <w:rFonts w:ascii="Arial" w:cs="Arial" w:eastAsia="Arial" w:hAnsi="Arial"/>
          <w:sz w:val="16"/>
          <w:szCs w:val="16"/>
          <w:color w:val="auto"/>
        </w:rPr>
        <w:t>The provisions of this Agreement are severable, and if any provision hereof is held invalid or unenforceable, it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enforced to the maximum extent permissible, and the remaining provisions of the Agreement shall continue in full force and effect.</w:t>
      </w:r>
    </w:p>
    <w:p>
      <w:pPr>
        <w:spacing w:after="0" w:line="7" w:lineRule="exact"/>
        <w:rPr>
          <w:rFonts w:ascii="Arial" w:cs="Arial" w:eastAsia="Arial" w:hAnsi="Arial"/>
          <w:sz w:val="16"/>
          <w:szCs w:val="16"/>
          <w:color w:val="auto"/>
        </w:rPr>
      </w:pPr>
    </w:p>
    <w:p>
      <w:pPr>
        <w:jc w:val="both"/>
        <w:ind w:left="4" w:firstLine="436"/>
        <w:spacing w:after="0" w:line="261" w:lineRule="auto"/>
        <w:tabs>
          <w:tab w:leader="none" w:pos="71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Non-Waiver. </w:t>
      </w:r>
      <w:r>
        <w:rPr>
          <w:rFonts w:ascii="Arial" w:cs="Arial" w:eastAsia="Arial" w:hAnsi="Arial"/>
          <w:sz w:val="18"/>
          <w:szCs w:val="18"/>
          <w:color w:val="auto"/>
        </w:rPr>
        <w:t>Failure by either party at any time to require performance of any provision of this Agreement shall not limit the right of the party</w:t>
      </w:r>
      <w:r>
        <w:rPr>
          <w:rFonts w:ascii="Arial" w:cs="Arial" w:eastAsia="Arial" w:hAnsi="Arial"/>
          <w:sz w:val="18"/>
          <w:szCs w:val="18"/>
          <w:b w:val="1"/>
          <w:bCs w:val="1"/>
          <w:color w:val="auto"/>
        </w:rPr>
        <w:t xml:space="preserve"> </w:t>
      </w:r>
      <w:r>
        <w:rPr>
          <w:rFonts w:ascii="Arial" w:cs="Arial" w:eastAsia="Arial" w:hAnsi="Arial"/>
          <w:sz w:val="18"/>
          <w:szCs w:val="18"/>
          <w:color w:val="auto"/>
        </w:rPr>
        <w:t>failing to require performance to enforce the provision. No provision of this Agreement may be waived by either party except by a writing signed by that party. A waiver of any breach of a provision of this Agreement shall be construed narrowly and shall not be deemed to be a waiver of any succeeding breach of that provision or a waiver of that provision itself or of any other provision.</w:t>
      </w:r>
    </w:p>
    <w:p>
      <w:pPr>
        <w:spacing w:after="0" w:line="71" w:lineRule="exact"/>
        <w:rPr>
          <w:rFonts w:ascii="Arial" w:cs="Arial" w:eastAsia="Arial" w:hAnsi="Arial"/>
          <w:sz w:val="18"/>
          <w:szCs w:val="18"/>
          <w:color w:val="auto"/>
        </w:rPr>
      </w:pPr>
    </w:p>
    <w:p>
      <w:pPr>
        <w:ind w:left="4" w:right="60" w:firstLine="436"/>
        <w:spacing w:after="0" w:line="294" w:lineRule="auto"/>
        <w:tabs>
          <w:tab w:leader="none" w:pos="714"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Both during and after her employment, Employee agrees not to disparage the Company or any of the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or employees of the Company. In addition, Employee agrees not to make any statement or engage in any conduct that could reasonably be expected to affect adversely the business or reputation of the Company or any of its stockholders, directors, officers or employees of the Company. This paragraph will not restrict or prevent any party from providing truthful testimony as required by court order or other legal process. In addition, this paragraph will not prohibit Employee from reporting possible violations of law or regulation to any governmental agency or entity or self-regulatory organization, or making other disclosures that are protected under the whistleblower provisions of applicable law.</w:t>
      </w:r>
    </w:p>
    <w:p>
      <w:pPr>
        <w:sectPr>
          <w:pgSz w:w="11900" w:h="16838" w:orient="portrait"/>
          <w:cols w:equalWidth="0" w:num="1">
            <w:col w:w="11004"/>
          </w:cols>
          <w:pgMar w:left="436" w:top="274" w:right="459" w:bottom="1440" w:gutter="0" w:footer="0" w:header="0"/>
        </w:sectPr>
      </w:pPr>
    </w:p>
    <w:bookmarkStart w:id="13" w:name="page14"/>
    <w:bookmarkEnd w:id="13"/>
    <w:p>
      <w:pPr>
        <w:ind w:left="700" w:hanging="26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Agreements. </w:t>
      </w:r>
      <w:r>
        <w:rPr>
          <w:rFonts w:ascii="Arial" w:cs="Arial" w:eastAsia="Arial" w:hAnsi="Arial"/>
          <w:sz w:val="18"/>
          <w:szCs w:val="18"/>
          <w:color w:val="auto"/>
        </w:rPr>
        <w:t>Employee represents, warrants and, where applicable, covenants to the Company that:</w:t>
      </w:r>
    </w:p>
    <w:p>
      <w:pPr>
        <w:spacing w:after="0" w:line="121" w:lineRule="exact"/>
        <w:rPr>
          <w:rFonts w:ascii="Arial" w:cs="Arial" w:eastAsia="Arial" w:hAnsi="Arial"/>
          <w:sz w:val="18"/>
          <w:szCs w:val="18"/>
          <w:color w:val="auto"/>
        </w:rPr>
      </w:pPr>
    </w:p>
    <w:p>
      <w:pPr>
        <w:ind w:right="240" w:firstLine="987"/>
        <w:spacing w:after="0" w:line="259" w:lineRule="auto"/>
        <w:tabs>
          <w:tab w:leader="none" w:pos="12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There are no restrictions, agreements or understandings whatsoever to which Employee is a party which would prevent or make unlawful Employee’s execution of this Agreement or Employee’s employment hereunder, or which is or would be inconsistent or in conflict with this Agreement or Employee’s employment hereunder, or would prevent, limit or impair in any way the performance by Employee of her obligations hereunder;</w:t>
      </w:r>
    </w:p>
    <w:p>
      <w:pPr>
        <w:spacing w:after="0" w:line="78" w:lineRule="exact"/>
        <w:rPr>
          <w:rFonts w:ascii="Arial" w:cs="Arial" w:eastAsia="Arial" w:hAnsi="Arial"/>
          <w:sz w:val="18"/>
          <w:szCs w:val="18"/>
          <w:color w:val="auto"/>
        </w:rPr>
      </w:pPr>
    </w:p>
    <w:p>
      <w:pPr>
        <w:ind w:right="680" w:firstLine="987"/>
        <w:spacing w:after="0" w:line="277" w:lineRule="auto"/>
        <w:tabs>
          <w:tab w:leader="none" w:pos="12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Employee’s execution of this Agreement and Employee’s employment hereunder shall not constitute a breach of any contract, agreement or understanding, oral or written, to which Employee is a party or by which Employee is bound;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Employee is free to execute this Agreement and to be employed by the Company as an employee pursuant to the provisions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98" w:lineRule="exact"/>
        <w:rPr>
          <w:rFonts w:ascii="Arial" w:cs="Arial" w:eastAsia="Arial" w:hAnsi="Arial"/>
          <w:sz w:val="16"/>
          <w:szCs w:val="16"/>
          <w:color w:val="auto"/>
        </w:rPr>
      </w:pPr>
    </w:p>
    <w:p>
      <w:pPr>
        <w:ind w:right="40" w:firstLine="436"/>
        <w:spacing w:after="0" w:line="270" w:lineRule="auto"/>
        <w:tabs>
          <w:tab w:leader="none" w:pos="71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shall inure to the benefit of and be binding upon the Company and Employee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successors, executors, administrators, heirs and/or permitted assigns; </w:t>
      </w:r>
      <w:r>
        <w:rPr>
          <w:rFonts w:ascii="Arial" w:cs="Arial" w:eastAsia="Arial" w:hAnsi="Arial"/>
          <w:sz w:val="17"/>
          <w:szCs w:val="17"/>
          <w:i w:val="1"/>
          <w:iCs w:val="1"/>
          <w:color w:val="auto"/>
        </w:rPr>
        <w:t>provided, however</w:t>
      </w:r>
      <w:r>
        <w:rPr>
          <w:rFonts w:ascii="Arial" w:cs="Arial" w:eastAsia="Arial" w:hAnsi="Arial"/>
          <w:sz w:val="17"/>
          <w:szCs w:val="17"/>
          <w:color w:val="auto"/>
        </w:rPr>
        <w:t>, that neither Employee nor the Company may make any assignments of this Agreement or any interest herein, by operation of law or otherwise, without the prior written consent of the other party, except that, without such consent, the Company may assign this Agreement to any successor to all or substantially all the business or assets of the Company by means of liquidation, dissolution, merger, consolidation, transfer of assets, or otherwise. The Company will require any successor (whether direct or indirect, by merger, consolidation, transfer of assets, or otherwise) acquiring all or substantially all of the business and/or assets of the Company (whether such assets are held directly or indirectly) to assume expressly and agree to perform this Agreement in the same manner and to the same extent that the Company would be required to perform it if no such succession had taken place. As used in this Agreement, “</w:t>
      </w:r>
      <w:r>
        <w:rPr>
          <w:rFonts w:ascii="Arial" w:cs="Arial" w:eastAsia="Arial" w:hAnsi="Arial"/>
          <w:sz w:val="17"/>
          <w:szCs w:val="17"/>
          <w:b w:val="1"/>
          <w:bCs w:val="1"/>
          <w:color w:val="auto"/>
        </w:rPr>
        <w:t>Company</w:t>
      </w:r>
      <w:r>
        <w:rPr>
          <w:rFonts w:ascii="Arial" w:cs="Arial" w:eastAsia="Arial" w:hAnsi="Arial"/>
          <w:sz w:val="17"/>
          <w:szCs w:val="17"/>
          <w:color w:val="auto"/>
        </w:rPr>
        <w:t>” shall mean the Company as hereinbefore defined and any successor to its business and/or assets as aforesaid which assumes and agrees to perform this Agreement by operation of law, in connection with a Change of Control, or otherwise.</w:t>
      </w:r>
    </w:p>
    <w:p>
      <w:pPr>
        <w:spacing w:after="0" w:line="68" w:lineRule="exact"/>
        <w:rPr>
          <w:rFonts w:ascii="Arial" w:cs="Arial" w:eastAsia="Arial" w:hAnsi="Arial"/>
          <w:sz w:val="17"/>
          <w:szCs w:val="17"/>
          <w:color w:val="auto"/>
        </w:rPr>
      </w:pPr>
    </w:p>
    <w:p>
      <w:pPr>
        <w:ind w:right="220" w:firstLine="436"/>
        <w:spacing w:after="0" w:line="261" w:lineRule="auto"/>
        <w:tabs>
          <w:tab w:leader="none" w:pos="71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Non-exclusivity of Rights. </w:t>
      </w:r>
      <w:r>
        <w:rPr>
          <w:rFonts w:ascii="Arial" w:cs="Arial" w:eastAsia="Arial" w:hAnsi="Arial"/>
          <w:sz w:val="18"/>
          <w:szCs w:val="18"/>
          <w:color w:val="auto"/>
        </w:rPr>
        <w:t>Nothing in this Agreement shall prevent or limit Employee’s continuing or further participation in any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bonus, incentive, stock-based or other plan or program provided by the Company and for which Employee may qualify. Except as otherwise provided herein, amounts and benefits which are vested benefits or which Employee is otherwise entitled to receive at or subsequent to the date of termination shall be payable in accordance with such plan or program.</w:t>
      </w:r>
    </w:p>
    <w:p>
      <w:pPr>
        <w:spacing w:after="0" w:line="71" w:lineRule="exact"/>
        <w:rPr>
          <w:rFonts w:ascii="Arial" w:cs="Arial" w:eastAsia="Arial" w:hAnsi="Arial"/>
          <w:sz w:val="18"/>
          <w:szCs w:val="18"/>
          <w:color w:val="auto"/>
        </w:rPr>
      </w:pPr>
    </w:p>
    <w:p>
      <w:pPr>
        <w:ind w:firstLine="436"/>
        <w:spacing w:after="0" w:line="261" w:lineRule="auto"/>
        <w:tabs>
          <w:tab w:leader="none" w:pos="71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Amendments. </w:t>
      </w:r>
      <w:r>
        <w:rPr>
          <w:rFonts w:ascii="Arial" w:cs="Arial" w:eastAsia="Arial" w:hAnsi="Arial"/>
          <w:sz w:val="18"/>
          <w:szCs w:val="18"/>
          <w:color w:val="auto"/>
        </w:rPr>
        <w:t>This Agreement and the Confidentiality Agreement contain the entire agreement and understanding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relating to the subject matter hereof and thereof, and supersede all prior and contemporaneous discussions, agreements and understandings of every nature relating to the employment of Employee by the Company. This Agreement may not be changed or modified, except by an agreement in writing signed by each of the parties hereto.</w:t>
      </w:r>
    </w:p>
    <w:p>
      <w:pPr>
        <w:spacing w:after="0" w:line="71" w:lineRule="exact"/>
        <w:rPr>
          <w:rFonts w:ascii="Arial" w:cs="Arial" w:eastAsia="Arial" w:hAnsi="Arial"/>
          <w:sz w:val="18"/>
          <w:szCs w:val="18"/>
          <w:color w:val="auto"/>
        </w:rPr>
      </w:pPr>
    </w:p>
    <w:p>
      <w:pPr>
        <w:ind w:right="20" w:firstLine="436"/>
        <w:spacing w:after="0" w:line="258" w:lineRule="auto"/>
        <w:tabs>
          <w:tab w:leader="none" w:pos="71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Consent to Suit. </w:t>
      </w:r>
      <w:r>
        <w:rPr>
          <w:rFonts w:ascii="Arial" w:cs="Arial" w:eastAsia="Arial" w:hAnsi="Arial"/>
          <w:sz w:val="18"/>
          <w:szCs w:val="18"/>
          <w:color w:val="auto"/>
        </w:rPr>
        <w:t>Any legal proceeding arising out of or relating to this Agreement shall be instituted in the United States District Court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Eastern District of Pennsylvania, or if such court does not have jurisdiction or will not accept jurisdiction, in any court of general jurisdiction in the county in Pennsylvania in which the Company maintains its principal place of business, and Employee and the Company hereby consent to the personal and exclusive jurisdiction of such court and hereby waive any objection that Employee or the Company may have to personal jurisdiction, venue, and any claim or defense of inconvenient forum.</w:t>
      </w:r>
    </w:p>
    <w:p>
      <w:pPr>
        <w:sectPr>
          <w:pgSz w:w="11900" w:h="16838" w:orient="portrait"/>
          <w:cols w:equalWidth="0" w:num="1">
            <w:col w:w="11000"/>
          </w:cols>
          <w:pgMar w:left="440" w:top="270" w:right="459" w:bottom="1440" w:gutter="0" w:footer="0" w:header="0"/>
        </w:sectPr>
      </w:pPr>
    </w:p>
    <w:bookmarkStart w:id="14" w:name="page15"/>
    <w:bookmarkEnd w:id="14"/>
    <w:p>
      <w:pPr>
        <w:ind w:left="-436" w:right="60" w:firstLine="436"/>
        <w:spacing w:after="0" w:line="256"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Cooperation. </w:t>
      </w:r>
      <w:r>
        <w:rPr>
          <w:rFonts w:ascii="Arial" w:cs="Arial" w:eastAsia="Arial" w:hAnsi="Arial"/>
          <w:sz w:val="18"/>
          <w:szCs w:val="18"/>
          <w:color w:val="auto"/>
        </w:rPr>
        <w:t>Employee further agrees that during and after her employment with the Company, subject to reimbursement of her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she will cooperate fully with the Company and its counsel with respect to any matter (including, without limitation, litigation, investigations, or governmental proceedings) in which the Employee was in any way involved during her employment with the Company. Employee shall render such cooperation in a timely manner on reasonable notice from the Company, so long as the Company, following Employee’s termination of employment, exercises commercially reasonable efforts to schedule and limit its need for Employee’s cooperation under this paragraph so as not to interfere with Employee’s other personal and professional commitments</w:t>
      </w:r>
      <w:r>
        <w:rPr>
          <w:rFonts w:ascii="Arial" w:cs="Arial" w:eastAsia="Arial" w:hAnsi="Arial"/>
          <w:sz w:val="18"/>
          <w:szCs w:val="18"/>
          <w:b w:val="1"/>
          <w:bCs w:val="1"/>
          <w:color w:val="auto"/>
        </w:rPr>
        <w:t>.</w:t>
      </w:r>
    </w:p>
    <w:p>
      <w:pPr>
        <w:spacing w:after="0" w:line="79" w:lineRule="exact"/>
        <w:rPr>
          <w:rFonts w:ascii="Arial" w:cs="Arial" w:eastAsia="Arial" w:hAnsi="Arial"/>
          <w:sz w:val="18"/>
          <w:szCs w:val="18"/>
          <w:color w:val="auto"/>
        </w:rPr>
      </w:pPr>
    </w:p>
    <w:p>
      <w:pPr>
        <w:ind w:left="-436" w:right="100" w:firstLine="436"/>
        <w:spacing w:after="0" w:line="347" w:lineRule="auto"/>
        <w:tabs>
          <w:tab w:leader="none" w:pos="274"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Company Policies</w:t>
      </w:r>
      <w:r>
        <w:rPr>
          <w:rFonts w:ascii="Arial" w:cs="Arial" w:eastAsia="Arial" w:hAnsi="Arial"/>
          <w:sz w:val="16"/>
          <w:szCs w:val="16"/>
          <w:color w:val="auto"/>
        </w:rPr>
        <w:t>. Employee will be subject to and comply with all policies of the Company in effect from time to time,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policies regarding ethics, personal conduct, stock ownership, securities trading, clawback and hedging and pledging of securities.</w:t>
      </w:r>
    </w:p>
    <w:p>
      <w:pPr>
        <w:spacing w:after="0" w:line="7" w:lineRule="exact"/>
        <w:rPr>
          <w:rFonts w:ascii="Arial" w:cs="Arial" w:eastAsia="Arial" w:hAnsi="Arial"/>
          <w:sz w:val="16"/>
          <w:szCs w:val="16"/>
          <w:color w:val="auto"/>
        </w:rPr>
      </w:pPr>
    </w:p>
    <w:p>
      <w:pPr>
        <w:ind w:left="-436" w:right="580" w:firstLine="436"/>
        <w:spacing w:after="0" w:line="282"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The Company may withhold from any amount payable to Employee such federal, state, local and any other taxes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determines are required to be withheld pursuant to applicable law.</w:t>
      </w:r>
    </w:p>
    <w:p>
      <w:pPr>
        <w:spacing w:after="0" w:line="53" w:lineRule="exact"/>
        <w:rPr>
          <w:rFonts w:ascii="Arial" w:cs="Arial" w:eastAsia="Arial" w:hAnsi="Arial"/>
          <w:sz w:val="18"/>
          <w:szCs w:val="18"/>
          <w:color w:val="auto"/>
        </w:rPr>
      </w:pPr>
    </w:p>
    <w:p>
      <w:pPr>
        <w:ind w:left="-436" w:firstLine="436"/>
        <w:spacing w:after="0" w:line="312" w:lineRule="auto"/>
        <w:tabs>
          <w:tab w:leader="none" w:pos="274"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Counterparts and Facsimiles. </w:t>
      </w:r>
      <w:r>
        <w:rPr>
          <w:rFonts w:ascii="Arial" w:cs="Arial" w:eastAsia="Arial" w:hAnsi="Arial"/>
          <w:sz w:val="17"/>
          <w:szCs w:val="17"/>
          <w:color w:val="auto"/>
        </w:rPr>
        <w:t>This Agreement may be executed, including execution by facsimile (including PDF) signature, in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each of which shall be deemed an original, and all of which together shall be deemed to be one and the same instrument.</w:t>
      </w:r>
    </w:p>
    <w:p>
      <w:pPr>
        <w:spacing w:after="0" w:line="31" w:lineRule="exact"/>
        <w:rPr>
          <w:rFonts w:ascii="Arial" w:cs="Arial" w:eastAsia="Arial" w:hAnsi="Arial"/>
          <w:sz w:val="17"/>
          <w:szCs w:val="17"/>
          <w:color w:val="auto"/>
        </w:rPr>
      </w:pPr>
    </w:p>
    <w:p>
      <w:pPr>
        <w:ind w:left="-436" w:right="300" w:firstLine="436"/>
        <w:spacing w:after="0" w:line="282"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enforced in accordance with, the laws of the Commonwealth of Pennsylvania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the application of the principles of conflicts of laws.</w:t>
      </w:r>
    </w:p>
    <w:p>
      <w:pPr>
        <w:sectPr>
          <w:pgSz w:w="11900" w:h="16838" w:orient="portrait"/>
          <w:cols w:equalWidth="0" w:num="1">
            <w:col w:w="10504"/>
          </w:cols>
          <w:pgMar w:left="876" w:top="270" w:right="51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Employment Agreement on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1120" w:type="dxa"/>
            <w:vAlign w:val="bottom"/>
          </w:tcPr>
          <w:p>
            <w:pPr>
              <w:spacing w:after="0"/>
              <w:rPr>
                <w:sz w:val="20"/>
                <w:szCs w:val="20"/>
                <w:color w:val="auto"/>
              </w:rPr>
            </w:pPr>
          </w:p>
        </w:tc>
        <w:tc>
          <w:tcPr>
            <w:tcW w:w="4940" w:type="dxa"/>
            <w:vAlign w:val="bottom"/>
            <w:gridSpan w:val="2"/>
          </w:tcPr>
          <w:p>
            <w:pPr>
              <w:ind w:left="80"/>
              <w:spacing w:after="0"/>
              <w:rPr>
                <w:sz w:val="20"/>
                <w:szCs w:val="20"/>
                <w:color w:val="auto"/>
              </w:rPr>
            </w:pPr>
            <w:r>
              <w:rPr>
                <w:rFonts w:ascii="Arial" w:cs="Arial" w:eastAsia="Arial" w:hAnsi="Arial"/>
                <w:sz w:val="18"/>
                <w:szCs w:val="18"/>
                <w:b w:val="1"/>
                <w:bCs w:val="1"/>
                <w:color w:val="auto"/>
              </w:rPr>
              <w:t>ORASURE TECHNOLOGIES, INC.</w:t>
            </w:r>
          </w:p>
        </w:tc>
      </w:tr>
      <w:tr>
        <w:trPr>
          <w:trHeight w:val="432"/>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Carrie Eglinton Manner</w:t>
            </w:r>
          </w:p>
        </w:tc>
        <w:tc>
          <w:tcPr>
            <w:tcW w:w="1120" w:type="dxa"/>
            <w:vAlign w:val="bottom"/>
          </w:tcPr>
          <w:p>
            <w:pPr>
              <w:ind w:left="66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Celano</w:t>
            </w:r>
          </w:p>
        </w:tc>
      </w:tr>
      <w:tr>
        <w:trPr>
          <w:trHeight w:val="439"/>
        </w:trPr>
        <w:tc>
          <w:tcPr>
            <w:tcW w:w="49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ind w:left="660"/>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Chairman of the Board</w:t>
            </w:r>
          </w:p>
        </w:tc>
      </w:tr>
    </w:tbl>
    <w:p>
      <w:pPr>
        <w:sectPr>
          <w:pgSz w:w="11900" w:h="16838" w:orient="portrait"/>
          <w:cols w:equalWidth="0" w:num="1">
            <w:col w:w="11020"/>
          </w:cols>
          <w:pgMar w:left="440" w:top="274"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2057400" cy="694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 Eglinton Manner Appointed Chief Executive Officer of OraSure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May 23, 2022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Concludes Strategic Alternative Process Given Market Conditions and its Belief in its Ability to Build on Recent Operational Success</w:t>
      </w:r>
    </w:p>
    <w:p>
      <w:pPr>
        <w:spacing w:after="0" w:line="25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BETHLEHEM, Pa., May 23, 2022 (GLOBE NEWSWIRE) — OraSure Technologies, Inc. (NASDAQ: OSUR), a global leader in point-of-care and home diagnostic testing and sample collection technologies, today announced that Carrie Eglinton Manner has been appointed President and Chief Executive Officer, effective June 4, 2022. Ms. Eglinton Manner will also join the OraSure Board of Directors. She succeeds Dr. Nancy Gagliano, who was appointed interim CEO in March 2022. Dr. Gagliano will remain on the OraSure Board.</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Ms. Eglinton Manner brings more than 25 years of healthcare leadership and transformation expertise to OraSure. She is currently Senior Vice President, Advanced &amp; General Diagnostics Clinical Solutions, at Quest Diagnostics. Under her leadership, Quest’s Advanced Diagnostics, a portfolio with over $2 billion in revenue, accelerated its growth rate with strong profitability. She has responsibility for bringing innovative diagnostic solutions to market in the areas of women’s health, neurology, oncology, cardiovascular, metabolic, endocrinology, infectious disease and immunology testing services, as well as drug monitoring and toxicology.</w:t>
      </w:r>
    </w:p>
    <w:p>
      <w:pPr>
        <w:spacing w:after="0" w:line="18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Additionally, she leads Quest’s pharmaceutical services, AmeriPath/Dermpath and international businesses. Ms. Eglinton Manner led Quest’s molecular genetics team in pioneering next-generation sequencing innovation which reduced cost and increased access for patients to precision health insights.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Quest Diagnostics, Ms. Eglinton Manner served for 20 years in a variety of leadership roles of increasing responsibility including multiple, distinct business units with global engineering and manufacturing responsibilities at GE Healthcare, a division of General Electric (GE). A champion for inclusion and diversity, Ms. Eglinton Manner served as co-chair for Quest’s African American Employee Business Network, and prior to that, GE’s Women’s Network.</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“Carrie has a proven track record of transformative leadership, disciplined operational execution, and driving innovation at two industry-leading healthcare companies,” said Michael Celano, Chairman of the Board of OraSure. “Importantly, Carrie is a results-oriented executive who brings first-hand strategic insights on the testing industry and services businesses. The Board is confident that Carrie’s experience and skillset make her ideally suited to lead OraSure as we continue to scale up manufacturing for InteliSwab and drive growth across all of our platforms.”</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 am thrilled to be joining OraSure at such a pivotal point in the Company’s growth story. Delivering insights to patients and driving access to testing are increasingly critical market needs for which OraSure is uniquely positioned to capitalize,” Ms. Eglinton Manner said. “Furthermore, we believe there are multiple opportunities to expand recent operational improvements, increase market reach and enhance efficiency across the company. I look forward to working closely with the Board and management to build upon the Company’s foundation, improve profitability and enhance shareholder value.”</w:t>
      </w:r>
    </w:p>
    <w:p>
      <w:pPr>
        <w:spacing w:after="0" w:line="15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Ms. Eglinton Manner’s appointment as CEO comes in tandem with a decision by the OraSure Board to conclude its previously announced review of strategic alternatives and for the Company to move forward under her leadership. Market conditions and the Board’s belief in the Company’s ability to further build upon recent operational successes with Carrie’s leadership were factors in the decision.</w:t>
      </w:r>
    </w:p>
    <w:p>
      <w:pPr>
        <w:spacing w:after="0" w:line="16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Mr. Celano continued, “After completing a thorough review of strategic alternatives with the assistance of independent financial and legal advisors, the Board believes the best path to create value is with improved execution and a renewed focus on driving profitable growth as a market leader in the areas of simple, reliable, point-of-care and home tests as well as innovative and easy-to-use sample collection technologies. We are excited to begin this next chapter in our Company’s journey and want to thank our executive leadership team and all of our colleagues for their continued focus and dedication to our products and serving the needs of our customers around the world.”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Carrie Eglinton Manner</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Carrie Eglinton Manner currently serves as Quest Diagnostics’ Senior Vice President of Advanced &amp; General Diagnostics Clinical Solutions. This position expanded on her previous role at SVP, Advanced Diagnostics, in which she served from January 2017 to March 2022, and in which she was responsible for more than $2 billion in revenue. Prior to joining Quest, she served for over two decades at GE Healthcare, a division of General Electric, including serving as the President and Chief Executive Officer of Detection and Guidance Solutions, President and Chief Executive of Surgery / Orthopedic Equipment Company (OEC), President &amp; Chief Executive Officer of Clarient Diagnostic Services, and President &amp; Chief Executive of Maternal Infant Care / OHMEDA Medical, Inc. Ms. Eglinton Manner holds a Bachelor of Science in Mechanical Engineering from the University of Notre Dame.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OraSure Technologies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OraSure Technologies empowers the global community to improve health and wellness by providing access to accurate, essential information. OraSure, together with its wholly-owned subsidiaries, DNA Genotek, Diversigen, and Novosanis, provides its customers with end-to-end solutions that encompass tools, services and diagnostics. The OraSure family of companies is a leader in the development, manufacture, and distribution of rapid diagnostic tests, sample collection and stabilization devices, and molecular services solutions designed to discover and detect critical medical conditions. OraSure’s portfolio of products is sold globally to clinical laboratories, hospitals, physician’s offices, clinics, public health and community-based organizations, research institutions, government agencies, pharma, commercial entities and direct to consumers. For more information on OraSure Technologies, please visit </w:t>
      </w:r>
      <w:r>
        <w:rPr>
          <w:rFonts w:ascii="Arial" w:cs="Arial" w:eastAsia="Arial" w:hAnsi="Arial"/>
          <w:sz w:val="18"/>
          <w:szCs w:val="18"/>
          <w:u w:val="single" w:color="auto"/>
          <w:color w:val="auto"/>
        </w:rPr>
        <w:t>www.orasure.com</w:t>
      </w:r>
      <w:r>
        <w:rPr>
          <w:rFonts w:ascii="Arial" w:cs="Arial" w:eastAsia="Arial" w:hAnsi="Arial"/>
          <w:sz w:val="18"/>
          <w:szCs w:val="18"/>
          <w:color w:val="auto"/>
        </w:rPr>
        <w:t>.</w:t>
      </w:r>
    </w:p>
    <w:p>
      <w:pPr>
        <w:sectPr>
          <w:pgSz w:w="11900" w:h="16838" w:orient="portrait"/>
          <w:cols w:equalWidth="0" w:num="1">
            <w:col w:w="11020"/>
          </w:cols>
          <w:pgMar w:left="440" w:top="121" w:right="439" w:bottom="413"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contains certain forward-looking statements, including with respect to the Company’s products, the company’s ability to build on recent operational successes, growth and growth strategy, operational product development activities, growth prospects and other matters. Forward-looking statements are not guarantees of future performance or results. Known and unknown factors that could cause actual performance or results to be materially different from those expressed or implied in these statements include, but are not limited to: our ability to sustain manufacturing improvements; our ability to satisfy customer demand; our ability to successfully scale up manufacturing and build upon recent operational successes; ability to market and sell products, whether through our internal, direct sales force or third parties; impact of significant customer concentration in the genomics business; failure of distributors or other customers to meet purchase forecasts, historic purchase levels or minimum purchase requirements for our products; ability to manufacture products in accordance with applicable specifications, performance standards and quality requirements; ability to obtain, and timing and cost of obtaining, necessary regulatory approvals for new products or new indications or applications for existing products; ability to comply with applicable regulatory requirements; ability to effectively resolve warning letters, audit observations and other findings or comments from the U.S. Food and Drug Administration (“FDA”) or other regulators; the impact of the novel coronavirus (“COVID-19”) pandemic on our business, supply chain and labor force, and ability to successfully develop new products, validate the expanded use of existing collector products, receive necessary regulatory approvals and authorizations and commercialize such products for COVID-19 testing; changes in relationships, including disputes or disagreements, with strategic partners or other parties and reliance on strategic partners for the performance of critical activities under collaborative arrangements; ability to meet increased demand for the Company’s products; impact of replacing distributors; inventory levels at distributors and other customers; our ability to achieve our financial and strategic objectives and continue to increase our revenues, including the ability to expand international sales; impact of competitors, competing products and technology changes; reduction or deferral of public funding available to customers; competition from new or better technology or lower cost products; ability to develop, commercialize and market new products; market acceptance of oral fluid or urine testing, collection or other products; market acceptance and uptake of microbiome informatics, microbial genetics technology and related analytics services; changes in market acceptance of products based on product performance or other factors, including changes in testing guidelines, algorithms or other recommendations by the Centers for Disease Control and Prevention (“CDC”) or other agencies; ability to fund research and development and other products and operations; ability to obtain and maintain new or existing product distribution channels; reliance on sole supply sources for critical products and components; availability of related products produced by third parties or products required for use of our products; impact of contracting with the U.S. government; impact of negative economic conditions; ability to maintain sustained profitability; ability to utilize net operating loss carry forwards or other deferred tax assets; volatility of the Company’s stock price; uncertainty relating to patent protection and potential patent infringement claims; uncertainty and costs of litigation relating to patents and other intellectual property; availability of licenses to patents or other technology; ability to enter into international manufacturing agreements; obstacles to international marketing and manufacturing of products; ability to sell products internationally, including the impact of changes in international funding sources and testing algorithms; adverse movements in foreign currency exchange rates; loss or impairment of sources of capital; ability to attract and retain qualified personnel; exposure to product liability and other types of litigation; changes in international, federal or state laws and regulations; customer consolidations and inventory practices; equipment failures and ability to obtain needed raw materials and components; the impact of terrorist attacks, civil unrest and war; and general political, business and economic conditions. These and other factors that could affect our results are discussed more fully in our SEC filings, including our registration statements, Annual Report on Form 10-K for the year ended December 31, 2021, Quarterly Reports on Form 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press release and OraSure Technologies undertakes no duty to update these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Investor Contact:</w:t>
            </w:r>
          </w:p>
        </w:tc>
        <w:tc>
          <w:tcPr>
            <w:tcW w:w="3000" w:type="dxa"/>
            <w:vAlign w:val="bottom"/>
            <w:gridSpan w:val="3"/>
          </w:tcPr>
          <w:p>
            <w:pPr>
              <w:ind w:left="360"/>
              <w:spacing w:after="0"/>
              <w:rPr>
                <w:sz w:val="20"/>
                <w:szCs w:val="20"/>
                <w:color w:val="auto"/>
              </w:rPr>
            </w:pPr>
            <w:r>
              <w:rPr>
                <w:rFonts w:ascii="Arial" w:cs="Arial" w:eastAsia="Arial" w:hAnsi="Arial"/>
                <w:sz w:val="18"/>
                <w:szCs w:val="18"/>
                <w:color w:val="auto"/>
              </w:rPr>
              <w:t>Media Contact: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Scott Gleason</w:t>
            </w:r>
          </w:p>
        </w:tc>
        <w:tc>
          <w:tcPr>
            <w:tcW w:w="3000" w:type="dxa"/>
            <w:vAlign w:val="bottom"/>
            <w:gridSpan w:val="3"/>
          </w:tcPr>
          <w:p>
            <w:pPr>
              <w:ind w:left="360"/>
              <w:spacing w:after="0"/>
              <w:rPr>
                <w:sz w:val="20"/>
                <w:szCs w:val="20"/>
                <w:color w:val="auto"/>
              </w:rPr>
            </w:pPr>
            <w:r>
              <w:rPr>
                <w:rFonts w:ascii="Arial" w:cs="Arial" w:eastAsia="Arial" w:hAnsi="Arial"/>
                <w:sz w:val="18"/>
                <w:szCs w:val="18"/>
                <w:color w:val="auto"/>
              </w:rPr>
              <w:t>Amy Koch</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9"/>
              </w:rPr>
              <w:t>SVP Investor Relations &amp; Corporate Communications</w:t>
            </w:r>
          </w:p>
        </w:tc>
        <w:tc>
          <w:tcPr>
            <w:tcW w:w="3000" w:type="dxa"/>
            <w:vAlign w:val="bottom"/>
            <w:gridSpan w:val="3"/>
          </w:tcPr>
          <w:p>
            <w:pPr>
              <w:ind w:left="360"/>
              <w:spacing w:after="0"/>
              <w:rPr>
                <w:sz w:val="20"/>
                <w:szCs w:val="20"/>
                <w:color w:val="auto"/>
              </w:rPr>
            </w:pPr>
            <w:r>
              <w:rPr>
                <w:rFonts w:ascii="Arial" w:cs="Arial" w:eastAsia="Arial" w:hAnsi="Arial"/>
                <w:sz w:val="18"/>
                <w:szCs w:val="18"/>
                <w:color w:val="auto"/>
                <w:w w:val="90"/>
              </w:rPr>
              <w:t>Sr. Mgr. Corporate Communications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484-425-0588</w:t>
            </w:r>
          </w:p>
        </w:tc>
        <w:tc>
          <w:tcPr>
            <w:tcW w:w="2600" w:type="dxa"/>
            <w:vAlign w:val="bottom"/>
          </w:tcPr>
          <w:p>
            <w:pPr>
              <w:spacing w:after="0"/>
              <w:rPr>
                <w:sz w:val="18"/>
                <w:szCs w:val="18"/>
                <w:color w:val="auto"/>
              </w:rPr>
            </w:pPr>
          </w:p>
        </w:tc>
        <w:tc>
          <w:tcPr>
            <w:tcW w:w="1860" w:type="dxa"/>
            <w:vAlign w:val="bottom"/>
            <w:gridSpan w:val="2"/>
          </w:tcPr>
          <w:p>
            <w:pPr>
              <w:ind w:left="360"/>
              <w:spacing w:after="0"/>
              <w:rPr>
                <w:sz w:val="20"/>
                <w:szCs w:val="20"/>
                <w:color w:val="auto"/>
              </w:rPr>
            </w:pPr>
            <w:r>
              <w:rPr>
                <w:rFonts w:ascii="Arial" w:cs="Arial" w:eastAsia="Arial" w:hAnsi="Arial"/>
                <w:sz w:val="18"/>
                <w:szCs w:val="18"/>
                <w:color w:val="auto"/>
              </w:rPr>
              <w:t>484-523-1815</w:t>
            </w:r>
          </w:p>
        </w:tc>
        <w:tc>
          <w:tcPr>
            <w:tcW w:w="1140" w:type="dxa"/>
            <w:vAlign w:val="bottom"/>
          </w:tcPr>
          <w:p>
            <w:pPr>
              <w:spacing w:after="0"/>
              <w:rPr>
                <w:sz w:val="18"/>
                <w:szCs w:val="18"/>
                <w:color w:val="auto"/>
              </w:rPr>
            </w:pPr>
          </w:p>
        </w:tc>
      </w:tr>
      <w:tr>
        <w:trPr>
          <w:trHeight w:val="190"/>
        </w:trPr>
        <w:tc>
          <w:tcPr>
            <w:tcW w:w="4260" w:type="dxa"/>
            <w:vAlign w:val="bottom"/>
            <w:gridSpan w:val="2"/>
          </w:tcPr>
          <w:p>
            <w:pPr>
              <w:spacing w:after="0" w:line="190" w:lineRule="exact"/>
              <w:rPr>
                <w:sz w:val="20"/>
                <w:szCs w:val="20"/>
                <w:color w:val="auto"/>
              </w:rPr>
            </w:pPr>
            <w:r>
              <w:rPr>
                <w:rFonts w:ascii="Arial" w:cs="Arial" w:eastAsia="Arial" w:hAnsi="Arial"/>
                <w:sz w:val="18"/>
                <w:szCs w:val="18"/>
                <w:color w:val="auto"/>
              </w:rPr>
              <w:t>sgleason@orasure.com</w:t>
            </w:r>
          </w:p>
        </w:tc>
        <w:tc>
          <w:tcPr>
            <w:tcW w:w="3000" w:type="dxa"/>
            <w:vAlign w:val="bottom"/>
            <w:gridSpan w:val="3"/>
          </w:tcPr>
          <w:p>
            <w:pPr>
              <w:ind w:left="360"/>
              <w:spacing w:after="0" w:line="190" w:lineRule="exact"/>
              <w:rPr>
                <w:sz w:val="20"/>
                <w:szCs w:val="20"/>
                <w:color w:val="auto"/>
              </w:rPr>
            </w:pPr>
            <w:r>
              <w:rPr>
                <w:rFonts w:ascii="Arial" w:cs="Arial" w:eastAsia="Arial" w:hAnsi="Arial"/>
                <w:sz w:val="18"/>
                <w:szCs w:val="18"/>
                <w:color w:val="auto"/>
              </w:rPr>
              <w:t>media@orasure.com</w:t>
            </w:r>
          </w:p>
        </w:tc>
      </w:tr>
      <w:tr>
        <w:trPr>
          <w:trHeight w:val="20"/>
        </w:trPr>
        <w:tc>
          <w:tcPr>
            <w:tcW w:w="16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Roman"/>
      <w:start w:val="1"/>
    </w:lvl>
  </w:abstractNum>
  <w:abstractNum w:abstractNumId="2">
    <w:nsid w:val="1F16E9E8"/>
    <w:multiLevelType w:val="hybridMultilevel"/>
    <w:lvl w:ilvl="0">
      <w:lvlJc w:val="left"/>
      <w:lvlText w:val="(%1)"/>
      <w:numFmt w:val="lowerRoman"/>
      <w:start w:val="4"/>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1"/>
      <w:numFmt w:val="decimal"/>
      <w:start w:val="104"/>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1)"/>
      <w:numFmt w:val="lowerRoman"/>
      <w:start w:val="3"/>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decimal"/>
      <w:start w:val="7"/>
    </w:lvl>
    <w:lvl w:ilvl="1">
      <w:lvlJc w:val="left"/>
      <w:lvlText w:val="(%2)"/>
      <w:numFmt w:val="lowerLetter"/>
      <w:start w:val="1"/>
    </w:lvl>
  </w:abstractNum>
  <w:abstractNum w:abstractNumId="14">
    <w:nsid w:val="25E45D32"/>
    <w:multiLevelType w:val="hybridMultilevel"/>
    <w:lvl w:ilvl="0">
      <w:lvlJc w:val="left"/>
      <w:lvlText w:val="%1"/>
      <w:numFmt w:val="lowerRoman"/>
      <w:start w:val="1"/>
    </w:lvl>
    <w:lvl w:ilvl="1">
      <w:lvlJc w:val="left"/>
      <w:lvlText w:val="(%2)"/>
      <w:numFmt w:val="lowerLetter"/>
      <w:start w:val="3"/>
    </w:lvl>
  </w:abstractNum>
  <w:abstractNum w:abstractNumId="15">
    <w:nsid w:val="519B500D"/>
    <w:multiLevelType w:val="hybridMultilevel"/>
    <w:lvl w:ilvl="0">
      <w:lvlJc w:val="left"/>
      <w:lvlText w:val="(%1)"/>
      <w:numFmt w:val="lowerRoman"/>
      <w:start w:val="4"/>
    </w:lvl>
    <w:lvl w:ilvl="1">
      <w:lvlJc w:val="left"/>
      <w:lvlText w:val="%2"/>
      <w:numFmt w:val="lowerLetter"/>
      <w:start w:val="1"/>
    </w:lvl>
  </w:abstractNum>
  <w:abstractNum w:abstractNumId="16">
    <w:nsid w:val="431BD7B7"/>
    <w:multiLevelType w:val="hybridMultilevel"/>
    <w:lvl w:ilvl="0">
      <w:lvlJc w:val="left"/>
      <w:lvlText w:val="%1."/>
      <w:numFmt w:val="decimal"/>
      <w:start w:val="10"/>
    </w:lvl>
  </w:abstractNum>
  <w:abstractNum w:abstractNumId="17">
    <w:nsid w:val="3F2DBA31"/>
    <w:multiLevelType w:val="hybridMultilevel"/>
    <w:lvl w:ilvl="0">
      <w:lvlJc w:val="left"/>
      <w:lvlText w:val="%1."/>
      <w:numFmt w:val="decimal"/>
      <w:start w:val="14"/>
    </w:lvl>
    <w:lvl w:ilvl="1">
      <w:lvlJc w:val="left"/>
      <w:lvlText w:val="(%2)"/>
      <w:numFmt w:val="lowerLetter"/>
      <w:start w:val="1"/>
    </w:lvl>
  </w:abstractNum>
  <w:abstractNum w:abstractNumId="18">
    <w:nsid w:val="7C83E45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2022-05-26T16:28:44Z</dcterms:created>
  <dcterms:modified xsi:type="dcterms:W3CDTF">2022-05-26T16:28:44Z</dcterms:modified>
</cp:coreProperties>
</file>