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79" w:lineRule="exact"/>
        <w:rPr>
          <w:sz w:val="24"/>
          <w:szCs w:val="24"/>
          <w:color w:val="auto"/>
        </w:rPr>
      </w:pPr>
    </w:p>
    <w:p>
      <w:pPr>
        <w:ind w:left="420" w:hanging="394"/>
        <w:spacing w:after="0"/>
        <w:tabs>
          <w:tab w:leader="none" w:pos="4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r>
        <w:rPr>
          <w:rFonts w:ascii="Times New Roman" w:cs="Times New Roman" w:eastAsia="Times New Roman" w:hAnsi="Times New Roman"/>
          <w:sz w:val="18"/>
          <w:szCs w:val="18"/>
          <w:color w:val="auto"/>
        </w:rPr>
        <w:t>.</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20" w:hanging="394"/>
        <w:spacing w:after="0"/>
        <w:tabs>
          <w:tab w:leader="none" w:pos="4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color w:val="auto"/>
        </w:rPr>
        <w:t>_________</w:t>
      </w:r>
      <w:r>
        <w:rPr>
          <w:rFonts w:ascii="Times New Roman" w:cs="Times New Roman" w:eastAsia="Times New Roman" w:hAnsi="Times New Roman"/>
          <w:sz w:val="18"/>
          <w:szCs w:val="18"/>
          <w:b w:val="1"/>
          <w:bCs w:val="1"/>
          <w:color w:val="auto"/>
        </w:rPr>
        <w:t xml:space="preserve">to </w:t>
      </w:r>
      <w:r>
        <w:rPr>
          <w:rFonts w:ascii="Times New Roman" w:cs="Times New Roman" w:eastAsia="Times New Roman" w:hAnsi="Times New Roman"/>
          <w:sz w:val="18"/>
          <w:szCs w:val="18"/>
          <w:color w:val="auto"/>
        </w:rPr>
        <w:t>_________</w:t>
      </w:r>
      <w:r>
        <w:rPr>
          <w:rFonts w:ascii="Times New Roman" w:cs="Times New Roman" w:eastAsia="Times New Roman" w:hAnsi="Times New Roman"/>
          <w:sz w:val="18"/>
          <w:szCs w:val="18"/>
          <w:b w:val="1"/>
          <w:bCs w:val="1"/>
          <w:color w:val="auto"/>
        </w:rPr>
        <w:t xml:space="preserve"> .</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001-16537</w:t>
      </w:r>
    </w:p>
    <w:p>
      <w:pPr>
        <w:spacing w:after="0" w:line="3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6"/>
          <w:szCs w:val="36"/>
          <w:b w:val="1"/>
          <w:bCs w:val="1"/>
          <w:color w:val="auto"/>
        </w:rPr>
        <w:t>ORASURE TECHNOLOGIES, INC.</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95" w:lineRule="exact"/>
        <w:rPr>
          <w:sz w:val="24"/>
          <w:szCs w:val="24"/>
          <w:color w:val="auto"/>
        </w:rPr>
      </w:pPr>
    </w:p>
    <w:tbl>
      <w:tblPr>
        <w:tblLayout w:type="fixed"/>
        <w:tblInd w:w="1020" w:type="dxa"/>
        <w:tblCellMar>
          <w:top w:w="0" w:type="dxa"/>
          <w:left w:w="0" w:type="dxa"/>
          <w:bottom w:w="0" w:type="dxa"/>
          <w:right w:w="0" w:type="dxa"/>
        </w:tblCellMar>
      </w:tblPr>
      <w:tr>
        <w:trPr>
          <w:trHeight w:val="238"/>
        </w:trPr>
        <w:tc>
          <w:tcPr>
            <w:tcW w:w="4980" w:type="dxa"/>
            <w:vAlign w:val="bottom"/>
          </w:tcPr>
          <w:p>
            <w:pPr>
              <w:jc w:val="center"/>
              <w:ind w:right="13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8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36-4370966</w:t>
            </w:r>
          </w:p>
        </w:tc>
      </w:tr>
      <w:tr>
        <w:trPr>
          <w:trHeight w:val="205"/>
        </w:trPr>
        <w:tc>
          <w:tcPr>
            <w:tcW w:w="4980" w:type="dxa"/>
            <w:vAlign w:val="bottom"/>
          </w:tcPr>
          <w:p>
            <w:pPr>
              <w:jc w:val="center"/>
              <w:ind w:right="1321"/>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80" w:type="dxa"/>
            <w:vAlign w:val="bottom"/>
          </w:tcPr>
          <w:p>
            <w:pPr>
              <w:jc w:val="center"/>
              <w:ind w:left="129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190"/>
        </w:trPr>
        <w:tc>
          <w:tcPr>
            <w:tcW w:w="4980" w:type="dxa"/>
            <w:vAlign w:val="bottom"/>
          </w:tcPr>
          <w:p>
            <w:pPr>
              <w:jc w:val="center"/>
              <w:ind w:right="13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80" w:type="dxa"/>
            <w:vAlign w:val="bottom"/>
          </w:tcPr>
          <w:p>
            <w:pPr>
              <w:spacing w:after="0"/>
              <w:rPr>
                <w:sz w:val="16"/>
                <w:szCs w:val="16"/>
                <w:color w:val="auto"/>
              </w:rPr>
            </w:pPr>
          </w:p>
        </w:tc>
      </w:tr>
      <w:tr>
        <w:trPr>
          <w:trHeight w:val="455"/>
        </w:trPr>
        <w:tc>
          <w:tcPr>
            <w:tcW w:w="4980" w:type="dxa"/>
            <w:vAlign w:val="bottom"/>
          </w:tcPr>
          <w:p>
            <w:pPr>
              <w:jc w:val="center"/>
              <w:ind w:right="1301"/>
              <w:spacing w:after="0"/>
              <w:rPr>
                <w:sz w:val="20"/>
                <w:szCs w:val="20"/>
                <w:color w:val="auto"/>
              </w:rPr>
            </w:pPr>
            <w:r>
              <w:rPr>
                <w:rFonts w:ascii="Times New Roman" w:cs="Times New Roman" w:eastAsia="Times New Roman" w:hAnsi="Times New Roman"/>
                <w:sz w:val="18"/>
                <w:szCs w:val="18"/>
                <w:b w:val="1"/>
                <w:bCs w:val="1"/>
                <w:color w:val="auto"/>
              </w:rPr>
              <w:t>220 East First Street, Bethlehem, Pennsylvania</w:t>
            </w:r>
          </w:p>
        </w:tc>
        <w:tc>
          <w:tcPr>
            <w:tcW w:w="348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18015</w:t>
            </w:r>
          </w:p>
        </w:tc>
      </w:tr>
      <w:tr>
        <w:trPr>
          <w:trHeight w:val="220"/>
        </w:trPr>
        <w:tc>
          <w:tcPr>
            <w:tcW w:w="4980" w:type="dxa"/>
            <w:vAlign w:val="bottom"/>
          </w:tcPr>
          <w:p>
            <w:pPr>
              <w:jc w:val="center"/>
              <w:ind w:right="13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80" w:type="dxa"/>
            <w:vAlign w:val="bottom"/>
          </w:tcPr>
          <w:p>
            <w:pPr>
              <w:jc w:val="center"/>
              <w:ind w:left="129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(610) 882-1820</w:t>
      </w:r>
    </w:p>
    <w:p>
      <w:pPr>
        <w:spacing w:after="0" w:line="3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540" w:type="dxa"/>
            <w:vAlign w:val="bottom"/>
            <w:tcBorders>
              <w:top w:val="single" w:sz="8" w:color="auto"/>
              <w:lef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00" w:type="dxa"/>
            <w:vAlign w:val="bottom"/>
            <w:tcBorders>
              <w:top w:val="single" w:sz="8" w:color="auto"/>
              <w:right w:val="single" w:sz="8" w:color="auto"/>
            </w:tcBorders>
          </w:tcPr>
          <w:p>
            <w:pPr>
              <w:spacing w:after="0"/>
              <w:rPr>
                <w:sz w:val="20"/>
                <w:szCs w:val="20"/>
                <w:color w:val="auto"/>
              </w:rPr>
            </w:pPr>
          </w:p>
        </w:tc>
      </w:tr>
      <w:tr>
        <w:trPr>
          <w:trHeight w:val="238"/>
        </w:trPr>
        <w:tc>
          <w:tcPr>
            <w:tcW w:w="4640" w:type="dxa"/>
            <w:vAlign w:val="bottom"/>
            <w:tcBorders>
              <w:lef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540" w:type="dxa"/>
            <w:vAlign w:val="bottom"/>
            <w:tcBorders>
              <w:left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r>
        <w:trPr>
          <w:trHeight w:val="237"/>
        </w:trPr>
        <w:tc>
          <w:tcPr>
            <w:tcW w:w="4640" w:type="dxa"/>
            <w:vAlign w:val="bottom"/>
            <w:tcBorders>
              <w:lef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Common Stock, $0.000001 par value per share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OSUR</w:t>
            </w:r>
          </w:p>
        </w:tc>
        <w:tc>
          <w:tcPr>
            <w:tcW w:w="4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454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4"/>
          <w:szCs w:val="24"/>
          <w:color w:val="auto"/>
        </w:rPr>
      </w:pPr>
    </w:p>
    <w:p>
      <w:pPr>
        <w:ind w:right="320" w:firstLine="1134"/>
        <w:spacing w:after="0" w:line="260"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 w:lineRule="exact"/>
        <w:rPr>
          <w:sz w:val="24"/>
          <w:szCs w:val="24"/>
          <w:color w:val="auto"/>
        </w:rPr>
      </w:pPr>
    </w:p>
    <w:p>
      <w:pPr>
        <w:ind w:right="80" w:firstLine="1134"/>
        <w:spacing w:after="0" w:line="257"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right="80" w:firstLine="1134"/>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growth company” in Rule 12b-2 of the Exchange Act.</w:t>
            </w:r>
          </w:p>
        </w:tc>
        <w:tc>
          <w:tcPr>
            <w:tcW w:w="45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65"/>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3700" w:type="dxa"/>
            <w:vAlign w:val="bottom"/>
          </w:tcPr>
          <w:p>
            <w:pPr>
              <w:ind w:left="660"/>
              <w:spacing w:after="0"/>
              <w:rPr>
                <w:sz w:val="20"/>
                <w:szCs w:val="20"/>
                <w:color w:val="auto"/>
              </w:rPr>
            </w:pPr>
            <w:r>
              <w:rPr>
                <w:rFonts w:ascii="Wingdings" w:cs="Wingdings" w:eastAsia="Wingdings" w:hAnsi="Wingdings"/>
                <w:sz w:val="18"/>
                <w:szCs w:val="18"/>
                <w:b w:val="1"/>
                <w:bCs w:val="1"/>
                <w:color w:val="auto"/>
              </w:rPr>
              <w:t>o</w:t>
            </w:r>
          </w:p>
        </w:tc>
        <w:tc>
          <w:tcPr>
            <w:tcW w:w="45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460"/>
              <w:spacing w:after="0"/>
              <w:rPr>
                <w:sz w:val="20"/>
                <w:szCs w:val="20"/>
                <w:color w:val="auto"/>
              </w:rPr>
            </w:pPr>
            <w:r>
              <w:rPr>
                <w:rFonts w:ascii="Wingdings" w:cs="Wingdings" w:eastAsia="Wingdings" w:hAnsi="Wingdings"/>
                <w:sz w:val="18"/>
                <w:szCs w:val="18"/>
                <w:b w:val="1"/>
                <w:bCs w:val="1"/>
                <w:color w:val="auto"/>
              </w:rPr>
              <w:t>x</w:t>
            </w:r>
          </w:p>
        </w:tc>
      </w:tr>
      <w:tr>
        <w:trPr>
          <w:trHeight w:val="378"/>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3700" w:type="dxa"/>
            <w:vAlign w:val="bottom"/>
          </w:tcPr>
          <w:p>
            <w:pPr>
              <w:ind w:left="660"/>
              <w:spacing w:after="0"/>
              <w:rPr>
                <w:sz w:val="20"/>
                <w:szCs w:val="20"/>
                <w:color w:val="auto"/>
              </w:rPr>
            </w:pPr>
            <w:r>
              <w:rPr>
                <w:rFonts w:ascii="Wingdings" w:cs="Wingdings" w:eastAsia="Wingdings" w:hAnsi="Wingdings"/>
                <w:sz w:val="18"/>
                <w:szCs w:val="18"/>
                <w:b w:val="1"/>
                <w:bCs w:val="1"/>
                <w:color w:val="auto"/>
              </w:rPr>
              <w:t>o</w:t>
            </w:r>
          </w:p>
        </w:tc>
        <w:tc>
          <w:tcPr>
            <w:tcW w:w="45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480"/>
              <w:spacing w:after="0"/>
              <w:rPr>
                <w:sz w:val="20"/>
                <w:szCs w:val="20"/>
                <w:color w:val="auto"/>
              </w:rPr>
            </w:pPr>
            <w:r>
              <w:rPr>
                <w:rFonts w:ascii="Wingdings" w:cs="Wingdings" w:eastAsia="Wingdings" w:hAnsi="Wingdings"/>
                <w:sz w:val="18"/>
                <w:szCs w:val="18"/>
                <w:b w:val="1"/>
                <w:bCs w:val="1"/>
                <w:color w:val="auto"/>
              </w:rPr>
              <w:t>o</w:t>
            </w:r>
          </w:p>
        </w:tc>
      </w:tr>
      <w:tr>
        <w:trPr>
          <w:trHeight w:val="378"/>
        </w:trPr>
        <w:tc>
          <w:tcPr>
            <w:tcW w:w="22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5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40" w:type="dxa"/>
            <w:vAlign w:val="bottom"/>
          </w:tcPr>
          <w:p>
            <w:pPr>
              <w:ind w:left="480"/>
              <w:spacing w:after="0"/>
              <w:rPr>
                <w:sz w:val="20"/>
                <w:szCs w:val="20"/>
                <w:color w:val="auto"/>
              </w:rPr>
            </w:pPr>
            <w:r>
              <w:rPr>
                <w:rFonts w:ascii="Wingdings" w:cs="Wingdings" w:eastAsia="Wingdings" w:hAnsi="Wingdings"/>
                <w:sz w:val="18"/>
                <w:szCs w:val="18"/>
                <w:b w:val="1"/>
                <w:bCs w:val="1"/>
                <w:color w:val="auto"/>
              </w:rPr>
              <w:t>o</w:t>
            </w:r>
          </w:p>
        </w:tc>
      </w:tr>
      <w:tr>
        <w:trPr>
          <w:trHeight w:val="1047"/>
        </w:trPr>
        <w:tc>
          <w:tcPr>
            <w:tcW w:w="22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firstLine="1134"/>
        <w:spacing w:after="0" w:line="266"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ind w:left="1140"/>
        <w:spacing w:after="0" w:line="297" w:lineRule="auto"/>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April 30, 2026, the registrant had 68,848,553 shares of common stock, $0.000001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320" w:top="121" w:right="9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certain “forward-looking statements” within the meaning of the Federal securities laws. These may include statements about the Company's expected revenues, earnings/losses per share, net income (loss), expenses, cash flow or other financial performance, or developments, clinical trial or development activities, expected regulatory filings and approvals, planned business transactions, views of future industry, competitive or market conditions, and other factors that could affect the Company's future operations, results of operations or financial position. These statements often include words, such as “believes,” “expects,” “anticipates,” “intends,” “plans,” “estimates,” “may,” “will,” “should,” “could,” or similar expressions.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Forward-looking statements are not guarantees of future performance or results. Known and unknown factors that could cause actual performance or results to be materially different from those expressed or implied in these statements include, but are not limited to:</w:t>
      </w:r>
    </w:p>
    <w:p>
      <w:pPr>
        <w:spacing w:after="0" w:line="162" w:lineRule="exact"/>
        <w:rPr>
          <w:sz w:val="20"/>
          <w:szCs w:val="20"/>
          <w:color w:val="auto"/>
        </w:rPr>
      </w:pPr>
    </w:p>
    <w:p>
      <w:pPr>
        <w:ind w:left="260" w:right="2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the Company's ability to market and sell, its products and services, whether through its internal, direct sales force or third parties;</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obtain, and timing and cost of obtaining, necessary regulatory approvals for new products or new indications or applications for existing products; ability to comply with applicable regulatory requirements;</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distributors or other customers to meet purchase forecasts, historic purchase levels or minimum purchase requirements for the Company's products;</w:t>
      </w:r>
    </w:p>
    <w:p>
      <w:pPr>
        <w:spacing w:after="0" w:line="16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customer concentrations that exist or may develop in the future;</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manufacture products in accordance with applicable specifications, performance standards and quality requirements;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negative geopolitical and economic conditions on the Company's business, including its ability to maintain sales at existing levels;</w:t>
      </w:r>
    </w:p>
    <w:p>
      <w:pPr>
        <w:spacing w:after="0" w:line="225"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effectively resolve warning letters, audit observations and other findings or comments from the U.S. Food and Drug Administration (the "FDA"), or other regulators;</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including disputes or disagreements, with strategic partners or other parties and reliance on strategic partners for the performance of critical activities under collaborative arrangements;</w:t>
      </w:r>
    </w:p>
    <w:p>
      <w:pPr>
        <w:spacing w:after="0" w:line="16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meet increased demand for its products;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replacing distributors on the Company's business;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levels at distributors and other customers;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achieve its financial and strategic objectives and to increase its revenues, including the ability to expand international sales;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competitors, competing products and technology changes on the Company's business;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or deferral of public funding available to customers;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new or better technology or lower cost products;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develop, commercialize and market new products;</w:t>
      </w:r>
    </w:p>
    <w:p>
      <w:pPr>
        <w:spacing w:after="0" w:line="225"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acceptance of products based on product performance or other factors, including changes in testing guidelines, algorithms or other recommendations by the Centers for Disease Control and Prevention (the "CDC") or other agencies; ability to fund research and development and other products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 w:hanging="252"/>
        <w:spacing w:after="0" w:line="28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fulfill ongoing commitments under contracts with the U.S. government relating to InteliSwab® COVID-19 Rapid Tests manufacturing capacity;</w:t>
      </w:r>
    </w:p>
    <w:p>
      <w:pPr>
        <w:spacing w:after="0" w:line="16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obtain and maintain new or existing product distribution channels;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sole supply sources for critical products and components;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related products produced by third parties or products required for use of the Company's products;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contracting with the U.S. government on the Company's business;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sustained profitability;</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increase its gross margins;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utilize net operating loss carryforwards or other deferred tax assets;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the Company's stock price;</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relating to patent protection and potential patent infringement claims;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and costs of litigation relating to patents and other intellectual property;</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licenses to patents or other technology;</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enter into international manufacturing agreements;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Obstacles to international marketing and manufacturing of products, including international in-country value-added assembly or "near-shoring";</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international funding sources and testing algorithms on international sales;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movements in foreign currency exchange rates;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impairment of sources of capital;</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attract and retain qualified personnel;</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exposure to product liability and other types of litigation;</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international, federal or state laws and regulations;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consolidations and inventory practices;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failures and ability to obtain needed raw materials and components;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terrorist attacks and civil unrest; and</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business and economic conditions, including inflationary pressures and tariffs.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and other factors that could affect the Company's results are discussed more fully under the section titled “Risk Factors,” set forth in Part II, Item 1A of this Quarterly Report on Form 10-Q, if any, in Part I, Item 1A of the Company's Annual Report on Form 10-K for the fiscal year ended December 31, 2025 filed with the Securities and Exchange Commission (the “SEC”) on March 9, 2026, and in subsequent SEC filings. Although forward-looking statements help to provide information about future prospects, readers should keep in mind that forward-looking statements may not be reliable. Readers are cautioned not to place undue reliance on the forward-looking statements. The forward-looking statements are made as of the date of this report and the Company undertakes no duty to update these statements, unless it is required to do so by law. If the Company does update one or more forward-looking statements, no inference should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drawn that it will make updates with respect to other forward-looking statements or that it will make any further updates to those forward-looking statements at any future time.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Investors should also be aware that while the Company does, from time to time, communicate with securities analysts, it is against the Company's policy to disclose any material non-public information or other confidential commercial information. Accordingly, stockholders should not assume that the Company agrees with any statement or report issued by any analyst irrespective of the content of the statement or report. Furthermore, the Company has a policy against issuing or confirming financial forecasts or projections issued by others. Thus, to the extent that reports issued by securities analysts contain any projections, forecasts or opinions, such reports are not the responsibility of OraSure.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3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5"/>
        </w:trPr>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00" w:type="dxa"/>
            <w:vAlign w:val="bottom"/>
            <w:gridSpan w:val="8"/>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Item 1. Financial Statements (Unaudited)</w:t>
            </w:r>
          </w:p>
        </w:tc>
        <w:tc>
          <w:tcPr>
            <w:tcW w:w="7140" w:type="dxa"/>
            <w:vAlign w:val="bottom"/>
            <w:gridSpan w:val="9"/>
            <w:vMerge w:val="restart"/>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3180" w:type="dxa"/>
            <w:vAlign w:val="bottom"/>
            <w:tcBorders>
              <w:bottom w:val="single" w:sz="8" w:color="0000FF"/>
            </w:tcBorders>
            <w:gridSpan w:val="11"/>
            <w:vMerge w:val="continue"/>
          </w:tcPr>
          <w:p>
            <w:pPr>
              <w:spacing w:after="0"/>
              <w:rPr>
                <w:sz w:val="24"/>
                <w:szCs w:val="24"/>
                <w:color w:val="auto"/>
              </w:rPr>
            </w:pPr>
          </w:p>
        </w:tc>
        <w:tc>
          <w:tcPr>
            <w:tcW w:w="7140" w:type="dxa"/>
            <w:vAlign w:val="bottom"/>
            <w:gridSpan w:val="9"/>
            <w:vMerge w:val="continue"/>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Balance Sheets at March 31, 2026 and December 31, 2025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Months Ended March 31, 2026 and 2025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5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 for the Three Months Ended March 31, 2026 and 2025</w:t>
            </w:r>
          </w:p>
        </w:tc>
        <w:tc>
          <w:tcPr>
            <w:tcW w:w="2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2026 and 2025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306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20" w:type="dxa"/>
            <w:vAlign w:val="bottom"/>
          </w:tcPr>
          <w:p>
            <w:pPr>
              <w:spacing w:after="0"/>
              <w:rPr>
                <w:sz w:val="24"/>
                <w:szCs w:val="24"/>
                <w:color w:val="auto"/>
              </w:rPr>
            </w:pPr>
          </w:p>
        </w:tc>
        <w:tc>
          <w:tcPr>
            <w:tcW w:w="1032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Item 2. 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52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w w:val="99"/>
              </w:rPr>
              <w:t>Item 3. Quantitative and Qualitative Disclosures About Market Risk</w:t>
            </w:r>
          </w:p>
        </w:tc>
        <w:tc>
          <w:tcPr>
            <w:tcW w:w="2160" w:type="dxa"/>
            <w:vAlign w:val="bottom"/>
            <w:tcBorders>
              <w:top w:val="single" w:sz="8" w:color="0000FF"/>
            </w:tcBorders>
            <w:gridSpan w:val="4"/>
          </w:tcPr>
          <w:p>
            <w:pPr>
              <w:spacing w:after="0"/>
              <w:rPr>
                <w:sz w:val="24"/>
                <w:szCs w:val="24"/>
                <w:color w:val="auto"/>
              </w:rPr>
            </w:pPr>
          </w:p>
        </w:tc>
        <w:tc>
          <w:tcPr>
            <w:tcW w:w="290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1032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Item 4. 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00" w:type="dxa"/>
            <w:vAlign w:val="bottom"/>
            <w:gridSpan w:val="8"/>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20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9"/>
              </w:rPr>
              <w:t>Item 1. Legal Proceedings</w:t>
            </w:r>
          </w:p>
        </w:tc>
        <w:tc>
          <w:tcPr>
            <w:tcW w:w="832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1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Item 1A. Risk Factors</w:t>
            </w:r>
          </w:p>
        </w:tc>
        <w:tc>
          <w:tcPr>
            <w:tcW w:w="862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5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9"/>
              </w:rPr>
              <w:t>Item 2. Unregistered Sales of Equity Securities and Use of Proceeds</w:t>
            </w:r>
          </w:p>
        </w:tc>
        <w:tc>
          <w:tcPr>
            <w:tcW w:w="516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30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9"/>
              </w:rPr>
              <w:t>Item 3. Defaults Upon Senior Securities</w:t>
            </w:r>
          </w:p>
        </w:tc>
        <w:tc>
          <w:tcPr>
            <w:tcW w:w="728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1032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Item 4. 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20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Item 5. Other Information</w:t>
            </w:r>
          </w:p>
        </w:tc>
        <w:tc>
          <w:tcPr>
            <w:tcW w:w="380" w:type="dxa"/>
            <w:vAlign w:val="bottom"/>
            <w:tcBorders>
              <w:top w:val="single" w:sz="8" w:color="0000FF"/>
            </w:tcBorders>
          </w:tcPr>
          <w:p>
            <w:pPr>
              <w:spacing w:after="0"/>
              <w:rPr>
                <w:sz w:val="24"/>
                <w:szCs w:val="24"/>
                <w:color w:val="auto"/>
              </w:rPr>
            </w:pPr>
          </w:p>
        </w:tc>
        <w:tc>
          <w:tcPr>
            <w:tcW w:w="790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12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Item 6. Exhibits</w:t>
            </w:r>
          </w:p>
        </w:tc>
        <w:tc>
          <w:tcPr>
            <w:tcW w:w="908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0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067"/>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200" w:type="dxa"/>
            <w:vAlign w:val="bottom"/>
          </w:tcPr>
          <w:p>
            <w:pPr>
              <w:spacing w:after="0"/>
              <w:rPr>
                <w:sz w:val="15"/>
                <w:szCs w:val="15"/>
                <w:color w:val="auto"/>
              </w:rPr>
            </w:pPr>
          </w:p>
        </w:tc>
        <w:tc>
          <w:tcPr>
            <w:tcW w:w="150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28"/>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76"/>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r>
      <w:tr>
        <w:trPr>
          <w:trHeight w:val="188"/>
        </w:trPr>
        <w:tc>
          <w:tcPr>
            <w:tcW w:w="7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8"/>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6"/>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176,964</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199,278</w:t>
            </w:r>
          </w:p>
        </w:tc>
      </w:tr>
      <w:tr>
        <w:trPr>
          <w:trHeight w:val="188"/>
        </w:trPr>
        <w:tc>
          <w:tcPr>
            <w:tcW w:w="7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receivable, net of allowance for doubtful accounts of $253 and $188</w:t>
            </w:r>
          </w:p>
        </w:tc>
        <w:tc>
          <w:tcPr>
            <w:tcW w:w="260" w:type="dxa"/>
            <w:vAlign w:val="bottom"/>
          </w:tcPr>
          <w:p>
            <w:pPr>
              <w:spacing w:after="0"/>
              <w:rPr>
                <w:sz w:val="16"/>
                <w:szCs w:val="16"/>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24,807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22,203</w:t>
            </w:r>
          </w:p>
        </w:tc>
      </w:tr>
      <w:tr>
        <w:trPr>
          <w:trHeight w:val="28"/>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6"/>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Inventories</w:t>
            </w: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30,307</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31,060</w:t>
            </w:r>
          </w:p>
        </w:tc>
      </w:tr>
      <w:tr>
        <w:trPr>
          <w:trHeight w:val="188"/>
        </w:trPr>
        <w:tc>
          <w:tcPr>
            <w:tcW w:w="7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Prepaid expenses</w:t>
            </w:r>
          </w:p>
        </w:tc>
        <w:tc>
          <w:tcPr>
            <w:tcW w:w="260" w:type="dxa"/>
            <w:vAlign w:val="bottom"/>
          </w:tcPr>
          <w:p>
            <w:pPr>
              <w:spacing w:after="0"/>
              <w:rPr>
                <w:sz w:val="16"/>
                <w:szCs w:val="16"/>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5,225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5,221</w:t>
            </w:r>
          </w:p>
        </w:tc>
      </w:tr>
      <w:tr>
        <w:trPr>
          <w:trHeight w:val="28"/>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6"/>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tax receivable</w:t>
            </w: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1,608</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7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current assets</w:t>
            </w:r>
          </w:p>
        </w:tc>
        <w:tc>
          <w:tcPr>
            <w:tcW w:w="260" w:type="dxa"/>
            <w:vAlign w:val="bottom"/>
          </w:tcPr>
          <w:p>
            <w:pPr>
              <w:spacing w:after="0"/>
              <w:rPr>
                <w:sz w:val="16"/>
                <w:szCs w:val="16"/>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1,870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4,146</w:t>
            </w:r>
          </w:p>
        </w:tc>
      </w:tr>
      <w:tr>
        <w:trPr>
          <w:trHeight w:val="28"/>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current assets</w:t>
            </w:r>
          </w:p>
        </w:tc>
        <w:tc>
          <w:tcPr>
            <w:tcW w:w="2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240,781</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261,908</w:t>
            </w:r>
          </w:p>
        </w:tc>
      </w:tr>
      <w:tr>
        <w:trPr>
          <w:trHeight w:val="188"/>
        </w:trPr>
        <w:tc>
          <w:tcPr>
            <w:tcW w:w="7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Noncurrent Assets:</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8"/>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6"/>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Property, plant and equipment, net of accumulated depreciation</w:t>
            </w: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37,857</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39,179</w:t>
            </w:r>
          </w:p>
        </w:tc>
      </w:tr>
      <w:tr>
        <w:trPr>
          <w:trHeight w:val="188"/>
        </w:trPr>
        <w:tc>
          <w:tcPr>
            <w:tcW w:w="7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Operating right-of-use assets, net</w:t>
            </w:r>
          </w:p>
        </w:tc>
        <w:tc>
          <w:tcPr>
            <w:tcW w:w="260" w:type="dxa"/>
            <w:vAlign w:val="bottom"/>
          </w:tcPr>
          <w:p>
            <w:pPr>
              <w:spacing w:after="0"/>
              <w:rPr>
                <w:sz w:val="16"/>
                <w:szCs w:val="16"/>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11,548</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11,996</w:t>
            </w:r>
          </w:p>
        </w:tc>
      </w:tr>
      <w:tr>
        <w:trPr>
          <w:trHeight w:val="28"/>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6"/>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Finance right-of-use assets, net</w:t>
            </w: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203</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r>
      <w:tr>
        <w:trPr>
          <w:trHeight w:val="188"/>
        </w:trPr>
        <w:tc>
          <w:tcPr>
            <w:tcW w:w="7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Intangible assets, net of accumulated amortization of $26,977 and $27,180</w:t>
            </w:r>
          </w:p>
        </w:tc>
        <w:tc>
          <w:tcPr>
            <w:tcW w:w="260" w:type="dxa"/>
            <w:vAlign w:val="bottom"/>
          </w:tcPr>
          <w:p>
            <w:pPr>
              <w:spacing w:after="0"/>
              <w:rPr>
                <w:sz w:val="16"/>
                <w:szCs w:val="16"/>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18,940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19,046</w:t>
            </w:r>
          </w:p>
        </w:tc>
      </w:tr>
      <w:tr>
        <w:trPr>
          <w:trHeight w:val="28"/>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6"/>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Goodwill</w:t>
            </w: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43,047</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43,363</w:t>
            </w:r>
          </w:p>
        </w:tc>
      </w:tr>
      <w:tr>
        <w:trPr>
          <w:trHeight w:val="188"/>
        </w:trPr>
        <w:tc>
          <w:tcPr>
            <w:tcW w:w="7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Investment in equity method investee</w:t>
            </w:r>
          </w:p>
        </w:tc>
        <w:tc>
          <w:tcPr>
            <w:tcW w:w="260" w:type="dxa"/>
            <w:vAlign w:val="bottom"/>
          </w:tcPr>
          <w:p>
            <w:pPr>
              <w:spacing w:after="0"/>
              <w:rPr>
                <w:sz w:val="16"/>
                <w:szCs w:val="16"/>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24,868</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25,956</w:t>
            </w:r>
          </w:p>
        </w:tc>
      </w:tr>
      <w:tr>
        <w:trPr>
          <w:trHeight w:val="28"/>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6"/>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Deferred tax asset</w:t>
            </w: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643</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w:t>
            </w:r>
          </w:p>
        </w:tc>
      </w:tr>
      <w:tr>
        <w:trPr>
          <w:trHeight w:val="188"/>
        </w:trPr>
        <w:tc>
          <w:tcPr>
            <w:tcW w:w="7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noncurrent assets</w:t>
            </w:r>
          </w:p>
        </w:tc>
        <w:tc>
          <w:tcPr>
            <w:tcW w:w="260" w:type="dxa"/>
            <w:vAlign w:val="bottom"/>
          </w:tcPr>
          <w:p>
            <w:pPr>
              <w:spacing w:after="0"/>
              <w:rPr>
                <w:sz w:val="16"/>
                <w:szCs w:val="16"/>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1,282</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1,303</w:t>
            </w:r>
          </w:p>
        </w:tc>
      </w:tr>
      <w:tr>
        <w:trPr>
          <w:trHeight w:val="28"/>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0"/>
        </w:trPr>
        <w:tc>
          <w:tcPr>
            <w:tcW w:w="7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noncurrent assets</w:t>
            </w:r>
          </w:p>
        </w:tc>
        <w:tc>
          <w:tcPr>
            <w:tcW w:w="2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138,388</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141,260</w:t>
            </w: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w:t>
            </w:r>
          </w:p>
        </w:tc>
        <w:tc>
          <w:tcPr>
            <w:tcW w:w="14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379,169</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403,168</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63"/>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r>
      <w:tr>
        <w:trPr>
          <w:trHeight w:val="188"/>
        </w:trPr>
        <w:tc>
          <w:tcPr>
            <w:tcW w:w="7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8"/>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6"/>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10,628</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6,521</w:t>
            </w:r>
          </w:p>
        </w:tc>
      </w:tr>
      <w:tr>
        <w:trPr>
          <w:trHeight w:val="189"/>
        </w:trPr>
        <w:tc>
          <w:tcPr>
            <w:tcW w:w="7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Deferred revenue</w:t>
            </w:r>
          </w:p>
        </w:tc>
        <w:tc>
          <w:tcPr>
            <w:tcW w:w="260" w:type="dxa"/>
            <w:vAlign w:val="bottom"/>
          </w:tcPr>
          <w:p>
            <w:pPr>
              <w:spacing w:after="0"/>
              <w:rPr>
                <w:sz w:val="16"/>
                <w:szCs w:val="16"/>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872</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1,518</w:t>
            </w:r>
          </w:p>
        </w:tc>
      </w:tr>
      <w:tr>
        <w:trPr>
          <w:trHeight w:val="28"/>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6"/>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11,590</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11,149</w:t>
            </w:r>
          </w:p>
        </w:tc>
      </w:tr>
      <w:tr>
        <w:trPr>
          <w:trHeight w:val="188"/>
        </w:trPr>
        <w:tc>
          <w:tcPr>
            <w:tcW w:w="7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Finance lease liability</w:t>
            </w:r>
          </w:p>
        </w:tc>
        <w:tc>
          <w:tcPr>
            <w:tcW w:w="260" w:type="dxa"/>
            <w:vAlign w:val="bottom"/>
          </w:tcPr>
          <w:p>
            <w:pPr>
              <w:spacing w:after="0"/>
              <w:rPr>
                <w:sz w:val="16"/>
                <w:szCs w:val="16"/>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28"/>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6"/>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Operating lease liability</w:t>
            </w: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2,134</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2,164</w:t>
            </w:r>
          </w:p>
        </w:tc>
      </w:tr>
      <w:tr>
        <w:trPr>
          <w:trHeight w:val="188"/>
        </w:trPr>
        <w:tc>
          <w:tcPr>
            <w:tcW w:w="7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Acquisition-related contingent consideration obligation</w:t>
            </w:r>
          </w:p>
        </w:tc>
        <w:tc>
          <w:tcPr>
            <w:tcW w:w="260" w:type="dxa"/>
            <w:vAlign w:val="bottom"/>
          </w:tcPr>
          <w:p>
            <w:pPr>
              <w:spacing w:after="0"/>
              <w:rPr>
                <w:sz w:val="16"/>
                <w:szCs w:val="16"/>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18,777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18,380</w:t>
            </w:r>
          </w:p>
        </w:tc>
      </w:tr>
      <w:tr>
        <w:trPr>
          <w:trHeight w:val="28"/>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44,084</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39,795</w:t>
            </w:r>
          </w:p>
        </w:tc>
      </w:tr>
      <w:tr>
        <w:trPr>
          <w:trHeight w:val="188"/>
        </w:trPr>
        <w:tc>
          <w:tcPr>
            <w:tcW w:w="7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Noncurrent Liabilities:</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8"/>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6"/>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Finance lease liability</w:t>
            </w: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143</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88"/>
        </w:trPr>
        <w:tc>
          <w:tcPr>
            <w:tcW w:w="7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Operating lease liability</w:t>
            </w:r>
          </w:p>
        </w:tc>
        <w:tc>
          <w:tcPr>
            <w:tcW w:w="260" w:type="dxa"/>
            <w:vAlign w:val="bottom"/>
          </w:tcPr>
          <w:p>
            <w:pPr>
              <w:spacing w:after="0"/>
              <w:rPr>
                <w:sz w:val="16"/>
                <w:szCs w:val="16"/>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10,299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10,870</w:t>
            </w:r>
          </w:p>
        </w:tc>
      </w:tr>
      <w:tr>
        <w:trPr>
          <w:trHeight w:val="28"/>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6"/>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Acquisition-related contingent consideration obligation</w:t>
            </w: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9,029</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9,333</w:t>
            </w:r>
          </w:p>
        </w:tc>
      </w:tr>
      <w:tr>
        <w:trPr>
          <w:trHeight w:val="189"/>
        </w:trPr>
        <w:tc>
          <w:tcPr>
            <w:tcW w:w="7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60" w:type="dxa"/>
            <w:vAlign w:val="bottom"/>
          </w:tcPr>
          <w:p>
            <w:pPr>
              <w:spacing w:after="0"/>
              <w:rPr>
                <w:sz w:val="16"/>
                <w:szCs w:val="16"/>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2,290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2,243</w:t>
            </w:r>
          </w:p>
        </w:tc>
      </w:tr>
      <w:tr>
        <w:trPr>
          <w:trHeight w:val="28"/>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9"/>
        </w:trPr>
        <w:tc>
          <w:tcPr>
            <w:tcW w:w="7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noncurrent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21,761</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22,546</w:t>
            </w:r>
          </w:p>
        </w:tc>
      </w:tr>
      <w:tr>
        <w:trPr>
          <w:trHeight w:val="182"/>
        </w:trPr>
        <w:tc>
          <w:tcPr>
            <w:tcW w:w="7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65,845</w:t>
            </w: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62,341</w:t>
            </w:r>
          </w:p>
        </w:tc>
      </w:tr>
      <w:tr>
        <w:trPr>
          <w:trHeight w:val="28"/>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76"/>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12)</w:t>
            </w:r>
          </w:p>
        </w:tc>
        <w:tc>
          <w:tcPr>
            <w:tcW w:w="2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r>
      <w:tr>
        <w:trPr>
          <w:trHeight w:val="188"/>
        </w:trPr>
        <w:tc>
          <w:tcPr>
            <w:tcW w:w="7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8"/>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6"/>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Preferred stock, par value $0.000001, 25,000 shares authorized, none issued</w:t>
            </w:r>
          </w:p>
        </w:tc>
        <w:tc>
          <w:tcPr>
            <w:tcW w:w="26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7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Common stock, par value $0.000001, 120,000 shares authorized, 69,397 and 70,391 shares issued and outstanding</w:t>
            </w:r>
          </w:p>
        </w:tc>
        <w:tc>
          <w:tcPr>
            <w:tcW w:w="260" w:type="dxa"/>
            <w:vAlign w:val="bottom"/>
          </w:tcPr>
          <w:p>
            <w:pPr>
              <w:spacing w:after="0"/>
              <w:rPr>
                <w:sz w:val="16"/>
                <w:szCs w:val="16"/>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8"/>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6"/>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527,900</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531,393</w:t>
            </w:r>
          </w:p>
        </w:tc>
      </w:tr>
      <w:tr>
        <w:trPr>
          <w:trHeight w:val="189"/>
        </w:trPr>
        <w:tc>
          <w:tcPr>
            <w:tcW w:w="7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(20,037)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(18,404)</w:t>
            </w:r>
          </w:p>
        </w:tc>
      </w:tr>
      <w:tr>
        <w:trPr>
          <w:trHeight w:val="28"/>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16"/>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Accumulated deficit</w:t>
            </w:r>
          </w:p>
        </w:tc>
        <w:tc>
          <w:tcPr>
            <w:tcW w:w="2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(194,539)</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(172,162)</w:t>
            </w:r>
          </w:p>
        </w:tc>
      </w:tr>
      <w:tr>
        <w:trPr>
          <w:trHeight w:val="182"/>
        </w:trPr>
        <w:tc>
          <w:tcPr>
            <w:tcW w:w="7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2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313,324</w:t>
            </w: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340,827</w:t>
            </w:r>
          </w:p>
        </w:tc>
      </w:tr>
      <w:tr>
        <w:trPr>
          <w:trHeight w:val="28"/>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4"/>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379,169</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403,168</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ectPr>
          <w:pgSz w:w="11900" w:h="16838" w:orient="portrait"/>
          <w:cols w:equalWidth="0" w:num="1">
            <w:col w:w="11240"/>
          </w:cols>
          <w:pgMar w:left="320" w:top="121" w:right="3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6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Products and services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26,376</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28,997</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37"/>
        </w:trPr>
        <w:tc>
          <w:tcPr>
            <w:tcW w:w="76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27,925</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29,931</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3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16,121</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17,632</w:t>
            </w:r>
          </w:p>
        </w:tc>
        <w:tc>
          <w:tcPr>
            <w:tcW w:w="0" w:type="dxa"/>
            <w:vAlign w:val="bottom"/>
          </w:tcPr>
          <w:p>
            <w:pPr>
              <w:spacing w:after="0"/>
              <w:rPr>
                <w:sz w:val="1"/>
                <w:szCs w:val="1"/>
                <w:color w:val="auto"/>
              </w:rPr>
            </w:pPr>
          </w:p>
        </w:tc>
      </w:tr>
      <w:tr>
        <w:trPr>
          <w:trHeight w:val="237"/>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12,299</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0" w:type="dxa"/>
            <w:vAlign w:val="bottom"/>
          </w:tcPr>
          <w:p>
            <w:pPr>
              <w:spacing w:after="0"/>
              <w:rPr>
                <w:sz w:val="1"/>
                <w:szCs w:val="1"/>
                <w:color w:val="auto"/>
              </w:rPr>
            </w:pPr>
          </w:p>
        </w:tc>
      </w:tr>
      <w:tr>
        <w:trPr>
          <w:trHeight w:val="243"/>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14,556</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14,102</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the estimated fair value of acquisition-related 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43"/>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assets</w:t>
            </w:r>
          </w:p>
        </w:tc>
        <w:tc>
          <w:tcPr>
            <w:tcW w:w="34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6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35,073</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30,049</w:t>
            </w:r>
          </w:p>
        </w:tc>
        <w:tc>
          <w:tcPr>
            <w:tcW w:w="0" w:type="dxa"/>
            <w:vAlign w:val="bottom"/>
          </w:tcPr>
          <w:p>
            <w:pPr>
              <w:spacing w:after="0"/>
              <w:rPr>
                <w:sz w:val="1"/>
                <w:szCs w:val="1"/>
                <w:color w:val="auto"/>
              </w:rPr>
            </w:pPr>
          </w:p>
        </w:tc>
      </w:tr>
      <w:tr>
        <w:trPr>
          <w:trHeight w:val="237"/>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(23,269)</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0" w:type="dxa"/>
            <w:vAlign w:val="bottom"/>
          </w:tcPr>
          <w:p>
            <w:pPr>
              <w:spacing w:after="0"/>
              <w:rPr>
                <w:sz w:val="1"/>
                <w:szCs w:val="1"/>
                <w:color w:val="auto"/>
              </w:rPr>
            </w:pPr>
          </w:p>
        </w:tc>
      </w:tr>
      <w:tr>
        <w:trPr>
          <w:trHeight w:val="237"/>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income taxes and equity investment</w:t>
            </w:r>
          </w:p>
        </w:tc>
        <w:tc>
          <w:tcPr>
            <w:tcW w:w="3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(21,721)</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(15,972)</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37"/>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EQUITY INVESTMENT</w:t>
            </w:r>
          </w:p>
        </w:tc>
        <w:tc>
          <w:tcPr>
            <w:tcW w:w="3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(21,289)</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(15,516)</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EQUITY INVESTMENT</w:t>
            </w:r>
          </w:p>
        </w:tc>
        <w:tc>
          <w:tcPr>
            <w:tcW w:w="3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37"/>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(22,377)</w:t>
            </w:r>
          </w:p>
        </w:tc>
        <w:tc>
          <w:tcPr>
            <w:tcW w:w="8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(16,040)</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3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80" w:type="dxa"/>
            <w:vAlign w:val="bottom"/>
          </w:tcPr>
          <w:p>
            <w:pPr>
              <w:spacing w:after="0"/>
              <w:rPr>
                <w:sz w:val="23"/>
                <w:szCs w:val="23"/>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SHARES USED IN COMPUTING LOSS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69,675</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74,867</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69,675</w:t>
            </w:r>
          </w:p>
        </w:tc>
        <w:tc>
          <w:tcPr>
            <w:tcW w:w="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74,867</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280" w:type="dxa"/>
            <w:vAlign w:val="bottom"/>
            <w:gridSpan w:val="5"/>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37"/>
        </w:trPr>
        <w:tc>
          <w:tcPr>
            <w:tcW w:w="79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6"/>
        </w:trPr>
        <w:tc>
          <w:tcPr>
            <w:tcW w:w="79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9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(22,377)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(16,040)</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9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6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940" w:type="dxa"/>
            <w:vAlign w:val="bottom"/>
            <w:tcBorders>
              <w:top w:val="single" w:sz="8" w:color="auto"/>
              <w:bottom w:val="single" w:sz="8" w:color="auto"/>
            </w:tcBorders>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(24,010)</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(15,802)</w:t>
            </w:r>
          </w:p>
        </w:tc>
      </w:tr>
      <w:tr>
        <w:trPr>
          <w:trHeight w:val="21"/>
        </w:trPr>
        <w:tc>
          <w:tcPr>
            <w:tcW w:w="7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30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560" w:type="dxa"/>
            <w:vAlign w:val="bottom"/>
          </w:tcPr>
          <w:p>
            <w:pPr>
              <w:spacing w:after="0"/>
              <w:rPr>
                <w:sz w:val="16"/>
                <w:szCs w:val="16"/>
                <w:color w:val="auto"/>
              </w:rPr>
            </w:pPr>
          </w:p>
        </w:tc>
      </w:tr>
      <w:tr>
        <w:trPr>
          <w:trHeight w:val="37"/>
        </w:trPr>
        <w:tc>
          <w:tcPr>
            <w:tcW w:w="764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86"/>
        </w:trPr>
        <w:tc>
          <w:tcPr>
            <w:tcW w:w="764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r>
      <w:tr>
        <w:trPr>
          <w:trHeight w:val="37"/>
        </w:trPr>
        <w:tc>
          <w:tcPr>
            <w:tcW w:w="76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89"/>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(22,377)</w:t>
            </w:r>
          </w:p>
        </w:tc>
        <w:tc>
          <w:tcPr>
            <w:tcW w:w="80" w:type="dxa"/>
            <w:vAlign w:val="bottom"/>
          </w:tcPr>
          <w:p>
            <w:pPr>
              <w:spacing w:after="0"/>
              <w:rPr>
                <w:sz w:val="16"/>
                <w:szCs w:val="16"/>
                <w:color w:val="auto"/>
              </w:rPr>
            </w:pPr>
          </w:p>
        </w:tc>
        <w:tc>
          <w:tcPr>
            <w:tcW w:w="1200" w:type="dxa"/>
            <w:vAlign w:val="bottom"/>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(16,040)</w:t>
            </w: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09"/>
        </w:trPr>
        <w:tc>
          <w:tcPr>
            <w:tcW w:w="7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r>
      <w:tr>
        <w:trPr>
          <w:trHeight w:val="193"/>
        </w:trPr>
        <w:tc>
          <w:tcPr>
            <w:tcW w:w="7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2,768</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2,687</w:t>
            </w: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10"/>
        </w:trPr>
        <w:tc>
          <w:tcPr>
            <w:tcW w:w="7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2,341</w:t>
            </w: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w:t>
            </w:r>
          </w:p>
        </w:tc>
      </w:tr>
      <w:tr>
        <w:trPr>
          <w:trHeight w:val="193"/>
        </w:trPr>
        <w:tc>
          <w:tcPr>
            <w:tcW w:w="7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 non-cash amortization</w:t>
            </w:r>
          </w:p>
        </w:tc>
        <w:tc>
          <w:tcPr>
            <w:tcW w:w="1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10"/>
        </w:trPr>
        <w:tc>
          <w:tcPr>
            <w:tcW w:w="7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193"/>
        </w:trPr>
        <w:tc>
          <w:tcPr>
            <w:tcW w:w="7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Unrealized foreign currency (gain) loss</w:t>
            </w:r>
          </w:p>
        </w:tc>
        <w:tc>
          <w:tcPr>
            <w:tcW w:w="1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09"/>
        </w:trPr>
        <w:tc>
          <w:tcPr>
            <w:tcW w:w="7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Interest expense on finance leases</w:t>
            </w:r>
          </w:p>
        </w:tc>
        <w:tc>
          <w:tcPr>
            <w:tcW w:w="1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3"/>
        </w:trPr>
        <w:tc>
          <w:tcPr>
            <w:tcW w:w="7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Loss on equity investment</w:t>
            </w:r>
          </w:p>
        </w:tc>
        <w:tc>
          <w:tcPr>
            <w:tcW w:w="11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1,088</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09"/>
        </w:trPr>
        <w:tc>
          <w:tcPr>
            <w:tcW w:w="7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Deferred income taxes</w:t>
            </w:r>
          </w:p>
        </w:tc>
        <w:tc>
          <w:tcPr>
            <w:tcW w:w="1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r>
      <w:tr>
        <w:trPr>
          <w:trHeight w:val="193"/>
        </w:trPr>
        <w:tc>
          <w:tcPr>
            <w:tcW w:w="7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Gain on sale of fixed assets</w:t>
            </w:r>
          </w:p>
        </w:tc>
        <w:tc>
          <w:tcPr>
            <w:tcW w:w="1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10"/>
        </w:trPr>
        <w:tc>
          <w:tcPr>
            <w:tcW w:w="7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Change in the estimated fair value of acquisition-related contingent consideration</w:t>
            </w:r>
          </w:p>
        </w:tc>
        <w:tc>
          <w:tcPr>
            <w:tcW w:w="1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r>
      <w:tr>
        <w:trPr>
          <w:trHeight w:val="193"/>
        </w:trPr>
        <w:tc>
          <w:tcPr>
            <w:tcW w:w="7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10"/>
        </w:trPr>
        <w:tc>
          <w:tcPr>
            <w:tcW w:w="76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receivable</w:t>
            </w:r>
          </w:p>
        </w:tc>
        <w:tc>
          <w:tcPr>
            <w:tcW w:w="1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w:t>
            </w: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2,413</w:t>
            </w:r>
          </w:p>
        </w:tc>
      </w:tr>
      <w:tr>
        <w:trPr>
          <w:trHeight w:val="193"/>
        </w:trPr>
        <w:tc>
          <w:tcPr>
            <w:tcW w:w="76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Inventories</w:t>
            </w:r>
          </w:p>
        </w:tc>
        <w:tc>
          <w:tcPr>
            <w:tcW w:w="11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714</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w:t>
            </w: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10"/>
        </w:trPr>
        <w:tc>
          <w:tcPr>
            <w:tcW w:w="76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583</w:t>
            </w: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w:t>
            </w:r>
          </w:p>
        </w:tc>
      </w:tr>
      <w:tr>
        <w:trPr>
          <w:trHeight w:val="193"/>
        </w:trPr>
        <w:tc>
          <w:tcPr>
            <w:tcW w:w="76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11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4,104</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w:t>
            </w: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09"/>
        </w:trPr>
        <w:tc>
          <w:tcPr>
            <w:tcW w:w="76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Deferred revenue</w:t>
            </w:r>
          </w:p>
        </w:tc>
        <w:tc>
          <w:tcPr>
            <w:tcW w:w="1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r>
      <w:tr>
        <w:trPr>
          <w:trHeight w:val="193"/>
        </w:trPr>
        <w:tc>
          <w:tcPr>
            <w:tcW w:w="76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1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577</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(6,616)</w:t>
            </w:r>
          </w:p>
        </w:tc>
      </w:tr>
      <w:tr>
        <w:trPr>
          <w:trHeight w:val="37"/>
        </w:trPr>
        <w:tc>
          <w:tcPr>
            <w:tcW w:w="76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23"/>
        </w:trPr>
        <w:tc>
          <w:tcPr>
            <w:tcW w:w="76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(13,895)</w:t>
            </w:r>
          </w:p>
        </w:tc>
        <w:tc>
          <w:tcPr>
            <w:tcW w:w="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(19,733)</w:t>
            </w:r>
          </w:p>
        </w:tc>
      </w:tr>
      <w:tr>
        <w:trPr>
          <w:trHeight w:val="173"/>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1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10"/>
        </w:trPr>
        <w:tc>
          <w:tcPr>
            <w:tcW w:w="7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1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r>
      <w:tr>
        <w:trPr>
          <w:trHeight w:val="193"/>
        </w:trPr>
        <w:tc>
          <w:tcPr>
            <w:tcW w:w="7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r>
      <w:tr>
        <w:trPr>
          <w:trHeight w:val="37"/>
        </w:trPr>
        <w:tc>
          <w:tcPr>
            <w:tcW w:w="76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23"/>
        </w:trPr>
        <w:tc>
          <w:tcPr>
            <w:tcW w:w="76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1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r>
      <w:tr>
        <w:trPr>
          <w:trHeight w:val="173"/>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1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10"/>
        </w:trPr>
        <w:tc>
          <w:tcPr>
            <w:tcW w:w="7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Cash payments for lease liabilities</w:t>
            </w:r>
          </w:p>
        </w:tc>
        <w:tc>
          <w:tcPr>
            <w:tcW w:w="1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3"/>
        </w:trPr>
        <w:tc>
          <w:tcPr>
            <w:tcW w:w="7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30"/>
        </w:trPr>
        <w:tc>
          <w:tcPr>
            <w:tcW w:w="7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Payment of taxes related to net share settlement of equity awards</w:t>
            </w:r>
          </w:p>
        </w:tc>
        <w:tc>
          <w:tcPr>
            <w:tcW w:w="1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w:t>
            </w:r>
          </w:p>
        </w:tc>
      </w:tr>
      <w:tr>
        <w:trPr>
          <w:trHeight w:val="186"/>
        </w:trPr>
        <w:tc>
          <w:tcPr>
            <w:tcW w:w="764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(6,282)</w:t>
            </w:r>
          </w:p>
        </w:tc>
        <w:tc>
          <w:tcPr>
            <w:tcW w:w="8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(953)</w:t>
            </w:r>
          </w:p>
        </w:tc>
      </w:tr>
      <w:tr>
        <w:trPr>
          <w:trHeight w:val="37"/>
        </w:trPr>
        <w:tc>
          <w:tcPr>
            <w:tcW w:w="76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03"/>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w:t>
            </w:r>
          </w:p>
        </w:tc>
        <w:tc>
          <w:tcPr>
            <w:tcW w:w="1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1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(22,314)</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(20,194)</w:t>
            </w: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29"/>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199,278</w:t>
            </w:r>
          </w:p>
        </w:tc>
        <w:tc>
          <w:tcPr>
            <w:tcW w:w="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267,763</w:t>
            </w:r>
          </w:p>
        </w:tc>
      </w:tr>
      <w:tr>
        <w:trPr>
          <w:trHeight w:val="218"/>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1120" w:type="dxa"/>
            <w:vAlign w:val="bottom"/>
            <w:tcBorders>
              <w:top w:val="single" w:sz="8" w:color="auto"/>
              <w:bottom w:val="single" w:sz="8" w:color="auto"/>
            </w:tcBorders>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176,964</w:t>
            </w:r>
          </w:p>
        </w:tc>
        <w:tc>
          <w:tcPr>
            <w:tcW w:w="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247,569</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81"/>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1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(Refund received) cash paid for income taxes</w:t>
            </w:r>
          </w:p>
        </w:tc>
        <w:tc>
          <w:tcPr>
            <w:tcW w:w="112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6"/>
                <w:szCs w:val="16"/>
                <w:color w:val="auto"/>
              </w:rPr>
            </w:pPr>
          </w:p>
        </w:tc>
        <w:tc>
          <w:tcPr>
            <w:tcW w:w="1200" w:type="dxa"/>
            <w:vAlign w:val="bottom"/>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w:t>
            </w: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1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1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r>
      <w:tr>
        <w:trPr>
          <w:trHeight w:val="193"/>
        </w:trPr>
        <w:tc>
          <w:tcPr>
            <w:tcW w:w="76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Accrued property and equipment purchases</w:t>
            </w:r>
          </w:p>
        </w:tc>
        <w:tc>
          <w:tcPr>
            <w:tcW w:w="112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471</w:t>
            </w:r>
          </w:p>
        </w:tc>
        <w:tc>
          <w:tcPr>
            <w:tcW w:w="80" w:type="dxa"/>
            <w:vAlign w:val="bottom"/>
          </w:tcPr>
          <w:p>
            <w:pPr>
              <w:spacing w:after="0"/>
              <w:rPr>
                <w:sz w:val="16"/>
                <w:szCs w:val="16"/>
                <w:color w:val="auto"/>
              </w:rPr>
            </w:pPr>
          </w:p>
        </w:tc>
        <w:tc>
          <w:tcPr>
            <w:tcW w:w="1200" w:type="dxa"/>
            <w:vAlign w:val="bottom"/>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r>
    </w:tbl>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(all tabular amounts in thousands)</w:t>
      </w:r>
    </w:p>
    <w:p>
      <w:pPr>
        <w:spacing w:after="0" w:line="3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 and Basis of Presentation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interim unaudited consolidated financial statements include the accounts of OraSure Technologies, Inc. (“OraSure”) and its wholly-owned subsidiaries, DNA Genotek Inc. (“DNAG”), Diversigen, Inc. (“Diversigen”), Sherlock Biosciences, Inc. ("Sherlock"), and BioMedomics, Inc. ("BioMedomics"). Novosanis NV ("Novosanis") was a subsidiary of OraSure until it was legally dissolved in June 2025. All intercompany transactions and balances have been eliminated. References herein to “we,” “us,” “our,” or the “Company” mean OraSure and its consolidated subsidiaries, unless otherwise indicated. The unaudited financial statements, in the opinion of management, include all adjustments (consisting only of normal and recurring adjustments) necessary for a fair presentation of the Company's financial position and results of operations for these interim periods. These financial statements should be read in conjunction with the financial statements and notes thereto included in the Company's Annual Report on Form 10-K for the fiscal year ended December 31, 2025. Results of operations for the three months ended March 31, 2026 are not necessarily indicative of the results of operations expected for the full year.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Significant Accounting Policies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described in its Annual Report on Form 10-K for the fiscal year ended December 31, 2025 that have had a material impact on the consolidated financial statements and related notes except as discussed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 &amp; Short-Term Investments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all investments in debt securities to be available-for-sale securities. These securities consist of guaranteed investment certificates purchased with maturities greater than ninety days and are considered short-term investments. Securities with maturities ninety days or less are considered cash equivalents. Available-for-sale securities are carried at fair value, based upon quoted market prices, with unrealized gains and losses, if any, reported in stockholders’ equity as a component of accumulated other comprehensive loss.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an allowance for credit loss for the Company's available-for-sale securities when a decline in investment market value is due to credit-related factors. When evaluating an investment for impairment, the Company reviews factors such as the severity of the 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cash balances in the United States in excess of the federally insured limits. The Company periodically evaluates financial institutions and believes the risk of loss to be remote due to this evaluation.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carrying values of cash and cash equivalents, accounts receivable, accounts payable, and accrued expenses approximate their respective fair values based on their short-term nature.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measurements of all financial assets and liabilities that are being measured and reported on a fair value basis are required to be classified and disclosed in one of the following three categories: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117"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 and</w:t>
      </w:r>
    </w:p>
    <w:p>
      <w:pPr>
        <w:spacing w:after="0" w:line="5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unobservable in the market, determining fair value requires more judgment. Because of the inherent uncertainty of valuation, estimated values may be materially higher or lower than the values that would have been used had a ready market for the investments existed. Therefore, the degree of judgment exercised in determining fair value is greatest for assets or liabilities categorized in Level 3. The following table provides a summary of the recognized assets and liabilities that are measured at fair value on a recurring basis: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6"/>
                <w:szCs w:val="16"/>
                <w:color w:val="auto"/>
              </w:rPr>
            </w:pPr>
          </w:p>
        </w:tc>
        <w:tc>
          <w:tcPr>
            <w:tcW w:w="14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7"/>
        </w:trPr>
        <w:tc>
          <w:tcPr>
            <w:tcW w:w="594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5940" w:type="dxa"/>
            <w:vAlign w:val="bottom"/>
          </w:tcPr>
          <w:p>
            <w:pPr>
              <w:spacing w:after="0"/>
              <w:rPr>
                <w:sz w:val="16"/>
                <w:szCs w:val="16"/>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320" w:type="dxa"/>
            <w:vAlign w:val="bottom"/>
          </w:tcPr>
          <w:p>
            <w:pPr>
              <w:spacing w:after="0"/>
              <w:rPr>
                <w:sz w:val="16"/>
                <w:szCs w:val="16"/>
                <w:color w:val="auto"/>
              </w:rPr>
            </w:pPr>
          </w:p>
        </w:tc>
        <w:tc>
          <w:tcPr>
            <w:tcW w:w="13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94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3"/>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Guaranteed investment certificates</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13,114</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Trading securities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7"/>
        </w:trPr>
        <w:tc>
          <w:tcPr>
            <w:tcW w:w="5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18,777</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18,380</w:t>
            </w:r>
          </w:p>
        </w:tc>
      </w:tr>
      <w:tr>
        <w:trPr>
          <w:trHeight w:val="27"/>
        </w:trPr>
        <w:tc>
          <w:tcPr>
            <w:tcW w:w="5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portion</w:t>
            </w: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w:t>
            </w:r>
          </w:p>
        </w:tc>
      </w:tr>
      <w:tr>
        <w:trPr>
          <w:trHeight w:val="237"/>
        </w:trPr>
        <w:tc>
          <w:tcPr>
            <w:tcW w:w="5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27,713</w:t>
            </w:r>
          </w:p>
        </w:tc>
      </w:tr>
      <w:tr>
        <w:trPr>
          <w:trHeight w:val="27"/>
        </w:trPr>
        <w:tc>
          <w:tcPr>
            <w:tcW w:w="5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
        </w:trPr>
        <w:tc>
          <w:tcPr>
            <w:tcW w:w="5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cash and cash equivalents at March 31, 2026 and December 31, 2025 was $13.0 million and $13.1 million, respectively, invested in guaranteed investment certificates.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cash and cash equivalents at March 31, 2026 and December 31, 2025, was $69.0 million and $68.4 million, respectively, invested in government money market funds. These funds have investments in U.S. government securities and are measured as Level 1 instruments.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offers a nonqualified deferred compensation plan for certain eligible employees and members of the Company's Board of Directors. The assets of the plan are held in the name of the Company at a third-party financial institution. The Company paused the plan in January 2026 and is no longer allowing new participants to enter the plan. Separate accounts are maintained for each participant to reflect the amounts deferred by the participant and all earnings and losses on those deferred amounts. The assets of the plan are held in mutual funds and Company stock. The fair value of the plan assets as of March 31, 2026 and December 31, 2025 was $0.5 million, and was calculated using the quoted market prices of the assets as of those dates. All investments in the plan are classified as trading securities and measured as Level 1 instruments. The fair value of plan assets is included in both current assets and other noncurrent assets with the same amounts included in accrued expenses and other noncurrent liabilities in the accompanying consolidated balance sheets.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identified its contingent consideration obligations as Level 3 liabilities due to significant inputs that are required to measure the fair value of these obligations. The contingent consideration is comprised of three different tranches: milestone payments, royalty payments, and earnout payments. The significant quantitative unobservable inputs for the milestone payments are the discount rate and probability of achieving regulatory approval milestones.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methodology for royalty payments is based on a discounted cash flow model. Significant quantitative unobservable inputs are internally developed future expected cash flows, discount rate and probability achievement of a milestone of a regulatory approval. The royalty payments represent a mid-single digit percentage of the net sales through 2034 associated with the acquired in-process and research and development intangible asset.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methodology for earnout payments is based on a Monte Carlo model. Significant quantitative unobservable inputs are future expected cash flows, discount rate and volatility rate.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an increase of $4.7 million in the fair value of the Company's contingent consideration from date of acquisition to March 31, 2026 due to the milestone and royalty payments.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0" w:type="dxa"/>
            <w:vAlign w:val="bottom"/>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89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r>
      <w:tr>
        <w:trPr>
          <w:trHeight w:val="244"/>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27,713</w:t>
            </w: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4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64"/>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27,806</w:t>
            </w:r>
          </w:p>
        </w:tc>
      </w:tr>
      <w:tr>
        <w:trPr>
          <w:trHeight w:val="20"/>
        </w:trPr>
        <w:tc>
          <w:tcPr>
            <w:tcW w:w="8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Investee</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January 2024, the Company led the Series B financing and entered into wide-ranging strategic distribution agreements with KKR Sapphiros L.P. ("Sapphiros"), a privately held consumer diagnostic portfolio company, and certain of its related entities. Through this relationship, the Company expects to be able to offer a more comprehensive range of low-cost diagnostic tests and molecular sample management solutions to the Company's customers globally. As of March 31, 2026, the Company had funded $30.0 million for its interest in Sapphiros. The Company recorded the investment using the equity method in accordance with Accounting Standards Codification ("ASC") Topic 323, </w:t>
      </w:r>
      <w:r>
        <w:rPr>
          <w:rFonts w:ascii="Times New Roman" w:cs="Times New Roman" w:eastAsia="Times New Roman" w:hAnsi="Times New Roman"/>
          <w:sz w:val="18"/>
          <w:szCs w:val="18"/>
          <w:i w:val="1"/>
          <w:iCs w:val="1"/>
          <w:color w:val="auto"/>
        </w:rPr>
        <w:t>Investments—Equity Method and Joint Ventures—Overall.</w:t>
      </w:r>
      <w:r>
        <w:rPr>
          <w:rFonts w:ascii="Times New Roman" w:cs="Times New Roman" w:eastAsia="Times New Roman" w:hAnsi="Times New Roman"/>
          <w:sz w:val="18"/>
          <w:szCs w:val="18"/>
          <w:color w:val="auto"/>
        </w:rPr>
        <w:t xml:space="preserve"> In accordance with the equity method, the Company's equity investment is presented net of its share of any gains or losses of the investee. The Company has elected as its accounting policy to recognize its share of any income or loss in Sapphiros on a three-month lag. The value of the investment in Sapphiros of $24.9 million as of March 31, 2026 is included in the investment in equity method investee line of the Company's balance sheet. The Company has no unconditional obligations or guarantees to, or in support of, its equity method investee and its operations. In conjunction with the preparation of the Company's March 31, 2026 financial statements, the Company evaluated the investment in Sapphiros for impairment and concluded there was no such impairment. The Company's investment in Sapphiros was valued at $26.0 million as of December 31,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loaned Sapphiros $0.3 million during the year ended December 31, 2025. The loan plus interest is due in December 2026. During the year ended December 31, 2025, the Company entered into an agreement with Sapphiros to develop certain products for Sapphiros. A total of $0.1 million of revenue was recognized from this agreement for the three months ended March 31, 2026. No equivalent amount was recognized for the three months ended March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Assets and liabilities are established for uncertain tax positions taken or positions expected to be taken in income tax returns when such positions fail to meet the "more likely than not" threshold based on the technical merits of the positions. The Company assesses whether previously unrecognized tax benefits may be recognized when tax positions are (1) more likely than not of being sustained based on their technical merits, (2) effectively settled through examination, negotiation or litigation, or (3) settled through actual expiration of the relevant tax statutes. The assessment of an uncertain tax position requires significant judgment.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foreign exchange gains (losses) resulting from foreign currency transactions that are included in other income in the Company's consolidated statements of operations were $0.2 million and $(0.4) million for the three months ended March 31, 2026 and 2025,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accumulated other comprehensive loss by component is listed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400" w:type="dxa"/>
            <w:vAlign w:val="bottom"/>
          </w:tcPr>
          <w:p>
            <w:pPr>
              <w:spacing w:after="0"/>
              <w:rPr>
                <w:sz w:val="16"/>
                <w:szCs w:val="16"/>
                <w:color w:val="auto"/>
              </w:rPr>
            </w:pPr>
          </w:p>
        </w:tc>
        <w:tc>
          <w:tcPr>
            <w:tcW w:w="130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77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(18,404)</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r>
      <w:tr>
        <w:trPr>
          <w:trHeight w:val="27"/>
        </w:trPr>
        <w:tc>
          <w:tcPr>
            <w:tcW w:w="7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(20,037)</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 Update ("ASU") No.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Income—Expense Disaggregation Disclosures (Subtopic 220-40), Disaggregation of Income Statement Expenses</w:t>
      </w:r>
      <w:r>
        <w:rPr>
          <w:rFonts w:ascii="Times New Roman" w:cs="Times New Roman" w:eastAsia="Times New Roman" w:hAnsi="Times New Roman"/>
          <w:sz w:val="18"/>
          <w:szCs w:val="18"/>
          <w:color w:val="auto"/>
        </w:rPr>
        <w:t>. The purpose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update was to require disclosure, in the notes to financial statements, of specified information about certain costs and expenses on a disaggregated basis. The amendments in the ASU are effective for all public business entities for annual periods beginning after December 15, 2026, and interim periods beginning after December 15, 2027, with early adoption permitted. The amendments are to be applied either prospectively to financial statements issued for reporting periods after the effective date of the update or retrospectively to any or all prior periods presented in the financial statements. Management is evaluating the impact on the Company's consolidated financial statements.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The purpose of this update was to address challenges encountered when applying the guidance in Topic 326,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Instruments—Credit Losses, to current accounts receivable and current contract assets arising from transactions accounted for under Topic 606,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For all business entities, the amendments in this ASU are effective for fiscal years beginning after December 15, 2025,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interim periods within those fiscal periods. The amendments are applied prospectively, and early adoption is permitted. Management does not expect a material impact on the Company's consolidated financial statements.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The purpose of this update was to modernize the accounting for software costs. For all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the amendments in this ASU are effective for fiscal years beginning after December 15, 2027, and interim periods within those fiscal periods. The amendments can be applied prospectively, a modified transition or retrospectively. Early adoption is permitted as of the beginning of an annual reporting period. Management does not expect a material impact on the Company's consolidated financial statements.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2025-10, </w:t>
      </w:r>
      <w:r>
        <w:rPr>
          <w:rFonts w:ascii="Times New Roman" w:cs="Times New Roman" w:eastAsia="Times New Roman" w:hAnsi="Times New Roman"/>
          <w:sz w:val="18"/>
          <w:szCs w:val="18"/>
          <w:i w:val="1"/>
          <w:iCs w:val="1"/>
          <w:color w:val="auto"/>
        </w:rPr>
        <w:t>Government Grants (Topic 832), Accounting for Government Grants Received by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Entities</w:t>
      </w:r>
      <w:r>
        <w:rPr>
          <w:rFonts w:ascii="Times New Roman" w:cs="Times New Roman" w:eastAsia="Times New Roman" w:hAnsi="Times New Roman"/>
          <w:sz w:val="18"/>
          <w:szCs w:val="18"/>
          <w:color w:val="auto"/>
        </w:rPr>
        <w:t>. The purpose of this update was to improve US GAAP by establishing authoritative guidance on the accounting for government grants received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entities. For public business entities, the amendments in this ASU are effective for annual reporting periods beginning after December 15, 2028, and interim reporting periods within those annual reporting periods. Early adoption is permitted in both interim and annual reporting periods in which financial statements have not yet been issued or made available for issuance. The amendments can be applied under a modified prospective approach, a modified retrospective approach, or a retrospective approach. Management is evaluating the impact on the Company's consolidated financial statements.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The purpose of this update was to improve the navigability of the required interim disclosures and clarifying when that guidance is applicable. The update also provides additional guidance on what disclosures should be provided in interim periods and adds a principal that requires entities to disclose events since the end of the last annual reporting period that have a material impact on the entity. For public business entities, the amendments in this ASU are effective for interim reporting periods within annual reporting periods beginning after December 15, 2027. Early adoption is permitted. The amendments in this update can be applied either prospectively or retrospectively to any or all prior periods presented in the financial statements. Management is evaluating the impact on the Company's consolidated financial statements.</w:t>
      </w:r>
    </w:p>
    <w:p>
      <w:pPr>
        <w:spacing w:after="0" w:line="28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INVENTORIES: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7"/>
        </w:trPr>
        <w:tc>
          <w:tcPr>
            <w:tcW w:w="8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14,831</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Semi-finished goods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14,208</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PROPERTY, PLANT, AND EQUIPMENT,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46,202</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102,055</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(62,876)</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ACCRUED EXPENSES AND OTHER CURRENT 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8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 payable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BENEFITS: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Q2 2024 Reduction in Workforce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2024, the Company executed a reduction in workforce as the Company notified employees of its intention to consolidate its Novosanis site in Belgium into other locations by the end of December 31, 2024, discontinue the Diversigen molecular services line of business by the end of June 30, 2024, and consolidate facilities by bringing third-party manufacturing activities into its Pennsylvania facilities by the end of the third quarter of 2025.</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paid the full $1.7 million related to the reduction in workforce. No additional charges were incurred during the three months ended March 31, 2026. This reduction in workforce was completed by March 31, 2026.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Q3 2024 Reduction in Workforce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third quarter of 2024, the Company executed a reduction in workforce largely as the Company notified certain employees of its intention to discontinue its risk assessment business. Additional employees were notified in the fourth quarter of 2024.</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$0.1 million accrued and had paid $1.1 million related to the reduction in workforce. The Company expects this reduction in workforce to be completed by September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Q1 2026 Reduction in Workforce</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2026, the Company executed a reduction in workforce to better align the Company's cost structure. The charges for termination benefits included in the Company's consolidated statements of operations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37"/>
        </w:trPr>
        <w:tc>
          <w:tcPr>
            <w:tcW w:w="79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r>
      <w:tr>
        <w:trPr>
          <w:trHeight w:val="186"/>
        </w:trPr>
        <w:tc>
          <w:tcPr>
            <w:tcW w:w="7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tcPr>
          <w:p>
            <w:pPr>
              <w:jc w:val="right"/>
              <w:ind w:right="1435"/>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37"/>
        </w:trPr>
        <w:tc>
          <w:tcPr>
            <w:tcW w:w="79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r>
      <w:tr>
        <w:trPr>
          <w:trHeight w:val="243"/>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1"/>
                <w:szCs w:val="21"/>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7"/>
        </w:trPr>
        <w:tc>
          <w:tcPr>
            <w:tcW w:w="7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7"/>
        </w:trPr>
        <w:tc>
          <w:tcPr>
            <w:tcW w:w="7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288"/>
        </w:trPr>
        <w:tc>
          <w:tcPr>
            <w:tcW w:w="79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$1.0 million accrued and had paid $0.2 million related to the reduction in workforce. The Company expects this reduction in workforce to be completed by February 2027.</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 by Product 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represents total net revenues by product line: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20" w:type="dxa"/>
            <w:vAlign w:val="bottom"/>
            <w:gridSpan w:val="6"/>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37"/>
        </w:trPr>
        <w:tc>
          <w:tcPr>
            <w:tcW w:w="1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54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2200" w:type="dxa"/>
            <w:vAlign w:val="bottom"/>
            <w:tcBorders>
              <w:bottom w:val="single" w:sz="8" w:color="CCEEFF"/>
            </w:tcBorders>
            <w:gridSpan w:val="2"/>
          </w:tcPr>
          <w:p>
            <w:pPr>
              <w:spacing w:after="0"/>
              <w:rPr>
                <w:sz w:val="3"/>
                <w:szCs w:val="3"/>
                <w:color w:val="auto"/>
              </w:rPr>
            </w:pPr>
          </w:p>
        </w:tc>
        <w:tc>
          <w:tcPr>
            <w:tcW w:w="54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7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HIV</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13,019</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0" w:type="dxa"/>
            <w:vAlign w:val="bottom"/>
          </w:tcPr>
          <w:p>
            <w:pPr>
              <w:spacing w:after="0"/>
              <w:rPr>
                <w:sz w:val="1"/>
                <w:szCs w:val="1"/>
                <w:color w:val="auto"/>
              </w:rPr>
            </w:pPr>
          </w:p>
        </w:tc>
      </w:tr>
      <w:tr>
        <w:trPr>
          <w:trHeight w:val="270"/>
        </w:trPr>
        <w:tc>
          <w:tcPr>
            <w:tcW w:w="7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Sample Management Solutions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HCV</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0" w:type="dxa"/>
            <w:vAlign w:val="bottom"/>
          </w:tcPr>
          <w:p>
            <w:pPr>
              <w:spacing w:after="0"/>
              <w:rPr>
                <w:sz w:val="1"/>
                <w:szCs w:val="1"/>
                <w:color w:val="auto"/>
              </w:rPr>
            </w:pPr>
          </w:p>
        </w:tc>
      </w:tr>
      <w:tr>
        <w:trPr>
          <w:trHeight w:val="270"/>
        </w:trPr>
        <w:tc>
          <w:tcPr>
            <w:tcW w:w="7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Other product and services revenues </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70"/>
        </w:trPr>
        <w:tc>
          <w:tcPr>
            <w:tcW w:w="7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COVID-19 </w:t>
            </w:r>
            <w:r>
              <w:rPr>
                <w:rFonts w:ascii="Times New Roman" w:cs="Times New Roman" w:eastAsia="Times New Roman" w:hAnsi="Times New Roman"/>
                <w:sz w:val="23"/>
                <w:szCs w:val="23"/>
                <w:color w:val="auto"/>
                <w:vertAlign w:val="superscript"/>
              </w:rPr>
              <w:t>(3)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70"/>
        </w:trPr>
        <w:tc>
          <w:tcPr>
            <w:tcW w:w="7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Risk Assessment Testing </w:t>
            </w:r>
            <w:r>
              <w:rPr>
                <w:rFonts w:ascii="Times New Roman" w:cs="Times New Roman" w:eastAsia="Times New Roman" w:hAnsi="Times New Roman"/>
                <w:sz w:val="23"/>
                <w:szCs w:val="23"/>
                <w:color w:val="auto"/>
                <w:vertAlign w:val="superscript"/>
              </w:rPr>
              <w:t>(4)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0" w:type="dxa"/>
            <w:vAlign w:val="bottom"/>
          </w:tcPr>
          <w:p>
            <w:pPr>
              <w:spacing w:after="0"/>
              <w:rPr>
                <w:sz w:val="1"/>
                <w:szCs w:val="1"/>
                <w:color w:val="auto"/>
              </w:rPr>
            </w:pPr>
          </w:p>
        </w:tc>
      </w:tr>
      <w:tr>
        <w:trPr>
          <w:trHeight w:val="244"/>
        </w:trPr>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product and services revenues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26,376</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28,997</w:t>
            </w:r>
          </w:p>
        </w:tc>
        <w:tc>
          <w:tcPr>
            <w:tcW w:w="0" w:type="dxa"/>
            <w:vAlign w:val="bottom"/>
          </w:tcPr>
          <w:p>
            <w:pPr>
              <w:spacing w:after="0"/>
              <w:rPr>
                <w:sz w:val="1"/>
                <w:szCs w:val="1"/>
                <w:color w:val="auto"/>
              </w:rPr>
            </w:pPr>
          </w:p>
        </w:tc>
      </w:tr>
      <w:tr>
        <w:trPr>
          <w:trHeight w:val="270"/>
        </w:trPr>
        <w:tc>
          <w:tcPr>
            <w:tcW w:w="76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Non-product and services revenues </w:t>
            </w:r>
            <w:r>
              <w:rPr>
                <w:rFonts w:ascii="Times New Roman" w:cs="Times New Roman" w:eastAsia="Times New Roman" w:hAnsi="Times New Roman"/>
                <w:sz w:val="23"/>
                <w:szCs w:val="23"/>
                <w:color w:val="auto"/>
                <w:vertAlign w:val="superscript"/>
              </w:rPr>
              <w:t>(5)</w:t>
            </w: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4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88"/>
        </w:trPr>
        <w:tc>
          <w:tcPr>
            <w:tcW w:w="140" w:type="dxa"/>
            <w:vAlign w:val="bottom"/>
            <w:tcBorders>
              <w:bottom w:val="single" w:sz="8" w:color="CCEEFF"/>
            </w:tcBorders>
            <w:shd w:val="clear" w:color="auto" w:fill="CCEEFF"/>
          </w:tcPr>
          <w:p>
            <w:pPr>
              <w:spacing w:after="0"/>
              <w:rPr>
                <w:sz w:val="24"/>
                <w:szCs w:val="24"/>
                <w:color w:val="auto"/>
              </w:rPr>
            </w:pPr>
          </w:p>
        </w:tc>
        <w:tc>
          <w:tcPr>
            <w:tcW w:w="7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27,925</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29,931</w:t>
            </w:r>
          </w:p>
        </w:tc>
        <w:tc>
          <w:tcPr>
            <w:tcW w:w="0" w:type="dxa"/>
            <w:vAlign w:val="bottom"/>
          </w:tcPr>
          <w:p>
            <w:pPr>
              <w:spacing w:after="0"/>
              <w:rPr>
                <w:sz w:val="1"/>
                <w:szCs w:val="1"/>
                <w:color w:val="auto"/>
              </w:rPr>
            </w:pPr>
          </w:p>
        </w:tc>
      </w:tr>
      <w:tr>
        <w:trPr>
          <w:trHeight w:val="20"/>
        </w:trPr>
        <w:tc>
          <w:tcPr>
            <w:tcW w:w="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w w:val="93"/>
              </w:rPr>
              <w:t>(1)</w:t>
            </w:r>
          </w:p>
        </w:tc>
        <w:tc>
          <w:tcPr>
            <w:tcW w:w="75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Includes Genomics, Microbiome and Colli-Pee</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product revenues.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140" w:type="dxa"/>
            <w:vAlign w:val="bottom"/>
            <w:vMerge w:val="continue"/>
          </w:tcPr>
          <w:p>
            <w:pPr>
              <w:spacing w:after="0"/>
              <w:rPr>
                <w:sz w:val="24"/>
                <w:szCs w:val="24"/>
                <w:color w:val="auto"/>
              </w:rPr>
            </w:pPr>
          </w:p>
        </w:tc>
        <w:tc>
          <w:tcPr>
            <w:tcW w:w="75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w w:val="93"/>
              </w:rPr>
              <w:t>(2)</w:t>
            </w:r>
          </w:p>
        </w:tc>
        <w:tc>
          <w:tcPr>
            <w:tcW w:w="7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Includes Syphilis revenues and single order fulfillment.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w w:val="93"/>
              </w:rPr>
              <w:t>(3)</w:t>
            </w:r>
          </w:p>
        </w:tc>
        <w:tc>
          <w:tcPr>
            <w:tcW w:w="7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Includes COVID-19 Diagnostics and COVID-19 Sample Management Solutions revenues.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w w:val="93"/>
              </w:rPr>
              <w:t>(4)</w:t>
            </w:r>
          </w:p>
        </w:tc>
        <w:tc>
          <w:tcPr>
            <w:tcW w:w="7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Includes substance abuse testing product revenues.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w w:val="93"/>
              </w:rPr>
              <w:t>(5)</w:t>
            </w:r>
          </w:p>
        </w:tc>
        <w:tc>
          <w:tcPr>
            <w:tcW w:w="7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Includes funded research and development contracts, royalty income and grant revenues.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10120" w:type="dxa"/>
            <w:vAlign w:val="bottom"/>
            <w:gridSpan w:val="10"/>
          </w:tcPr>
          <w:p>
            <w:pPr>
              <w:spacing w:after="0"/>
              <w:rPr>
                <w:sz w:val="20"/>
                <w:szCs w:val="20"/>
                <w:color w:val="auto"/>
              </w:rPr>
            </w:pPr>
            <w:r>
              <w:rPr>
                <w:rFonts w:ascii="Times New Roman" w:cs="Times New Roman" w:eastAsia="Times New Roman" w:hAnsi="Times New Roman"/>
                <w:sz w:val="18"/>
                <w:szCs w:val="18"/>
                <w:i w:val="1"/>
                <w:iCs w:val="1"/>
                <w:color w:val="auto"/>
              </w:rPr>
              <w:t>Revenues by Geographic Area</w:t>
            </w:r>
            <w:r>
              <w:rPr>
                <w:rFonts w:ascii="Times New Roman" w:cs="Times New Roman" w:eastAsia="Times New Roman" w:hAnsi="Times New Roman"/>
                <w:sz w:val="18"/>
                <w:szCs w:val="18"/>
                <w:color w:val="auto"/>
              </w:rPr>
              <w:t>. The following table represents total net revenues by geographic area, based on the location of the customer:</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14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20" w:type="dxa"/>
            <w:vAlign w:val="bottom"/>
            <w:gridSpan w:val="6"/>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37"/>
        </w:trPr>
        <w:tc>
          <w:tcPr>
            <w:tcW w:w="1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5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640" w:type="dxa"/>
            <w:vAlign w:val="bottom"/>
            <w:tcBorders>
              <w:bottom w:val="single" w:sz="8" w:color="CCEEFF"/>
            </w:tcBorders>
            <w:gridSpan w:val="3"/>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18,672</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20,335</w:t>
            </w:r>
          </w:p>
        </w:tc>
        <w:tc>
          <w:tcPr>
            <w:tcW w:w="0" w:type="dxa"/>
            <w:vAlign w:val="bottom"/>
          </w:tcPr>
          <w:p>
            <w:pPr>
              <w:spacing w:after="0"/>
              <w:rPr>
                <w:sz w:val="1"/>
                <w:szCs w:val="1"/>
                <w:color w:val="auto"/>
              </w:rPr>
            </w:pPr>
          </w:p>
        </w:tc>
      </w:tr>
      <w:tr>
        <w:trPr>
          <w:trHeight w:val="243"/>
        </w:trPr>
        <w:tc>
          <w:tcPr>
            <w:tcW w:w="7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Africa</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0" w:type="dxa"/>
            <w:vAlign w:val="bottom"/>
          </w:tcPr>
          <w:p>
            <w:pPr>
              <w:spacing w:after="0"/>
              <w:rPr>
                <w:sz w:val="1"/>
                <w:szCs w:val="1"/>
                <w:color w:val="auto"/>
              </w:rPr>
            </w:pPr>
          </w:p>
        </w:tc>
      </w:tr>
      <w:tr>
        <w:trPr>
          <w:trHeight w:val="27"/>
        </w:trPr>
        <w:tc>
          <w:tcPr>
            <w:tcW w:w="76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243"/>
        </w:trPr>
        <w:tc>
          <w:tcPr>
            <w:tcW w:w="7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regions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7"/>
        </w:trPr>
        <w:tc>
          <w:tcPr>
            <w:tcW w:w="14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4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CCEEFF"/>
            </w:tcBorders>
            <w:shd w:val="clear" w:color="auto" w:fill="CCEEFF"/>
          </w:tcPr>
          <w:p>
            <w:pPr>
              <w:spacing w:after="0"/>
              <w:rPr>
                <w:sz w:val="24"/>
                <w:szCs w:val="24"/>
                <w:color w:val="auto"/>
              </w:rPr>
            </w:pPr>
          </w:p>
        </w:tc>
        <w:tc>
          <w:tcPr>
            <w:tcW w:w="54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27,925</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29,931</w:t>
            </w: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Customer Concentrations.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represents customer concentration risk:</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378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37"/>
        </w:trPr>
        <w:tc>
          <w:tcPr>
            <w:tcW w:w="7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Net Revenues</w:t>
            </w:r>
          </w:p>
        </w:tc>
        <w:tc>
          <w:tcPr>
            <w:tcW w:w="1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460" w:type="dxa"/>
            <w:vAlign w:val="bottom"/>
            <w:vMerge w:val="continue"/>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7"/>
        </w:trPr>
        <w:tc>
          <w:tcPr>
            <w:tcW w:w="74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customer</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Accounts Receivable</w:t>
            </w:r>
          </w:p>
        </w:tc>
        <w:tc>
          <w:tcPr>
            <w:tcW w:w="1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Pr>
          <w:p>
            <w:pPr>
              <w:spacing w:after="0"/>
              <w:rPr>
                <w:sz w:val="19"/>
                <w:szCs w:val="19"/>
                <w:color w:val="auto"/>
              </w:rPr>
            </w:pPr>
          </w:p>
        </w:tc>
        <w:tc>
          <w:tcPr>
            <w:tcW w:w="1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7"/>
        </w:trPr>
        <w:tc>
          <w:tcPr>
            <w:tcW w:w="74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Commercial customer </w:t>
            </w:r>
            <w:r>
              <w:rPr>
                <w:rFonts w:ascii="Times New Roman" w:cs="Times New Roman" w:eastAsia="Times New Roman" w:hAnsi="Times New Roman"/>
                <w:sz w:val="23"/>
                <w:szCs w:val="23"/>
                <w:color w:val="auto"/>
                <w:vertAlign w:val="superscript"/>
              </w:rPr>
              <w:t>(1)</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c>
          <w:tcPr>
            <w:tcW w:w="80" w:type="dxa"/>
            <w:vAlign w:val="bottom"/>
            <w:shd w:val="clear" w:color="auto" w:fill="CCEEFF"/>
          </w:tcPr>
          <w:p>
            <w:pPr>
              <w:spacing w:after="0"/>
              <w:rPr>
                <w:sz w:val="22"/>
                <w:szCs w:val="22"/>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325"/>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Commercial customer </w:t>
            </w:r>
            <w:r>
              <w:rPr>
                <w:rFonts w:ascii="Times New Roman" w:cs="Times New Roman" w:eastAsia="Times New Roman" w:hAnsi="Times New Roman"/>
                <w:sz w:val="23"/>
                <w:szCs w:val="23"/>
                <w:color w:val="auto"/>
                <w:vertAlign w:val="superscript"/>
              </w:rPr>
              <w:t>(1)</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N/A</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Each commercial customer is different.</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Vendor Concentrations.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currently purchases certain products and critical components of the Company's products from sole-supply vendors.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these vendors are unable or unwilling to supply the required components and products, the Company could be subject to increased costs and substantial delays in the delivery of the Company's products to its customers. Third-party suppliers also manufacture certain products. The Company's inability to have a timely supply of any of these components and products could have a material adverse effect on the Company's business, as well as the Company's financial condition and results of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Deferred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records deferred revenue when funds are received prior to the recognition of the associated revenue. Deferred revenue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March 31, 2026 and December 31, 2025 was comprised of customer prepayments of $0.9 million and $1.2 million, respectively. Deferred revenue as of December 31, 2025 was also comprised of $0.4 million of unearned grant income. The Company had no unearned grant income in deferred revenue as of March 31, 2026.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deferred revenue recognized: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Deferred Revenue Recognized</w:t>
            </w:r>
          </w:p>
        </w:tc>
        <w:tc>
          <w:tcPr>
            <w:tcW w:w="2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640" w:type="dxa"/>
            <w:vAlign w:val="bottom"/>
            <w:vMerge w:val="continue"/>
          </w:tcPr>
          <w:p>
            <w:pPr>
              <w:spacing w:after="0"/>
              <w:rPr>
                <w:sz w:val="19"/>
                <w:szCs w:val="19"/>
                <w:color w:val="auto"/>
              </w:rPr>
            </w:pPr>
          </w:p>
        </w:tc>
        <w:tc>
          <w:tcPr>
            <w:tcW w:w="11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at beginning of year</w:t>
            </w:r>
          </w:p>
        </w:tc>
        <w:tc>
          <w:tcPr>
            <w:tcW w:w="1180" w:type="dxa"/>
            <w:vAlign w:val="bottom"/>
            <w:gridSpan w:val="2"/>
            <w:shd w:val="clear" w:color="auto" w:fill="CCEEFF"/>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07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INCOME TAXES:</w:t>
            </w:r>
          </w:p>
        </w:tc>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76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the income tax benefit are as follows:</w:t>
            </w: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7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gridSpan w:val="5"/>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640" w:type="dxa"/>
            <w:vAlign w:val="bottom"/>
          </w:tcPr>
          <w:p>
            <w:pPr>
              <w:spacing w:after="0"/>
              <w:rPr>
                <w:sz w:val="16"/>
                <w:szCs w:val="16"/>
                <w:color w:val="auto"/>
              </w:rPr>
            </w:pPr>
          </w:p>
        </w:tc>
        <w:tc>
          <w:tcPr>
            <w:tcW w:w="11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64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expense</w:t>
            </w:r>
          </w:p>
        </w:tc>
        <w:tc>
          <w:tcPr>
            <w:tcW w:w="1180" w:type="dxa"/>
            <w:vAlign w:val="bottom"/>
            <w:tcBorders>
              <w:bottom w:val="single" w:sz="8" w:color="CCEEFF"/>
            </w:tcBorders>
            <w:gridSpan w:val="2"/>
            <w:shd w:val="clear" w:color="auto" w:fill="CCEEFF"/>
          </w:tcPr>
          <w:p>
            <w:pPr>
              <w:jc w:val="right"/>
              <w:ind w:right="100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7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expense</w:t>
            </w: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income tax benefit</w:t>
            </w:r>
          </w:p>
        </w:tc>
        <w:tc>
          <w:tcPr>
            <w:tcW w:w="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37"/>
        </w:trPr>
        <w:tc>
          <w:tcPr>
            <w:tcW w:w="7640" w:type="dxa"/>
            <w:vAlign w:val="bottom"/>
          </w:tcPr>
          <w:p>
            <w:pPr>
              <w:spacing w:after="0"/>
              <w:rPr>
                <w:sz w:val="20"/>
                <w:szCs w:val="20"/>
                <w:color w:val="auto"/>
              </w:rPr>
            </w:pPr>
          </w:p>
        </w:tc>
        <w:tc>
          <w:tcPr>
            <w:tcW w:w="1180" w:type="dxa"/>
            <w:vAlign w:val="bottom"/>
            <w:tcBorders>
              <w:top w:val="single" w:sz="8" w:color="auto"/>
            </w:tcBorders>
            <w:gridSpan w:val="2"/>
          </w:tcPr>
          <w:p>
            <w:pPr>
              <w:jc w:val="right"/>
              <w:ind w:right="100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7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recorded income tax benefit of $0.4 million and $0.5 million, respectively. The three months ended March 31, 2026 and 2025 net tax benefits are due to having a U.S. and foreign pretax loss in 2026 and 2025, respectively.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had an effective tax rate of 2.0% and 2.9%, respectively. The decrease in the Company's effective tax rate was primarily due to an increase in the valuation allowance associated with the Company's U.S. operations.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Income tax expense reflects taxes due to the taxing authorities and the tax effects of temporary differences between the basis of assets and liabilities recognized for financial reporting and tax purposes, and net operating loss and tax credit carryforwards.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valuation allowance is recorded to the extent it is more likely than not that some portion or all of the deferred tax assets will not be realized. A full valuation allowance was recorded on the Company’s U.S. and U.K. deferred tax assets as of March 31, 2026 and December 31, 2025.</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Uncertain tax positions were approximately $2.0 million as of March 31, 2026 and December 31, 2025. The Company’s uncertain tax position relates to U.S. federal and other jurisdictions. Due to various factors, including the inherent complexities and uncertainties of the judicial, administrative, and regulatory processes in certain jurisdictions, the timing of the resolution of income tax controversies is highly uncertain, and the amounts ultimately paid, if any, upon resolution of the issues raised by the taxing authorities may differ from the amounts accrued. Any assessments or settlements could result in changes to our contingencies related to positions on prior years’ tax filings.</w:t>
      </w:r>
    </w:p>
    <w:p>
      <w:pPr>
        <w:spacing w:after="0" w:line="28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LOSS PER SHARE: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by the weighted-average number of shares of common stock outstanding during the period. Diluted earnings (loss) per share is computed in a manner similar to basic earnings (loss) per share except that the weighted-average number of shares outstanding is increased to include incremental shares from the assumed vesting or exercise of dilutive securities, such as common stock options, unvested restricted stock or performance stock units, unless the impact is anti-dilutive. The number of incremental shares is calculated by assuming that outstanding stock options were exercised and unvested restricted shares and performance stock units were vested, and the proceeds from such exercises or vesting were used to acquire shares of common stock at the average market price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reporting period. Basic and dilutive computations of net loss per share are the same in periods in which a net loss exists as the dilutive effects of excluded items would be anti-dilutive.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outstanding common stock options, unvested restricted stock, and unvested performance stock units representing 746 shares and 689 shares, respectively, were excluded from the computation of diluted loss per share.</w:t>
      </w:r>
    </w:p>
    <w:p>
      <w:pPr>
        <w:spacing w:after="0" w:line="266"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2025, the Company's Board of Directors authorized a stock repurchase program (the "Repurchase Program") effective March 21, 2025, whereby the Company may purchase up to $40.0 million in shares of its common stock over a period of up to two years. The amount and timing of share repurchases under the Repurchase Program may be carried out at the discretion of the Company's management through various methods in compliance with applicable state and federal securities laws. The Company repurchased 1.8 million shares of its common stock under the Repurchase Program during the three months ended March 31, 2026. The Company did not repurchase any shares of the Company's common stock under the Repurchase Program during the three months ended March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changes in stockholders' equity for the three months ended March 31, 2026 and 2025 is as follows: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20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6"/>
                <w:szCs w:val="16"/>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00" w:type="dxa"/>
            <w:vAlign w:val="bottom"/>
          </w:tcPr>
          <w:p>
            <w:pPr>
              <w:spacing w:after="0"/>
              <w:rPr>
                <w:sz w:val="16"/>
                <w:szCs w:val="16"/>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6"/>
                <w:szCs w:val="16"/>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6"/>
                <w:szCs w:val="16"/>
                <w:color w:val="auto"/>
              </w:rPr>
            </w:pPr>
          </w:p>
        </w:tc>
        <w:tc>
          <w:tcPr>
            <w:tcW w:w="9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531,393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(172,162)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340,827</w:t>
            </w:r>
          </w:p>
        </w:tc>
        <w:tc>
          <w:tcPr>
            <w:tcW w:w="0" w:type="dxa"/>
            <w:vAlign w:val="bottom"/>
          </w:tcPr>
          <w:p>
            <w:pPr>
              <w:spacing w:after="0"/>
              <w:rPr>
                <w:sz w:val="1"/>
                <w:szCs w:val="1"/>
                <w:color w:val="auto"/>
              </w:rPr>
            </w:pPr>
          </w:p>
        </w:tc>
      </w:tr>
      <w:tr>
        <w:trPr>
          <w:trHeight w:val="228"/>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Vesting of restricted stock and performance stock units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4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and retirement of common shares in satisfaction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 minimum tax withholdings for vested restricted stock</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 performance stock units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(1,261)</w:t>
            </w:r>
          </w:p>
        </w:tc>
        <w:tc>
          <w:tcPr>
            <w:tcW w:w="0" w:type="dxa"/>
            <w:vAlign w:val="bottom"/>
          </w:tcPr>
          <w:p>
            <w:pPr>
              <w:spacing w:after="0"/>
              <w:rPr>
                <w:sz w:val="1"/>
                <w:szCs w:val="1"/>
                <w:color w:val="auto"/>
              </w:rPr>
            </w:pPr>
          </w:p>
        </w:tc>
      </w:tr>
      <w:tr>
        <w:trPr>
          <w:trHeight w:val="228"/>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2,768</w:t>
            </w:r>
          </w:p>
        </w:tc>
        <w:tc>
          <w:tcPr>
            <w:tcW w:w="0" w:type="dxa"/>
            <w:vAlign w:val="bottom"/>
          </w:tcPr>
          <w:p>
            <w:pPr>
              <w:spacing w:after="0"/>
              <w:rPr>
                <w:sz w:val="1"/>
                <w:szCs w:val="1"/>
                <w:color w:val="auto"/>
              </w:rPr>
            </w:pPr>
          </w:p>
        </w:tc>
      </w:tr>
      <w:tr>
        <w:trPr>
          <w:trHeight w:val="29"/>
        </w:trPr>
        <w:tc>
          <w:tcPr>
            <w:tcW w:w="4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repurchased and retired in connection with share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 program</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0" w:type="dxa"/>
            <w:vAlign w:val="bottom"/>
          </w:tcPr>
          <w:p>
            <w:pPr>
              <w:spacing w:after="0"/>
              <w:rPr>
                <w:sz w:val="1"/>
                <w:szCs w:val="1"/>
                <w:color w:val="auto"/>
              </w:rPr>
            </w:pPr>
          </w:p>
        </w:tc>
      </w:tr>
      <w:tr>
        <w:trPr>
          <w:trHeight w:val="228"/>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(22,377)</w:t>
            </w:r>
          </w:p>
        </w:tc>
        <w:tc>
          <w:tcPr>
            <w:tcW w:w="0" w:type="dxa"/>
            <w:vAlign w:val="bottom"/>
          </w:tcPr>
          <w:p>
            <w:pPr>
              <w:spacing w:after="0"/>
              <w:rPr>
                <w:sz w:val="1"/>
                <w:szCs w:val="1"/>
                <w:color w:val="auto"/>
              </w:rPr>
            </w:pPr>
          </w:p>
        </w:tc>
      </w:tr>
      <w:tr>
        <w:trPr>
          <w:trHeight w:val="29"/>
        </w:trPr>
        <w:tc>
          <w:tcPr>
            <w:tcW w:w="4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(1,633)</w:t>
            </w:r>
          </w:p>
        </w:tc>
        <w:tc>
          <w:tcPr>
            <w:tcW w:w="0" w:type="dxa"/>
            <w:vAlign w:val="bottom"/>
          </w:tcPr>
          <w:p>
            <w:pPr>
              <w:spacing w:after="0"/>
              <w:rPr>
                <w:sz w:val="1"/>
                <w:szCs w:val="1"/>
                <w:color w:val="auto"/>
              </w:rPr>
            </w:pPr>
          </w:p>
        </w:tc>
      </w:tr>
      <w:tr>
        <w:trPr>
          <w:trHeight w:val="249"/>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31, 2026</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69,397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527,900</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(20,037)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(194,539)</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313,324</w:t>
            </w: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20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6"/>
                <w:szCs w:val="16"/>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00" w:type="dxa"/>
            <w:vAlign w:val="bottom"/>
          </w:tcPr>
          <w:p>
            <w:pPr>
              <w:spacing w:after="0"/>
              <w:rPr>
                <w:sz w:val="16"/>
                <w:szCs w:val="16"/>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6"/>
                <w:szCs w:val="16"/>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6"/>
                <w:szCs w:val="16"/>
                <w:color w:val="auto"/>
              </w:rPr>
            </w:pPr>
          </w:p>
        </w:tc>
        <w:tc>
          <w:tcPr>
            <w:tcW w:w="9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74,598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538,129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(103,431)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410,338</w:t>
            </w:r>
          </w:p>
        </w:tc>
        <w:tc>
          <w:tcPr>
            <w:tcW w:w="0" w:type="dxa"/>
            <w:vAlign w:val="bottom"/>
          </w:tcPr>
          <w:p>
            <w:pPr>
              <w:spacing w:after="0"/>
              <w:rPr>
                <w:sz w:val="1"/>
                <w:szCs w:val="1"/>
                <w:color w:val="auto"/>
              </w:rPr>
            </w:pPr>
          </w:p>
        </w:tc>
      </w:tr>
      <w:tr>
        <w:trPr>
          <w:trHeight w:val="228"/>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Vesting of restricted stock and performance stock units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4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and retirement of common shares in satisfaction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 minimum tax withholdings for vested restricted stock</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 performance stock units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0" w:type="dxa"/>
            <w:vAlign w:val="bottom"/>
          </w:tcPr>
          <w:p>
            <w:pPr>
              <w:spacing w:after="0"/>
              <w:rPr>
                <w:sz w:val="1"/>
                <w:szCs w:val="1"/>
                <w:color w:val="auto"/>
              </w:rPr>
            </w:pPr>
          </w:p>
        </w:tc>
      </w:tr>
      <w:tr>
        <w:trPr>
          <w:trHeight w:val="228"/>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2,687</w:t>
            </w:r>
          </w:p>
        </w:tc>
        <w:tc>
          <w:tcPr>
            <w:tcW w:w="0" w:type="dxa"/>
            <w:vAlign w:val="bottom"/>
          </w:tcPr>
          <w:p>
            <w:pPr>
              <w:spacing w:after="0"/>
              <w:rPr>
                <w:sz w:val="1"/>
                <w:szCs w:val="1"/>
                <w:color w:val="auto"/>
              </w:rPr>
            </w:pPr>
          </w:p>
        </w:tc>
      </w:tr>
      <w:tr>
        <w:trPr>
          <w:trHeight w:val="29"/>
        </w:trPr>
        <w:tc>
          <w:tcPr>
            <w:tcW w:w="4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(16,040)</w:t>
            </w:r>
          </w:p>
        </w:tc>
        <w:tc>
          <w:tcPr>
            <w:tcW w:w="0" w:type="dxa"/>
            <w:vAlign w:val="bottom"/>
          </w:tcPr>
          <w:p>
            <w:pPr>
              <w:spacing w:after="0"/>
              <w:rPr>
                <w:sz w:val="1"/>
                <w:szCs w:val="1"/>
                <w:color w:val="auto"/>
              </w:rPr>
            </w:pPr>
          </w:p>
        </w:tc>
      </w:tr>
      <w:tr>
        <w:trPr>
          <w:trHeight w:val="228"/>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0" w:type="dxa"/>
            <w:vAlign w:val="bottom"/>
          </w:tcPr>
          <w:p>
            <w:pPr>
              <w:spacing w:after="0"/>
              <w:rPr>
                <w:sz w:val="1"/>
                <w:szCs w:val="1"/>
                <w:color w:val="auto"/>
              </w:rPr>
            </w:pPr>
          </w:p>
        </w:tc>
      </w:tr>
      <w:tr>
        <w:trPr>
          <w:trHeight w:val="29"/>
        </w:trPr>
        <w:tc>
          <w:tcPr>
            <w:tcW w:w="4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31, 2025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75,114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539,875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(119,471)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396,282</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BUSINESS 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organized on the basis of products and services into a single reportable segment. All products and services reside under the same reporting hierarchy. The Company's reportable segment derives its revenues from the sale of diagnostics products and sample management solutions, as described in Note 1 Summary of Significant Accounting Policies. As the Company has only one reportable segment, there are no inter-segment sales or transfers.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The CODM uses consolidated net income (loss) as reported in the consolidated statement of operations as the primary measure of the reportable segment's profit or loss. The CODM uses consolidated net income (loss) to assess the performance of the segment and make decisions about resource allocation. Consolidated gross profit and consolidated operating income (loss), as reported in the consolidated statement of operations, are also used by the CODM as measures of segment profit or loss. The CODM uses gross profit to assess the impact of the Company's efforts to achieve manufacturing efficiencies and consolidate its production activities. The CODM uses operating income (loss) to assess the impact of the Company's recent restructurings, reduction in workforce, and efforts to streamline its operations to achieve cost savings. The CODM uses consolidated total assets as the measure of segment assets, as reported on the consolidated balance sheet.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policies of the Company's reportable segment are the same as those described in Note 1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total long-lived assets by geographic area: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6"/>
                <w:szCs w:val="16"/>
                <w:color w:val="auto"/>
              </w:rPr>
            </w:pPr>
          </w:p>
        </w:tc>
        <w:tc>
          <w:tcPr>
            <w:tcW w:w="14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7"/>
        </w:trPr>
        <w:tc>
          <w:tcPr>
            <w:tcW w:w="77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7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7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36,254</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10,061</w:t>
            </w:r>
          </w:p>
        </w:tc>
      </w:tr>
      <w:tr>
        <w:trPr>
          <w:trHeight w:val="27"/>
        </w:trPr>
        <w:tc>
          <w:tcPr>
            <w:tcW w:w="7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regions</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7"/>
        </w:trPr>
        <w:tc>
          <w:tcPr>
            <w:tcW w:w="7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8"/>
        </w:trPr>
        <w:tc>
          <w:tcPr>
            <w:tcW w:w="77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51,321</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reported segment revenues, segment profit (loss), and significant segment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3600" w:type="dxa"/>
            <w:vAlign w:val="bottom"/>
            <w:gridSpan w:val="5"/>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37"/>
        </w:trPr>
        <w:tc>
          <w:tcPr>
            <w:tcW w:w="764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6"/>
        </w:trPr>
        <w:tc>
          <w:tcPr>
            <w:tcW w:w="76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64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3"/>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27,925</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29,931</w:t>
            </w:r>
          </w:p>
        </w:tc>
      </w:tr>
      <w:tr>
        <w:trPr>
          <w:trHeight w:val="27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Cost of products and services sold </w:t>
            </w:r>
            <w:r>
              <w:rPr>
                <w:rFonts w:ascii="Times New Roman" w:cs="Times New Roman" w:eastAsia="Times New Roman" w:hAnsi="Times New Roman"/>
                <w:sz w:val="23"/>
                <w:szCs w:val="23"/>
                <w:color w:val="auto"/>
                <w:vertAlign w:val="superscript"/>
              </w:rPr>
              <w:t>(2)</w:t>
            </w:r>
          </w:p>
        </w:tc>
        <w:tc>
          <w:tcPr>
            <w:tcW w:w="10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16,121</w:t>
            </w:r>
          </w:p>
        </w:tc>
        <w:tc>
          <w:tcPr>
            <w:tcW w:w="8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17,632</w:t>
            </w:r>
          </w:p>
        </w:tc>
      </w:tr>
      <w:tr>
        <w:trPr>
          <w:trHeight w:val="243"/>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12,299</w:t>
            </w:r>
          </w:p>
        </w:tc>
      </w:tr>
      <w:tr>
        <w:trPr>
          <w:trHeight w:val="270"/>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(2)</w:t>
            </w:r>
          </w:p>
        </w:tc>
        <w:tc>
          <w:tcPr>
            <w:tcW w:w="10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13,654</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9,603</w:t>
            </w:r>
          </w:p>
        </w:tc>
      </w:tr>
      <w:tr>
        <w:trPr>
          <w:trHeight w:val="270"/>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(2)</w:t>
            </w:r>
          </w:p>
        </w:tc>
        <w:tc>
          <w:tcPr>
            <w:tcW w:w="10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w:t>
            </w:r>
          </w:p>
        </w:tc>
      </w:tr>
      <w:tr>
        <w:trPr>
          <w:trHeight w:val="270"/>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(2)</w:t>
            </w:r>
          </w:p>
        </w:tc>
        <w:tc>
          <w:tcPr>
            <w:tcW w:w="10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14,556</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14,102</w:t>
            </w: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the estimated fair value of acquisition-related contingent consideration</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4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assets</w:t>
            </w:r>
          </w:p>
        </w:tc>
        <w:tc>
          <w:tcPr>
            <w:tcW w:w="106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7"/>
        </w:trPr>
        <w:tc>
          <w:tcPr>
            <w:tcW w:w="76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(23,269)</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(17,750)</w:t>
            </w:r>
          </w:p>
        </w:tc>
      </w:tr>
      <w:tr>
        <w:trPr>
          <w:trHeight w:val="243"/>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10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7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revenue</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r>
      <w:tr>
        <w:trPr>
          <w:trHeight w:val="270"/>
        </w:trPr>
        <w:tc>
          <w:tcPr>
            <w:tcW w:w="7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10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43"/>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 and equity investment</w:t>
            </w:r>
          </w:p>
        </w:tc>
        <w:tc>
          <w:tcPr>
            <w:tcW w:w="10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(21,721)</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(15,972)</w:t>
            </w:r>
          </w:p>
        </w:tc>
      </w:tr>
      <w:tr>
        <w:trPr>
          <w:trHeight w:val="243"/>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w:t>
            </w:r>
          </w:p>
        </w:tc>
        <w:tc>
          <w:tcPr>
            <w:tcW w:w="10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7"/>
        </w:trPr>
        <w:tc>
          <w:tcPr>
            <w:tcW w:w="7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equity investment</w:t>
            </w:r>
          </w:p>
        </w:tc>
        <w:tc>
          <w:tcPr>
            <w:tcW w:w="10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6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(22,377)</w:t>
            </w:r>
          </w:p>
        </w:tc>
        <w:tc>
          <w:tcPr>
            <w:tcW w:w="8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(16,040)</w:t>
            </w:r>
          </w:p>
        </w:tc>
      </w:tr>
      <w:tr>
        <w:trPr>
          <w:trHeight w:val="20"/>
        </w:trPr>
        <w:tc>
          <w:tcPr>
            <w:tcW w:w="7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interest expense and foreign currency gains (losses).</w:t>
      </w:r>
    </w:p>
    <w:p>
      <w:pPr>
        <w:ind w:left="160" w:hanging="152"/>
        <w:spacing w:after="0" w:line="211" w:lineRule="auto"/>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following tables represent additional significant segment expense categories: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30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520" w:type="dxa"/>
            <w:vAlign w:val="bottom"/>
          </w:tcPr>
          <w:p>
            <w:pPr>
              <w:spacing w:after="0"/>
              <w:rPr>
                <w:sz w:val="16"/>
                <w:szCs w:val="16"/>
                <w:color w:val="auto"/>
              </w:rPr>
            </w:pPr>
          </w:p>
        </w:tc>
      </w:tr>
      <w:tr>
        <w:trPr>
          <w:trHeight w:val="37"/>
        </w:trPr>
        <w:tc>
          <w:tcPr>
            <w:tcW w:w="764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86"/>
        </w:trPr>
        <w:tc>
          <w:tcPr>
            <w:tcW w:w="764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r>
      <w:tr>
        <w:trPr>
          <w:trHeight w:val="37"/>
        </w:trPr>
        <w:tc>
          <w:tcPr>
            <w:tcW w:w="764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23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Stock-based Compensation</w:t>
            </w:r>
          </w:p>
        </w:tc>
        <w:tc>
          <w:tcPr>
            <w:tcW w:w="1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21"/>
                <w:szCs w:val="21"/>
                <w:color w:val="auto"/>
              </w:rPr>
            </w:pPr>
          </w:p>
        </w:tc>
        <w:tc>
          <w:tcPr>
            <w:tcW w:w="124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7"/>
        </w:trPr>
        <w:tc>
          <w:tcPr>
            <w:tcW w:w="7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7"/>
        </w:trPr>
        <w:tc>
          <w:tcPr>
            <w:tcW w:w="7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r>
      <w:tr>
        <w:trPr>
          <w:trHeight w:val="237"/>
        </w:trPr>
        <w:tc>
          <w:tcPr>
            <w:tcW w:w="7640" w:type="dxa"/>
            <w:vAlign w:val="bottom"/>
          </w:tcPr>
          <w:p>
            <w:pPr>
              <w:spacing w:after="0"/>
              <w:rPr>
                <w:sz w:val="20"/>
                <w:szCs w:val="20"/>
                <w:color w:val="auto"/>
              </w:rPr>
            </w:pPr>
          </w:p>
        </w:tc>
        <w:tc>
          <w:tcPr>
            <w:tcW w:w="1140" w:type="dxa"/>
            <w:vAlign w:val="bottom"/>
            <w:tcBorders>
              <w:top w:val="single" w:sz="8" w:color="auto"/>
            </w:tcBorders>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80" w:type="dxa"/>
            <w:vAlign w:val="bottom"/>
          </w:tcPr>
          <w:p>
            <w:pPr>
              <w:spacing w:after="0"/>
              <w:rPr>
                <w:sz w:val="20"/>
                <w:szCs w:val="20"/>
                <w:color w:val="auto"/>
              </w:rPr>
            </w:pPr>
          </w:p>
        </w:tc>
        <w:tc>
          <w:tcPr>
            <w:tcW w:w="1240" w:type="dxa"/>
            <w:vAlign w:val="bottom"/>
            <w:tcBorders>
              <w:top w:val="single" w:sz="8" w:color="auto"/>
            </w:tcBorders>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w:t>
            </w:r>
          </w:p>
        </w:tc>
      </w:tr>
      <w:tr>
        <w:trPr>
          <w:trHeight w:val="27"/>
        </w:trPr>
        <w:tc>
          <w:tcPr>
            <w:tcW w:w="764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524"/>
        </w:trPr>
        <w:tc>
          <w:tcPr>
            <w:tcW w:w="7640" w:type="dxa"/>
            <w:vAlign w:val="bottom"/>
          </w:tcPr>
          <w:p>
            <w:pPr>
              <w:spacing w:after="0"/>
              <w:rPr>
                <w:sz w:val="24"/>
                <w:szCs w:val="24"/>
                <w:color w:val="auto"/>
              </w:rPr>
            </w:pPr>
          </w:p>
        </w:tc>
        <w:tc>
          <w:tcPr>
            <w:tcW w:w="30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520" w:type="dxa"/>
            <w:vAlign w:val="bottom"/>
          </w:tcPr>
          <w:p>
            <w:pPr>
              <w:spacing w:after="0"/>
              <w:rPr>
                <w:sz w:val="24"/>
                <w:szCs w:val="24"/>
                <w:color w:val="auto"/>
              </w:rPr>
            </w:pPr>
          </w:p>
        </w:tc>
      </w:tr>
      <w:tr>
        <w:trPr>
          <w:trHeight w:val="37"/>
        </w:trPr>
        <w:tc>
          <w:tcPr>
            <w:tcW w:w="764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86"/>
        </w:trPr>
        <w:tc>
          <w:tcPr>
            <w:tcW w:w="764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r>
      <w:tr>
        <w:trPr>
          <w:trHeight w:val="37"/>
        </w:trPr>
        <w:tc>
          <w:tcPr>
            <w:tcW w:w="764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23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Depreciation &amp; Amortization</w:t>
            </w:r>
          </w:p>
        </w:tc>
        <w:tc>
          <w:tcPr>
            <w:tcW w:w="1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21"/>
                <w:szCs w:val="21"/>
                <w:color w:val="auto"/>
              </w:rPr>
            </w:pPr>
          </w:p>
        </w:tc>
        <w:tc>
          <w:tcPr>
            <w:tcW w:w="124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7"/>
        </w:trPr>
        <w:tc>
          <w:tcPr>
            <w:tcW w:w="7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7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36"/>
        </w:trPr>
        <w:tc>
          <w:tcPr>
            <w:tcW w:w="7640" w:type="dxa"/>
            <w:vAlign w:val="bottom"/>
          </w:tcPr>
          <w:p>
            <w:pPr>
              <w:spacing w:after="0"/>
              <w:rPr>
                <w:sz w:val="20"/>
                <w:szCs w:val="20"/>
                <w:color w:val="auto"/>
              </w:rPr>
            </w:pPr>
          </w:p>
        </w:tc>
        <w:tc>
          <w:tcPr>
            <w:tcW w:w="1140" w:type="dxa"/>
            <w:vAlign w:val="bottom"/>
            <w:tcBorders>
              <w:top w:val="single" w:sz="8" w:color="auto"/>
            </w:tcBorders>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80" w:type="dxa"/>
            <w:vAlign w:val="bottom"/>
          </w:tcPr>
          <w:p>
            <w:pPr>
              <w:spacing w:after="0"/>
              <w:rPr>
                <w:sz w:val="20"/>
                <w:szCs w:val="20"/>
                <w:color w:val="auto"/>
              </w:rPr>
            </w:pPr>
          </w:p>
        </w:tc>
        <w:tc>
          <w:tcPr>
            <w:tcW w:w="1240" w:type="dxa"/>
            <w:vAlign w:val="bottom"/>
            <w:tcBorders>
              <w:top w:val="single" w:sz="8" w:color="auto"/>
            </w:tcBorders>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w:t>
            </w:r>
          </w:p>
        </w:tc>
      </w:tr>
      <w:tr>
        <w:trPr>
          <w:trHeight w:val="27"/>
        </w:trPr>
        <w:tc>
          <w:tcPr>
            <w:tcW w:w="76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1"/>
        </w:trPr>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40" w:hanging="432"/>
        <w:spacing w:after="0"/>
        <w:tabs>
          <w:tab w:leader="none" w:pos="4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BioMedomics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12, 2025, the Company acquired all of the outstanding stock of BioMedomics, pursuant to the terms of an acquisition agreement (the "Acquisition Agreement"). The Company began operating this entity as of the November 12, 2025 closing date.</w:t>
      </w:r>
    </w:p>
    <w:p>
      <w:pPr>
        <w:spacing w:after="0" w:line="15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primary reason for the acquisition of BioMedomics was to expand the Company's diagnostic portfolio by adding SickleSCAN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rapid, point-of-need test for sickle cell disease that is sold outside of the United States.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The initial aggregate purchase price of this transaction was funded with cash on hand as shown in the table below:</w:t>
            </w: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3"/>
        </w:trPr>
        <w:tc>
          <w:tcPr>
            <w:tcW w:w="9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to BioMedomics</w:t>
            </w: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7"/>
        </w:trPr>
        <w:tc>
          <w:tcPr>
            <w:tcW w:w="9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paid off</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contingent consideration</w:t>
            </w: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7"/>
        </w:trPr>
        <w:tc>
          <w:tcPr>
            <w:tcW w:w="9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fund</w:t>
            </w: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64"/>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aggregate purchase price</w:t>
            </w: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w:t>
            </w:r>
          </w:p>
        </w:tc>
      </w:tr>
      <w:tr>
        <w:trPr>
          <w:trHeight w:val="20"/>
        </w:trPr>
        <w:tc>
          <w:tcPr>
            <w:tcW w:w="9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Acquisition Agreement, the Company agreed to pay up to $5.0 million of contingent consideration based on the achievement of sales thresholds before December 31, 2031. The acquisition-date fair value of the earnout contingent consideration was $0.2 million. The range of outcome for the earnout contingent consideration is zero to $5.0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incurred a total of $0.5 million of acquisition related costs, including accounting, legal, and other professional fees, all of which were expensed and reported as a component of general and administrative expenses in the consolidated statement of operations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values of the assets acquired and liabilities assumed as of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and non current assets</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9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43"/>
        </w:trPr>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7"/>
        </w:trPr>
        <w:tc>
          <w:tcPr>
            <w:tcW w:w="9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Developed technology intangible asset</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r>
      <w:tr>
        <w:trPr>
          <w:trHeight w:val="243"/>
        </w:trPr>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r>
      <w:tr>
        <w:trPr>
          <w:trHeight w:val="27"/>
        </w:trPr>
        <w:tc>
          <w:tcPr>
            <w:tcW w:w="95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9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 acquired</w:t>
            </w:r>
          </w:p>
        </w:tc>
        <w:tc>
          <w:tcPr>
            <w:tcW w:w="6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w:t>
            </w:r>
          </w:p>
        </w:tc>
      </w:tr>
      <w:tr>
        <w:trPr>
          <w:trHeight w:val="22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6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7"/>
        </w:trPr>
        <w:tc>
          <w:tcPr>
            <w:tcW w:w="9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9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7"/>
        </w:trPr>
        <w:tc>
          <w:tcPr>
            <w:tcW w:w="95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9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6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36"/>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6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w:t>
            </w:r>
          </w:p>
        </w:tc>
      </w:tr>
      <w:tr>
        <w:trPr>
          <w:trHeight w:val="27"/>
        </w:trPr>
        <w:tc>
          <w:tcPr>
            <w:tcW w:w="9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 of contingent consideration</w:t>
            </w: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64"/>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Paid (net of cash acquired of $25)</w:t>
            </w: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w:t>
            </w:r>
          </w:p>
        </w:tc>
      </w:tr>
      <w:tr>
        <w:trPr>
          <w:trHeight w:val="20"/>
        </w:trPr>
        <w:tc>
          <w:tcPr>
            <w:tcW w:w="9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purchase price was allocated to the tangible assets and identifiable intangible asset acquired and liabilities assumed based on their acquisition-date estimate fair values. The identifiable intangible asset was developed technology. The developed technology was all assigned a ten year useful life.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with the assistance of an independent valuation specialist, assessed the fair value of the intangible asset and contingent consideration of BioMedomics. The fair values recorded as of November 12, 2025 are based on significant inputs that are not observable in the market and thus represent a fair value measurement categorized within Level 3 of the fair value hierarchy.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acquired developed technology was determined using the multi-period excess earnings method, which required judgment in estimating appropriate cash flows, discount rate, survival factor, and remaining useful life.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earnout contingent consideration was determined using the Monte Carlo simulation model, which required judgment in estimating expected revenue, volatility, expected discount rate and risk-free interest rate.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is calculated as the difference between the acquisition date fair value of the consideration transferred and the fair value of the net assets acquired, and represents the future economic benefits that we expect to achieve as a result of the acquisition. The Company believes the goodwill related to the acquisition was a result of BioMedomics providing a product that will enable the Company to leverage the product with existing and new customers. The goodwill is not deductible for income tax purposes.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continues to evaluate the fair value of assets acquired and liabilities assumed. Additional information, which existed as of the acquisition date, but was at that time unknown to the Company, may become known during the remainder of the measurement period. Changes to amounts recorded as a result of the final determination may result in a corresponding adjustment to these assets and liabilities, including goodwill. The determination of the estimated fair values of all assets acquired is expected to be completed within one year from the date of acquisition.</w:t>
      </w:r>
    </w:p>
    <w:p>
      <w:pPr>
        <w:spacing w:after="0" w:line="6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Revenues from BioMedomics consist of sales from the SickleSCAN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Effective as of November 12, 2025, the financial results of BioMedomics are included in the consolidated financial results of the Company. BioMedomics contributed $0.1 million and $1.1 thousand of revenue and net income, respectively, to the consolidated statement of operations for the year ended December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Unaudited Pro Forma Financial Information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pro forma results presented below include the results of the BioMedomics acquisition as if it had been consummated as of January 1, 2025. The unaudited pro forma results include amortization of the acquired intangible asset, stock compensation, and lease expense adjustments to income before income taxes but do not include changes in the fair value of the Company's contingent consideration obligations. Material nonrecurring charges, directly attributable to the transactions, including direct acquisition costs, are also excluded. In addition, the unaudited pro forma results do not include any expected benefits of the acquisitions. Accordingly, the unaudited pro forma results are not necessarily indicative of either future results of operations or results that might have been achieved had the acquisition been consummated as of January 1,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37"/>
        </w:trPr>
        <w:tc>
          <w:tcPr>
            <w:tcW w:w="7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r>
      <w:tr>
        <w:trPr>
          <w:trHeight w:val="186"/>
        </w:trPr>
        <w:tc>
          <w:tcPr>
            <w:tcW w:w="7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0" w:type="dxa"/>
            <w:vAlign w:val="bottom"/>
          </w:tcPr>
          <w:p>
            <w:pPr>
              <w:jc w:val="right"/>
              <w:ind w:right="15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r>
      <w:tr>
        <w:trPr>
          <w:trHeight w:val="24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30,205</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(16,071)</w:t>
            </w: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Sherlock has active third-party license agreements entered into in order to advance and obtain technologies and services related to the business. Under these licenses, the Company is required to make up to $3.8 million of cash payments upon the achievement of certain scientific and commercial milestones as well as low single digit royalty payments on product sales. The Company has the right to terminate the licenses.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certain legal actions arising in the ordinary course of business. In management’s opinion, based upon the advice of counsel, the outcomes of such actions are not expected, individually or in the aggregate, to have a material adverse effect on the Company's future financial position or results of operations.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14, 2024 the Company filed a complaint against NowDiagnostics, Inc. ("NowDx"), Jody Berry ("Berry") and Janean Young ("Young") in the United States District Court for the Eastern District of Pennsylvania alleging misappropriation and misuse of the Company's proprietary information and trade secrets by NowDx, Berry and Young in violation of the Federal Defend Trade Secrets Act and the Pennsylvania Uniform Trade Secrets Act. The complaint also alleges breach of contract and duty of loyalty by Young, unfair competition by NowDx, and tortious interference with contractual relations by Berry and NowDx. NowDx filed Counterclaims against the Company on January 13, 2025 and the Company filed its Answer to the Counterclaims on February 3, 2025. Young filed a Motion to Dismiss the claims against her, which was denied by the court on February 4, 2025. NowDx, Berry, and Young agreed to a preliminary injunction which the Court entered on February 27, 2025. On February 11, 2026, the Court issued an order scheduling trial for January 17, 2027. The case is currently in the discovery phase.</w:t>
      </w:r>
    </w:p>
    <w:p>
      <w:pPr>
        <w:spacing w:after="0" w:line="29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Company's financial condition and results of operations should be read in conjunction with (i) the Company's unaudited condensed consolidated financial statements and related notes appearing elsewhere in this Quarterly Report on Form 10-Q and (ii) the Company's audited consolidated financial statements and related notes and management’s discussion and analysis of financial condition and results of operations included in the Company's Annual Report on Form 10-K for the year ended December 31, 2025 filed with the Securities and Exchange Commission on March 9, 2026. Some of the information contained in this discussion and analysis or set forth elsewhere in this Quarterly Report on Form 10-Q, including information with respect to the Company's plans and strategy for its business and impact and potential impacts on its business, includes forward-looking statements that involve risks and uncertainties. As a result of many factors, including, without limitation, those factors set forth in the “Risk Factors” section of the Company's Annual Report on Form 10-K for the year ended December 31, 2025 and the “Risk Factors” section of subsequent Quarterly Reports on Form 10-Q, the Company's actual results or timing of certain events could differ materially from the results or timing described in, or implied by, these forward-looking statements.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business consists of the development, manufacture, marketing, sale and distribution of simple, easy to use diagnostic products and specimen collection devices using its proprietary technologies, as well as other diagnostic products including immunoassays and other in vitro diagnostic tests that are used on other specimen types. The Company's diagnostic products include tests for diseases including HIV, Hepatitis C, Syphilis, Sickle Cell and COVID-19 that are performed on a rapid basis at the point of care. These products are sold in the United States and internationally to various clinical laboratories, hospitals, clinics, community-based organizations, and other public health organizations, distributors, government agencies, physicians’ offices, and commercial and industrial entities. The Company's HIV and COVID-19 products are also sold in a consumer-friendly format in the over-the-counter ("OTC") market in the U.S. and, in the case of the HIV and HCV products, as a self-test to individuals in a number of other countries, including, for the HIV products, as an oral swab in-home test for HIV-1 and HIV-2 in Europe, and for the HCV products, as an OTC test. In December 2025,</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submitted a 510(k) to the FDA for clearance of its rapid molecular self-test for CT/NG, which is currently under review.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business also includes sample management solutions and services that are used by clinical laboratories, direct-to-consumer laboratories, researchers, pharmaceutical companies, and animal health service and product providers. The revenues from sample management solutions are derived from product sales to commercial customers and sales into the academic and research markets. Customers span the disease risk management, diagnostics, pharmaceutical, biotech, and companion animal market segments. The Company has also developed collection devices for the emerging microbiome market, which focuses on studying microbiomes and their effect on human and animal health. The Company also has a urine collection device which allows for the volumetric collection of first void urine. Initial sales of this product for research use only are occurring primarily through distributors and collaborations in the liquid biopsy and sexually transmitted disease markets. In December 2025, the Company also submitted a 510(k) to the FDA for clearance of its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at-home urine collection device for sexually transmitted infections, which is currently under review.</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Assessment Testing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2024, the Company announced the discontinuance of sales of its risk assessment product line, which was completed in the second quarter of 2025. Sales of its risk assessment products did not contribute to revenues during the three months ended March 31, 2026. Sales of its risk assessment products contributed $1.4 million to revenues during the three months ended March 31, 2025. During the first quarter of 2025, the Company sold certain assets that made up the risk assessment product line including certain intellectual property, contracts, permits,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(all dollar amounts in tables are presented in thousands)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compared to March 31, 2025.</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CONSOLIDATED NET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total consolidated net revenues for the three months ended March 31, 2026 and 2025:</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20" w:type="dxa"/>
            <w:vAlign w:val="bottom"/>
            <w:gridSpan w:val="3"/>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Percentage of Total Net Revenues</w:t>
            </w:r>
          </w:p>
        </w:tc>
        <w:tc>
          <w:tcPr>
            <w:tcW w:w="0" w:type="dxa"/>
            <w:vAlign w:val="bottom"/>
          </w:tcPr>
          <w:p>
            <w:pPr>
              <w:spacing w:after="0"/>
              <w:rPr>
                <w:sz w:val="1"/>
                <w:szCs w:val="1"/>
                <w:color w:val="auto"/>
              </w:rPr>
            </w:pPr>
          </w:p>
        </w:tc>
      </w:tr>
      <w:tr>
        <w:trPr>
          <w:trHeight w:val="37"/>
        </w:trPr>
        <w:tc>
          <w:tcPr>
            <w:tcW w:w="39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39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Diagnostics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7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Sample Management Solutions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3"/>
                <w:szCs w:val="23"/>
                <w:color w:val="auto"/>
              </w:rPr>
            </w:pP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3"/>
                <w:szCs w:val="23"/>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products and services </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COVID-19 Diagnostics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1"/>
                <w:szCs w:val="21"/>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Risk Assessment Testing </w:t>
            </w:r>
            <w:r>
              <w:rPr>
                <w:rFonts w:ascii="Times New Roman" w:cs="Times New Roman" w:eastAsia="Times New Roman" w:hAnsi="Times New Roman"/>
                <w:sz w:val="23"/>
                <w:szCs w:val="23"/>
                <w:color w:val="auto"/>
                <w:vertAlign w:val="superscript"/>
              </w:rPr>
              <w:t>(4)</w:t>
            </w:r>
          </w:p>
        </w:tc>
        <w:tc>
          <w:tcPr>
            <w:tcW w:w="3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product and services revenues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28,997</w:t>
            </w: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156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Non-product and services revenues </w:t>
            </w:r>
            <w:r>
              <w:rPr>
                <w:rFonts w:ascii="Times New Roman" w:cs="Times New Roman" w:eastAsia="Times New Roman" w:hAnsi="Times New Roman"/>
                <w:sz w:val="23"/>
                <w:szCs w:val="23"/>
                <w:color w:val="auto"/>
                <w:vertAlign w:val="superscript"/>
              </w:rPr>
              <w:t>(5)</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3"/>
        </w:trPr>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27,925</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240" w:hanging="232"/>
        <w:spacing w:after="0"/>
        <w:tabs>
          <w:tab w:leader="none" w:pos="24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HIV, HCV, Syphilis, SickleSCAN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SureQuick</w:t>
      </w:r>
      <w:r>
        <w:rPr>
          <w:rFonts w:ascii="Arial" w:cs="Arial" w:eastAsia="Arial" w:hAnsi="Arial"/>
          <w:sz w:val="18"/>
          <w:szCs w:val="18"/>
          <w:color w:val="auto"/>
          <w:vertAlign w:val="superscript"/>
        </w:rPr>
        <w:t>®</w:t>
      </w:r>
      <w:r>
        <w:rPr>
          <w:rFonts w:ascii="Times New Roman" w:cs="Times New Roman" w:eastAsia="Times New Roman" w:hAnsi="Times New Roman"/>
          <w:sz w:val="14"/>
          <w:szCs w:val="14"/>
          <w:color w:val="auto"/>
        </w:rPr>
        <w:t xml:space="preserve"> product revenues.</w:t>
      </w:r>
    </w:p>
    <w:p>
      <w:pPr>
        <w:ind w:left="240" w:hanging="232"/>
        <w:spacing w:after="0" w:line="202" w:lineRule="auto"/>
        <w:tabs>
          <w:tab w:leader="none" w:pos="24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Genomics, Microbiome, and Colli-Pee</w:t>
      </w:r>
      <w:r>
        <w:rPr>
          <w:rFonts w:ascii="Arial" w:cs="Arial" w:eastAsia="Arial" w:hAnsi="Arial"/>
          <w:sz w:val="18"/>
          <w:szCs w:val="18"/>
          <w:color w:val="auto"/>
          <w:vertAlign w:val="superscript"/>
        </w:rPr>
        <w:t>®</w:t>
      </w:r>
      <w:r>
        <w:rPr>
          <w:rFonts w:ascii="Times New Roman" w:cs="Times New Roman" w:eastAsia="Times New Roman" w:hAnsi="Times New Roman"/>
          <w:sz w:val="14"/>
          <w:szCs w:val="14"/>
          <w:color w:val="auto"/>
        </w:rPr>
        <w:t xml:space="preserve"> product revenues.</w:t>
      </w:r>
    </w:p>
    <w:p>
      <w:pPr>
        <w:ind w:left="240" w:hanging="232"/>
        <w:spacing w:after="0"/>
        <w:tabs>
          <w:tab w:leader="none" w:pos="24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COVID-19 Sample Management Solutions product revenues.</w:t>
      </w:r>
    </w:p>
    <w:p>
      <w:pPr>
        <w:spacing w:after="0" w:line="11" w:lineRule="exact"/>
        <w:rPr>
          <w:rFonts w:ascii="Times New Roman" w:cs="Times New Roman" w:eastAsia="Times New Roman" w:hAnsi="Times New Roman"/>
          <w:sz w:val="9"/>
          <w:szCs w:val="9"/>
          <w:color w:val="auto"/>
        </w:rPr>
      </w:pPr>
    </w:p>
    <w:p>
      <w:pPr>
        <w:ind w:left="240" w:hanging="232"/>
        <w:spacing w:after="0" w:line="192" w:lineRule="auto"/>
        <w:tabs>
          <w:tab w:leader="none" w:pos="24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substance abuse testing product revenues.</w:t>
      </w:r>
    </w:p>
    <w:p>
      <w:pPr>
        <w:spacing w:after="0" w:line="3" w:lineRule="exact"/>
        <w:rPr>
          <w:rFonts w:ascii="Times New Roman" w:cs="Times New Roman" w:eastAsia="Times New Roman" w:hAnsi="Times New Roman"/>
          <w:sz w:val="19"/>
          <w:szCs w:val="19"/>
          <w:color w:val="auto"/>
          <w:vertAlign w:val="superscript"/>
        </w:rPr>
      </w:pPr>
    </w:p>
    <w:p>
      <w:pPr>
        <w:ind w:left="240" w:hanging="232"/>
        <w:spacing w:after="0" w:line="189" w:lineRule="auto"/>
        <w:tabs>
          <w:tab w:leader="none" w:pos="24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funded research and development contracts, royalty income and grant revenues.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Services Revenues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Consolidated net revenues decreased 7% to $27.9 million for the three months ended March 31, 2026 from $29.9 million for the three months ended March 31, 2025.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of the Company's Diagnostics products decreased 5% to $16.9 million for the three months ended March 31, 2026 from $17.7 million for the three months ended March 31, 2025. This decrease in revenues is largely due to lower international HCV revenues driven by customer ordering patterns and funding constraints. This decline in revenues was offset by an increase in Company's Syphilis product sales to new customers in the women's health market.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Sample Management Solutions revenues remained largely flat at $9.1 million for the three months ended March 31, 2026 and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COVID-19 Diagnostics sales decreased 96% to $18.0 thousand for the three months ended March 31, 2026 from $0.5 million for the three months ended March 31, 2025, due to completion of the Company's InteliSwab® tests contract with the U.S. government and lower overall demand for COVID-19 testing.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Assessment Testing revenues are $0 in 2026 as the product line was discontinued and wound down in early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Non-Product and Services Revenues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Non-product and services revenues increased 66% to $1.5 million for the three months ended March 31, 2026 from $0.9 million for the three months ended March 31, 2025 primarily due to the recognition of revenue under various funded R&amp;D contracts.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gross profit margin increased to 42.3% for the three months ended March 31, 2026 compared to 41.1% for the three months ended March 31, 2025. The drivers of the margin increase were better absorption of fixed overhead costs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operational efficiencies, improved product mix, and higher non-product revenues which contribute 100% to gross margin. An increase in scrap expense in the quarter partially offset the increases in gross margin.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operating loss for the three months ended March 31, 2026 was $23.3 million compared to $17.8 million for the three months ended March 31, 2025. The higher operating loss reported in 2026 was largely a result of lower revenues coupled with increased research and development spend.</w:t>
      </w:r>
    </w:p>
    <w:p>
      <w:pPr>
        <w:spacing w:after="0" w:line="16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Research and development expenses increased 42% to $13.7 million for the three months ended March 31, 2026 from $9.6 million for the three months ended March 31, 2025 largely due to higher spend incurred for clinical trials associated with the Chlamydia Trachomatis (CT) and Neisseria Gonorrhoeae (NG) device and the Colli-Pee</w:t>
      </w:r>
      <w:r>
        <w:rPr>
          <w:rFonts w:ascii="Arial" w:cs="Arial" w:eastAsia="Arial" w:hAnsi="Arial"/>
          <w:sz w:val="23"/>
          <w:szCs w:val="23"/>
          <w:color w:val="auto"/>
          <w:vertAlign w:val="superscript"/>
        </w:rPr>
        <w:t>®</w:t>
      </w:r>
      <w:r>
        <w:rPr>
          <w:rFonts w:ascii="Times New Roman" w:cs="Times New Roman" w:eastAsia="Times New Roman" w:hAnsi="Times New Roman"/>
          <w:sz w:val="18"/>
          <w:szCs w:val="18"/>
          <w:color w:val="auto"/>
        </w:rPr>
        <w:t xml:space="preserve"> device. The increase in research and development expenses is also due to additional severance charges associated with the Company's reduction in its workforce in February 2026.</w:t>
      </w: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decreased 1% to $6.8 million for the three months ended March 31, 2026 from $6.9 million for the three months ended March 31, 2025.</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3% to $14.6 million for the three months ended March 31, 2026 from $14.1 million for the three months ended March 31, 2025 largely due to an increase in professional services and severance charges.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non-cash adjustments of $0.1 million for the three months ended March 31, 2026, reflecting the change in the estimated fair value of the Sherlock acquisition-related contingent consideration.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the above contributed to the Company's operating loss of $23.3 million for the three months ended March 31, 2026, which included non-cash charges of $2.8 million for stock-based compensation, $2.3 million for depreciation and amortization, and $0.1 million for the change in the estimated fair value of acquisition-related contingent consideration. The Company's operating loss of $17.8 million for the three months ended March 31, 2025 included non-cash charges of $2.7 million for stock-based compensation, $2.8 million for depreciation and amortization, and $0.5 million for the change in the estimated fair value of acquisition-related contingent consideration.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for the three months ended March 31, 2026 was $1.5 million compared to $1.8 million for the three months ended March 31, 2025. The decrease in other income is due to lower interest income and increased foreign currency losses.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continues to believe the full valuation allowance established against its total U.S. and U.K. deferred tax asset is appropriate as the facts and circumstances necessitating the allowance have not changed. For the three months ended March 31, 2026 and 2025, the Company recorded income tax benefits of $0.4 million and $0.5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Pr>
          <w:p>
            <w:pPr>
              <w:spacing w:after="0"/>
              <w:rPr>
                <w:sz w:val="16"/>
                <w:szCs w:val="16"/>
                <w:color w:val="auto"/>
              </w:rPr>
            </w:pPr>
          </w:p>
        </w:tc>
        <w:tc>
          <w:tcPr>
            <w:tcW w:w="15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7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gridSpan w:val="3"/>
          </w:tcPr>
          <w:p>
            <w:pPr>
              <w:spacing w:after="0"/>
              <w:rPr>
                <w:sz w:val="3"/>
                <w:szCs w:val="3"/>
                <w:color w:val="auto"/>
              </w:rPr>
            </w:pPr>
          </w:p>
        </w:tc>
      </w:tr>
      <w:tr>
        <w:trPr>
          <w:trHeight w:val="186"/>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3"/>
          </w:tcPr>
          <w:p>
            <w:pPr>
              <w:jc w:val="right"/>
              <w:ind w:right="123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176,964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199,278</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196,697</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222,113</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decreased to $177.0 million at March 31, 2026 from $199.3 million at December 31, 2025. The Company has $84.9 million, or 48%, of its $177.0 million of cash and cash equivalents held by DNAG, the Company's Canadian subsidiary.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working capital decreased to $196.7 million at March 31, 2026 from $222.1 million at December 31, 2025. Working capital is primarily a function of sales, purchase volumes, inventory requirements, and vendor payment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Analysis of the Company's Cash Flows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net cash used in operating activities was $13.9 million. Cash flows from operations can be significantly impacted by factors such as timing of receipts from customers, inventory purchases, and payments to vendors. The Company's net loss of $22.4 million included non-cash charges of stock-based compensation expense of $2.8 million, depreciation and amortization expense of $2.3 million, a loss on equity investment of $1.1 million, and other non-cash charges aggregating to $0.4 million.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the Company's working capital accounts contributed to cash and included an increase of $4.1 million in accounts payable associated with the timing of spend on consulting services and inventory purchases, a decrease in overall inventory balances of $0.7 million due to maintaining lower COVID-19 inventory levels attributable to decreased demand, a decrease in prepaid expenses and other assets of $0.6 million, and an increase in accrued expenses and other liabilities of $0.6 million. These contributions to cash were offset by an increase in accounts receivable of $2.6 million due to timing of shipments and invoicing and a decrease in deferred revenue of $0.6 million as work on grant projects is completed and earned.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was $0.9 million for the three months ended March 31, 2026, for purchases of property and equipment</w:t>
      </w:r>
      <w:r>
        <w:rPr>
          <w:rFonts w:ascii="Times New Roman" w:cs="Times New Roman" w:eastAsia="Times New Roman" w:hAnsi="Times New Roman"/>
          <w:sz w:val="21"/>
          <w:szCs w:val="2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$6.3 million for the three months ended March 31, 2026, which was largely comprised of $5.0 million to repurchase common stock pursuant to the Company's stock repurchase plan and $1.3 million used for the repurchase of common stock to satisfy withholding taxes related to the vesting of restricted stock awarded to the Company's employees.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Resources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contractual obligations are included in Note 12 of its consolidated financial statements. The Company expects existing cash and cash equivalents will be sufficient to fund its operating expenses and capital expenditure requirements over the next twelve months. The Company's cash requirements, however, may vary materially from those now planned due to many factors, including, but not limited to, the scope and timing of future strategic acquisitions, the progress of its research and development programs, the scope and results of clinical testing, the cost of any future litigation, the magnitude of capital expenditures, changes in existing and potential relationships with business partners, the timing and cost of obtaining regulatory approvals, the timing and cost of future stock purchases, the costs involved in obtaining and enforcing patents, proprietary rights and any necessary licenses, the cost and timing of expansion of sales and marketing activities, market acceptance of new products, competing technological and market developments, the impact of the current economic environment and other factors.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more detailed review of the Company's critical accounting policies is contained in its Annual Report on Form 10-K for the year ended December 31, 2025 filed with the SEC. No material changes have been made to such critical accounting policies during the three months ended March 31, 2026.</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Company's assessment of its sensitivity to market risk since its presentation set forth in Item 7A, "Quantitative and Qualitative Disclosures About Market Risk," in its Annual Report on Form 10-K for the year ended December 31, 2025.</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21" w:lineRule="exact"/>
        <w:rPr>
          <w:sz w:val="20"/>
          <w:szCs w:val="20"/>
          <w:color w:val="auto"/>
        </w:rPr>
      </w:pPr>
    </w:p>
    <w:p>
      <w:pPr>
        <w:jc w:val="both"/>
        <w:ind w:firstLine="8"/>
        <w:spacing w:after="0" w:line="258" w:lineRule="auto"/>
        <w:tabs>
          <w:tab w:leader="none" w:pos="2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 The Company’s management, with the participation of the Company’s Chief Executive Officer and Chief Financial Officer, evaluated the effectiveness of the Company’s disclosure controls and procedures (as defined in Rules 13a-15(e) and 15d-15(e) of the Securities Exchange Act of 1934) as of March 31, 2026. Based on that evaluation, the Company’s management, including such officers, concluded that the Company’s disclosure controls and procedures were effective as of March 31, 2026 to provide reasonable assurance that material information required to be disclosed by the Company in the reports that it files or submits under the Securities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Exchange Act of 1934 was accumulated and communicated to the Company’s management, including the Chief Executive Officer and Chief Financial Officer, to allow timely decisions regarding required disclosure and was recorded, processed, summarized, and reported within the time periods specified in the rules and forms of the Securities and Exchange Commission.</w:t>
      </w:r>
    </w:p>
    <w:p>
      <w:pPr>
        <w:spacing w:after="0" w:line="176" w:lineRule="exact"/>
        <w:rPr>
          <w:sz w:val="20"/>
          <w:szCs w:val="20"/>
          <w:color w:val="auto"/>
        </w:rPr>
      </w:pPr>
    </w:p>
    <w:p>
      <w:pPr>
        <w:jc w:val="both"/>
        <w:ind w:firstLine="8"/>
        <w:spacing w:after="0" w:line="266"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 Over Financial Reporting</w:t>
      </w:r>
      <w:r>
        <w:rPr>
          <w:rFonts w:ascii="Times New Roman" w:cs="Times New Roman" w:eastAsia="Times New Roman" w:hAnsi="Times New Roman"/>
          <w:sz w:val="18"/>
          <w:szCs w:val="18"/>
          <w:color w:val="auto"/>
        </w:rPr>
        <w:t>. There was no change in the Company’s internal control over financial reporting that occurred during the three months ended March 31, 2026 that has materially affected, or is reasonably likely to materially affect, the Company’s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certain legal actions arising in the ordinary course of business. In management’s opinion, based upon the advice of counsel, the outcomes of such actions are not expected, individually or in the aggregate, to have a material adverse effect on the Company's future financial position or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NowDiagnostics Litigation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14, 2024 the Company filed a complaint against NowDiagnostics, Inc. ("NowDx"), Jody Berry ("Berry") and Janean Young ("Young") in the United States District Court for the Eastern District of Pennsylvania alleging misappropriation and misuse of the Company's proprietary information and trade secrets by NowDx, Berry and Young in violation of the Federal Defend Trade Secrets Act and the Pennsylvania Uniform Trade Secrets Act. The complaint also alleges breach of contract and duty of loyalty by Young, unfair competition by NowDx, and tortious interference with contractual relations by Berry and NowDx. NowDx filed Counterclaims against the Company on January 13, 2025 and the Company filed its Answer to the Counterclaims on February 3, 2025. Young filed a Motion to Dismiss the claims against her, which was denied by the court on February 4, 2025. NowDx, Berry, and Young agreed to a preliminary injunction which the Court entered on February 27, 2025. On February 11, 2026, the Court issued an order scheduling trial for January 17, 2027. The case is currently in the discovery phase.</w:t>
      </w:r>
    </w:p>
    <w:p>
      <w:pPr>
        <w:spacing w:after="0" w:line="29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Item 1A, entitled “Risk Factors,” in the Company's Annual Report on Form 10-K for the year ended December 31, 2025 filed with the SEC on March 9, 2026.</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(or</w:t>
            </w:r>
          </w:p>
        </w:tc>
      </w:tr>
      <w:tr>
        <w:trPr>
          <w:trHeight w:val="175"/>
        </w:trPr>
        <w:tc>
          <w:tcPr>
            <w:tcW w:w="4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r>
      <w:tr>
        <w:trPr>
          <w:trHeight w:val="162"/>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1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 that may yet be</w:t>
            </w:r>
          </w:p>
        </w:tc>
      </w:tr>
      <w:tr>
        <w:trPr>
          <w:trHeight w:val="172"/>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1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repurchased under the plans</w:t>
            </w:r>
          </w:p>
        </w:tc>
      </w:tr>
      <w:tr>
        <w:trPr>
          <w:trHeight w:val="230"/>
        </w:trPr>
        <w:tc>
          <w:tcPr>
            <w:tcW w:w="402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0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or programs </w:t>
            </w:r>
            <w:r>
              <w:rPr>
                <w:rFonts w:ascii="Times New Roman" w:cs="Times New Roman" w:eastAsia="Times New Roman" w:hAnsi="Times New Roman"/>
                <w:sz w:val="18"/>
                <w:szCs w:val="18"/>
                <w:b w:val="1"/>
                <w:bCs w:val="1"/>
                <w:color w:val="auto"/>
                <w:w w:val="99"/>
                <w:vertAlign w:val="superscript"/>
              </w:rPr>
              <w:t>(1)</w:t>
            </w:r>
          </w:p>
        </w:tc>
      </w:tr>
      <w:tr>
        <w:trPr>
          <w:trHeight w:val="243"/>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2026 - January 31, 2026</w:t>
            </w:r>
          </w:p>
        </w:tc>
        <w:tc>
          <w:tcPr>
            <w:tcW w:w="1580" w:type="dxa"/>
            <w:vAlign w:val="bottom"/>
            <w:tcBorders>
              <w:bottom w:val="single" w:sz="8" w:color="CCEEFF"/>
            </w:tcBorders>
            <w:shd w:val="clear" w:color="auto" w:fill="CCEEFF"/>
          </w:tcPr>
          <w:p>
            <w:pPr>
              <w:jc w:val="center"/>
              <w:ind w:left="756"/>
              <w:spacing w:after="0"/>
              <w:rPr>
                <w:sz w:val="20"/>
                <w:szCs w:val="20"/>
                <w:color w:val="auto"/>
              </w:rPr>
            </w:pPr>
            <w:r>
              <w:rPr>
                <w:rFonts w:ascii="Times New Roman" w:cs="Times New Roman" w:eastAsia="Times New Roman" w:hAnsi="Times New Roman"/>
                <w:sz w:val="18"/>
                <w:szCs w:val="18"/>
                <w:color w:val="auto"/>
                <w:w w:val="99"/>
              </w:rPr>
              <w:t>750,139</w:t>
            </w:r>
          </w:p>
        </w:tc>
        <w:tc>
          <w:tcPr>
            <w:tcW w:w="28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93"/>
              </w:rPr>
              <w:t>(2)</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2.66</w:t>
            </w:r>
          </w:p>
        </w:tc>
        <w:tc>
          <w:tcPr>
            <w:tcW w:w="1580" w:type="dxa"/>
            <w:vAlign w:val="bottom"/>
            <w:tcBorders>
              <w:bottom w:val="single" w:sz="8" w:color="CCEEFF"/>
            </w:tcBorders>
            <w:shd w:val="clear" w:color="auto" w:fill="CCEEFF"/>
          </w:tcPr>
          <w:p>
            <w:pPr>
              <w:jc w:val="center"/>
              <w:ind w:left="800"/>
              <w:spacing w:after="0"/>
              <w:rPr>
                <w:sz w:val="20"/>
                <w:szCs w:val="20"/>
                <w:color w:val="auto"/>
              </w:rPr>
            </w:pPr>
            <w:r>
              <w:rPr>
                <w:rFonts w:ascii="Times New Roman" w:cs="Times New Roman" w:eastAsia="Times New Roman" w:hAnsi="Times New Roman"/>
                <w:sz w:val="18"/>
                <w:szCs w:val="18"/>
                <w:color w:val="auto"/>
                <w:w w:val="99"/>
              </w:rPr>
              <w:t>742,427</w:t>
            </w:r>
          </w:p>
        </w:tc>
        <w:tc>
          <w:tcPr>
            <w:tcW w:w="2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$22,981,487</w:t>
            </w:r>
          </w:p>
        </w:tc>
      </w:tr>
      <w:tr>
        <w:trPr>
          <w:trHeight w:val="243"/>
        </w:trPr>
        <w:tc>
          <w:tcPr>
            <w:tcW w:w="4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February 1, 2026 - February 28, 2026</w:t>
            </w:r>
          </w:p>
        </w:tc>
        <w:tc>
          <w:tcPr>
            <w:tcW w:w="1580" w:type="dxa"/>
            <w:vAlign w:val="bottom"/>
          </w:tcPr>
          <w:p>
            <w:pPr>
              <w:jc w:val="center"/>
              <w:ind w:left="756"/>
              <w:spacing w:after="0"/>
              <w:rPr>
                <w:sz w:val="20"/>
                <w:szCs w:val="20"/>
                <w:color w:val="auto"/>
              </w:rPr>
            </w:pPr>
            <w:r>
              <w:rPr>
                <w:rFonts w:ascii="Times New Roman" w:cs="Times New Roman" w:eastAsia="Times New Roman" w:hAnsi="Times New Roman"/>
                <w:sz w:val="18"/>
                <w:szCs w:val="18"/>
                <w:color w:val="auto"/>
                <w:w w:val="99"/>
              </w:rPr>
              <w:t>536,015</w:t>
            </w:r>
          </w:p>
        </w:tc>
        <w:tc>
          <w:tcPr>
            <w:tcW w:w="2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93"/>
              </w:rPr>
              <w:t>(2)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2.84</w:t>
            </w:r>
          </w:p>
        </w:tc>
        <w:tc>
          <w:tcPr>
            <w:tcW w:w="1580" w:type="dxa"/>
            <w:vAlign w:val="bottom"/>
          </w:tcPr>
          <w:p>
            <w:pPr>
              <w:jc w:val="center"/>
              <w:ind w:left="800"/>
              <w:spacing w:after="0"/>
              <w:rPr>
                <w:sz w:val="20"/>
                <w:szCs w:val="20"/>
                <w:color w:val="auto"/>
              </w:rPr>
            </w:pPr>
            <w:r>
              <w:rPr>
                <w:rFonts w:ascii="Times New Roman" w:cs="Times New Roman" w:eastAsia="Times New Roman" w:hAnsi="Times New Roman"/>
                <w:sz w:val="18"/>
                <w:szCs w:val="18"/>
                <w:color w:val="auto"/>
                <w:w w:val="99"/>
              </w:rPr>
              <w:t>536,015</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$21,460,003</w:t>
            </w:r>
          </w:p>
        </w:tc>
      </w:tr>
      <w:tr>
        <w:trPr>
          <w:trHeight w:val="27"/>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2026 - March 31, 2026</w:t>
            </w:r>
          </w:p>
        </w:tc>
        <w:tc>
          <w:tcPr>
            <w:tcW w:w="1580" w:type="dxa"/>
            <w:vAlign w:val="bottom"/>
            <w:tcBorders>
              <w:bottom w:val="single" w:sz="8" w:color="CCEEFF"/>
            </w:tcBorders>
            <w:shd w:val="clear" w:color="auto" w:fill="CCEEFF"/>
          </w:tcPr>
          <w:p>
            <w:pPr>
              <w:jc w:val="center"/>
              <w:ind w:left="756"/>
              <w:spacing w:after="0"/>
              <w:rPr>
                <w:sz w:val="20"/>
                <w:szCs w:val="20"/>
                <w:color w:val="auto"/>
              </w:rPr>
            </w:pPr>
            <w:r>
              <w:rPr>
                <w:rFonts w:ascii="Times New Roman" w:cs="Times New Roman" w:eastAsia="Times New Roman" w:hAnsi="Times New Roman"/>
                <w:sz w:val="18"/>
                <w:szCs w:val="18"/>
                <w:color w:val="auto"/>
                <w:w w:val="99"/>
              </w:rPr>
              <w:t>897,930</w:t>
            </w:r>
          </w:p>
        </w:tc>
        <w:tc>
          <w:tcPr>
            <w:tcW w:w="28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93"/>
              </w:rPr>
              <w:t>(2)</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3.05</w:t>
            </w:r>
          </w:p>
        </w:tc>
        <w:tc>
          <w:tcPr>
            <w:tcW w:w="1580" w:type="dxa"/>
            <w:vAlign w:val="bottom"/>
            <w:tcBorders>
              <w:bottom w:val="single" w:sz="8" w:color="CCEEFF"/>
            </w:tcBorders>
            <w:shd w:val="clear" w:color="auto" w:fill="CCEEFF"/>
          </w:tcPr>
          <w:p>
            <w:pPr>
              <w:jc w:val="center"/>
              <w:ind w:left="800"/>
              <w:spacing w:after="0"/>
              <w:rPr>
                <w:sz w:val="20"/>
                <w:szCs w:val="20"/>
                <w:color w:val="auto"/>
              </w:rPr>
            </w:pPr>
            <w:r>
              <w:rPr>
                <w:rFonts w:ascii="Times New Roman" w:cs="Times New Roman" w:eastAsia="Times New Roman" w:hAnsi="Times New Roman"/>
                <w:sz w:val="18"/>
                <w:szCs w:val="18"/>
                <w:color w:val="auto"/>
                <w:w w:val="99"/>
              </w:rPr>
              <w:t>489,575</w:t>
            </w:r>
          </w:p>
        </w:tc>
        <w:tc>
          <w:tcPr>
            <w:tcW w:w="2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$19,960,003</w:t>
            </w:r>
          </w:p>
        </w:tc>
      </w:tr>
      <w:tr>
        <w:trPr>
          <w:trHeight w:val="237"/>
        </w:trPr>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Borders>
              <w:top w:val="single" w:sz="8" w:color="auto"/>
            </w:tcBorders>
          </w:tcPr>
          <w:p>
            <w:pPr>
              <w:jc w:val="center"/>
              <w:ind w:left="736"/>
              <w:spacing w:after="0"/>
              <w:rPr>
                <w:sz w:val="20"/>
                <w:szCs w:val="20"/>
                <w:color w:val="auto"/>
              </w:rPr>
            </w:pPr>
            <w:r>
              <w:rPr>
                <w:rFonts w:ascii="Times New Roman" w:cs="Times New Roman" w:eastAsia="Times New Roman" w:hAnsi="Times New Roman"/>
                <w:sz w:val="18"/>
                <w:szCs w:val="18"/>
                <w:color w:val="auto"/>
                <w:w w:val="99"/>
              </w:rPr>
              <w:t>2,184,084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80" w:type="dxa"/>
            <w:vAlign w:val="bottom"/>
            <w:tcBorders>
              <w:top w:val="single" w:sz="8" w:color="auto"/>
            </w:tcBorders>
          </w:tcPr>
          <w:p>
            <w:pPr>
              <w:jc w:val="center"/>
              <w:ind w:left="780"/>
              <w:spacing w:after="0"/>
              <w:rPr>
                <w:sz w:val="20"/>
                <w:szCs w:val="20"/>
                <w:color w:val="auto"/>
              </w:rPr>
            </w:pPr>
            <w:r>
              <w:rPr>
                <w:rFonts w:ascii="Times New Roman" w:cs="Times New Roman" w:eastAsia="Times New Roman" w:hAnsi="Times New Roman"/>
                <w:sz w:val="18"/>
                <w:szCs w:val="18"/>
                <w:color w:val="auto"/>
                <w:w w:val="99"/>
              </w:rPr>
              <w:t>1,768,017</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ind w:left="340" w:hanging="332"/>
        <w:spacing w:after="0" w:line="233" w:lineRule="auto"/>
        <w:tabs>
          <w:tab w:leader="none" w:pos="327"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March 2025, the Company's board of directors authorized a stock repurchase program (the “Repurchase Program”) effective March 21, 2025, whereby the Company may purchase up to $40.0 million in shares of its common stock over a period of up to two years. The amount and timing of share repurchases under the Repurchase Program may be carried out at the discretion of management through various methods in compliance with applicable state and federal securities laws.</w:t>
      </w:r>
    </w:p>
    <w:p>
      <w:pPr>
        <w:spacing w:after="0" w:line="96" w:lineRule="exact"/>
        <w:rPr>
          <w:rFonts w:ascii="Times New Roman" w:cs="Times New Roman" w:eastAsia="Times New Roman" w:hAnsi="Times New Roman"/>
          <w:sz w:val="19"/>
          <w:szCs w:val="19"/>
          <w:color w:val="auto"/>
          <w:vertAlign w:val="superscript"/>
        </w:rPr>
      </w:pPr>
    </w:p>
    <w:p>
      <w:pPr>
        <w:ind w:left="340" w:hanging="332"/>
        <w:spacing w:after="0"/>
        <w:tabs>
          <w:tab w:leader="none" w:pos="327"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shares retired to satisfy minimum tax withholdings, in connection with the vesting of restricted and performance shares, pursuant to the OraSure Technologies, Inc. Stock Award Plan.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in Part II - Item 2 above is incorporated herein by reference.</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none of the Company's directors or officers adopted, amended, or terminated a “Rule 10b5-1 trading arrangement” or “non-Rule 10b5-1 trading arrangement,” as each term is defined in Item 408(a) of Regulation S-K.</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12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0"/>
        </w:trPr>
        <w:tc>
          <w:tcPr>
            <w:tcW w:w="12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680" w:type="dxa"/>
            <w:vAlign w:val="bottom"/>
            <w:gridSpan w:val="4"/>
          </w:tcPr>
          <w:p>
            <w:pPr>
              <w:ind w:left="294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37"/>
        </w:trPr>
        <w:tc>
          <w:tcPr>
            <w:tcW w:w="12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7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98"/>
        </w:trPr>
        <w:tc>
          <w:tcPr>
            <w:tcW w:w="1200" w:type="dxa"/>
            <w:vAlign w:val="bottom"/>
          </w:tcPr>
          <w:p>
            <w:pPr>
              <w:jc w:val="center"/>
              <w:ind w:right="473"/>
              <w:spacing w:after="0"/>
              <w:rPr>
                <w:sz w:val="20"/>
                <w:szCs w:val="20"/>
                <w:color w:val="auto"/>
              </w:rPr>
            </w:pPr>
            <w:r>
              <w:rPr>
                <w:rFonts w:ascii="Times New Roman" w:cs="Times New Roman" w:eastAsia="Times New Roman" w:hAnsi="Times New Roman"/>
                <w:sz w:val="18"/>
                <w:szCs w:val="18"/>
                <w:color w:val="auto"/>
                <w:w w:val="98"/>
              </w:rPr>
              <w:t>31.1*</w:t>
            </w:r>
          </w:p>
        </w:tc>
        <w:tc>
          <w:tcPr>
            <w:tcW w:w="20" w:type="dxa"/>
            <w:vAlign w:val="bottom"/>
          </w:tcPr>
          <w:p>
            <w:pPr>
              <w:spacing w:after="0"/>
              <w:rPr>
                <w:sz w:val="24"/>
                <w:szCs w:val="24"/>
                <w:color w:val="auto"/>
              </w:rPr>
            </w:pPr>
          </w:p>
        </w:tc>
        <w:tc>
          <w:tcPr>
            <w:tcW w:w="90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Carrie Eglinton-Manner required by Rule 13a-14(a) or Rule 15d-14(a) under the Securities Exchange Act of</w:t>
            </w:r>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1934, as amended.</w:t>
            </w:r>
          </w:p>
        </w:tc>
        <w:tc>
          <w:tcPr>
            <w:tcW w:w="7680" w:type="dxa"/>
            <w:vAlign w:val="bottom"/>
            <w:gridSpan w:val="4"/>
          </w:tcPr>
          <w:p>
            <w:pPr>
              <w:spacing w:after="0"/>
              <w:rPr>
                <w:sz w:val="17"/>
                <w:szCs w:val="17"/>
                <w:color w:val="auto"/>
              </w:rPr>
            </w:pPr>
          </w:p>
        </w:tc>
      </w:tr>
      <w:tr>
        <w:trPr>
          <w:trHeight w:val="466"/>
        </w:trPr>
        <w:tc>
          <w:tcPr>
            <w:tcW w:w="1200" w:type="dxa"/>
            <w:vAlign w:val="bottom"/>
          </w:tcPr>
          <w:p>
            <w:pPr>
              <w:jc w:val="center"/>
              <w:ind w:right="473"/>
              <w:spacing w:after="0"/>
              <w:rPr>
                <w:sz w:val="20"/>
                <w:szCs w:val="20"/>
                <w:color w:val="auto"/>
              </w:rPr>
            </w:pPr>
            <w:r>
              <w:rPr>
                <w:rFonts w:ascii="Times New Roman" w:cs="Times New Roman" w:eastAsia="Times New Roman" w:hAnsi="Times New Roman"/>
                <w:sz w:val="18"/>
                <w:szCs w:val="18"/>
                <w:color w:val="auto"/>
                <w:w w:val="98"/>
              </w:rPr>
              <w:t>31.2*</w:t>
            </w:r>
          </w:p>
        </w:tc>
        <w:tc>
          <w:tcPr>
            <w:tcW w:w="20" w:type="dxa"/>
            <w:vAlign w:val="bottom"/>
          </w:tcPr>
          <w:p>
            <w:pPr>
              <w:spacing w:after="0"/>
              <w:rPr>
                <w:sz w:val="24"/>
                <w:szCs w:val="24"/>
                <w:color w:val="auto"/>
              </w:rPr>
            </w:pPr>
          </w:p>
        </w:tc>
        <w:tc>
          <w:tcPr>
            <w:tcW w:w="90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Kenneth J. McGrath required by Rule 13a-14(a) or Rule 15d-14(a) under the Securities Exchange Act of</w:t>
            </w:r>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1934, as amended.</w:t>
            </w:r>
          </w:p>
        </w:tc>
        <w:tc>
          <w:tcPr>
            <w:tcW w:w="7680" w:type="dxa"/>
            <w:vAlign w:val="bottom"/>
            <w:gridSpan w:val="4"/>
          </w:tcPr>
          <w:p>
            <w:pPr>
              <w:spacing w:after="0"/>
              <w:rPr>
                <w:sz w:val="17"/>
                <w:szCs w:val="17"/>
                <w:color w:val="auto"/>
              </w:rPr>
            </w:pPr>
          </w:p>
        </w:tc>
      </w:tr>
      <w:tr>
        <w:trPr>
          <w:trHeight w:val="466"/>
        </w:trPr>
        <w:tc>
          <w:tcPr>
            <w:tcW w:w="12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0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Carrie Eglinton-Manner required by Rule 13a-14(b) or Rule 15d-14(b) under the Securities Exchange Act of</w:t>
            </w:r>
          </w:p>
        </w:tc>
      </w:tr>
      <w:tr>
        <w:trPr>
          <w:trHeight w:val="196"/>
        </w:trPr>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6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1934, as amended, and 18 U.S.C. Section 1350, as Adopted Pursuant to Section 906 of the Sarbanes-Oxley Act of 2002.</w:t>
            </w:r>
          </w:p>
        </w:tc>
        <w:tc>
          <w:tcPr>
            <w:tcW w:w="3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466"/>
        </w:trPr>
        <w:tc>
          <w:tcPr>
            <w:tcW w:w="12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90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Kenneth J. McGrath required by Rule 13a-14(b) or Rule 15d-14(b) under the Securities Exchange Act of</w:t>
            </w:r>
          </w:p>
        </w:tc>
      </w:tr>
      <w:tr>
        <w:trPr>
          <w:trHeight w:val="196"/>
        </w:trPr>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1934, as amended, and 18 U.S.C. Section 1350, as Adopted Pursuant to Section 906 of the Sarbanes-Oxley Act of 2002</w:t>
            </w:r>
            <w:r>
              <w:rPr>
                <w:rFonts w:ascii="Times New Roman" w:cs="Times New Roman" w:eastAsia="Times New Roman" w:hAnsi="Times New Roman"/>
                <w:sz w:val="18"/>
                <w:szCs w:val="18"/>
                <w:color w:val="000000"/>
              </w:rPr>
              <w:t>.</w:t>
            </w:r>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20" w:type="dxa"/>
            <w:vAlign w:val="bottom"/>
            <w:gridSpan w:val="2"/>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r>
      <w:tr>
        <w:trPr>
          <w:trHeight w:val="488"/>
        </w:trPr>
        <w:tc>
          <w:tcPr>
            <w:tcW w:w="12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4"/>
                <w:szCs w:val="24"/>
                <w:color w:val="auto"/>
              </w:rPr>
            </w:pPr>
          </w:p>
        </w:tc>
        <w:tc>
          <w:tcPr>
            <w:tcW w:w="9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w:t>
            </w:r>
          </w:p>
        </w:tc>
      </w:tr>
      <w:tr>
        <w:trPr>
          <w:trHeight w:val="234"/>
        </w:trPr>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486"/>
        </w:trPr>
        <w:tc>
          <w:tcPr>
            <w:tcW w:w="1200" w:type="dxa"/>
            <w:vAlign w:val="bottom"/>
          </w:tcPr>
          <w:p>
            <w:pPr>
              <w:jc w:val="center"/>
              <w:ind w:right="433"/>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86"/>
        </w:trPr>
        <w:tc>
          <w:tcPr>
            <w:tcW w:w="1200" w:type="dxa"/>
            <w:vAlign w:val="bottom"/>
          </w:tcPr>
          <w:p>
            <w:pPr>
              <w:jc w:val="center"/>
              <w:ind w:right="433"/>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86"/>
        </w:trPr>
        <w:tc>
          <w:tcPr>
            <w:tcW w:w="1200" w:type="dxa"/>
            <w:vAlign w:val="bottom"/>
          </w:tcPr>
          <w:p>
            <w:pPr>
              <w:jc w:val="center"/>
              <w:ind w:right="453"/>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86"/>
        </w:trPr>
        <w:tc>
          <w:tcPr>
            <w:tcW w:w="1200" w:type="dxa"/>
            <w:vAlign w:val="bottom"/>
          </w:tcPr>
          <w:p>
            <w:pPr>
              <w:jc w:val="center"/>
              <w:ind w:right="433"/>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486"/>
        </w:trPr>
        <w:tc>
          <w:tcPr>
            <w:tcW w:w="1200" w:type="dxa"/>
            <w:vAlign w:val="bottom"/>
          </w:tcPr>
          <w:p>
            <w:pPr>
              <w:jc w:val="center"/>
              <w:ind w:right="453"/>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52" w:lineRule="exact"/>
        <w:rPr>
          <w:sz w:val="20"/>
          <w:szCs w:val="20"/>
          <w:color w:val="auto"/>
        </w:rPr>
      </w:pPr>
    </w:p>
    <w:p>
      <w:pPr>
        <w:ind w:left="1240" w:right="1000" w:hanging="1214"/>
        <w:spacing w:after="0" w:line="282" w:lineRule="auto"/>
        <w:tabs>
          <w:tab w:leader="none" w:pos="12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from Interactive Data File (formatted as inline XBRL with applicable taxonomy extension information contained in exhibits 101).</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hanging="172"/>
        <w:spacing w:after="0" w:line="282" w:lineRule="auto"/>
        <w:tabs>
          <w:tab w:leader="none" w:pos="17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ORASURE TECHNOLOGIES, INC.</w:t>
      </w:r>
    </w:p>
    <w:p>
      <w:pPr>
        <w:spacing w:after="0" w:line="33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/s/ Kenneth J.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35560</wp:posOffset>
            </wp:positionV>
            <wp:extent cx="3514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59"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7"/>
          <w:szCs w:val="17"/>
          <w:color w:val="auto"/>
        </w:rPr>
        <w:t>Kenneth J. McGrath</w:t>
      </w:r>
    </w:p>
    <w:p>
      <w:pPr>
        <w:spacing w:after="0" w:line="6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3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/s/Michele M.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35560</wp:posOffset>
            </wp:positionV>
            <wp:extent cx="3514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59"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Michele M. Anthony</w:t>
      </w:r>
    </w:p>
    <w:p>
      <w:pPr>
        <w:spacing w:after="0" w:line="6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Senior Vice President, Controller and Chief Accounting Officer</w:t>
      </w:r>
    </w:p>
    <w:p>
      <w:pPr>
        <w:spacing w:after="0" w:line="6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Carrie Eglinton Manner, certify that:</w:t>
      </w:r>
    </w:p>
    <w:p>
      <w:pPr>
        <w:spacing w:after="0" w:line="117" w:lineRule="exact"/>
        <w:rPr>
          <w:sz w:val="20"/>
          <w:szCs w:val="20"/>
          <w:color w:val="auto"/>
        </w:rPr>
      </w:pPr>
    </w:p>
    <w:p>
      <w:pPr>
        <w:ind w:left="1140" w:hanging="1132"/>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OraSure Technologies, Inc.;</w:t>
      </w:r>
    </w:p>
    <w:p>
      <w:pPr>
        <w:spacing w:after="0" w:line="117" w:lineRule="exact"/>
        <w:rPr>
          <w:rFonts w:ascii="Times New Roman" w:cs="Times New Roman" w:eastAsia="Times New Roman" w:hAnsi="Times New Roman"/>
          <w:sz w:val="18"/>
          <w:szCs w:val="18"/>
          <w:color w:val="auto"/>
        </w:rPr>
      </w:pPr>
    </w:p>
    <w:p>
      <w:pPr>
        <w:ind w:left="1140" w:right="100" w:hanging="1132"/>
        <w:spacing w:after="0" w:line="266"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right="380" w:hanging="1132"/>
        <w:spacing w:after="0" w:line="312" w:lineRule="auto"/>
        <w:tabs>
          <w:tab w:leader="none" w:pos="11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jc w:val="both"/>
        <w:ind w:left="1140" w:hanging="1132"/>
        <w:spacing w:after="0" w:line="266"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2280" w:right="20" w:hanging="1138"/>
        <w:spacing w:after="0" w:line="266" w:lineRule="auto"/>
        <w:tabs>
          <w:tab w:leader="none" w:pos="22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1138"/>
        <w:spacing w:after="0" w:line="289" w:lineRule="auto"/>
        <w:tabs>
          <w:tab w:leader="none" w:pos="2268"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280" w:right="320" w:hanging="1138"/>
        <w:spacing w:after="0" w:line="266" w:lineRule="auto"/>
        <w:tabs>
          <w:tab w:leader="none" w:pos="22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60" w:hanging="1138"/>
        <w:spacing w:after="0" w:line="266" w:lineRule="auto"/>
        <w:tabs>
          <w:tab w:leader="none" w:pos="22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140" w:right="720" w:hanging="1132"/>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2280" w:right="240" w:hanging="1138"/>
        <w:spacing w:after="0" w:line="266" w:lineRule="auto"/>
        <w:tabs>
          <w:tab w:leader="none" w:pos="22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8, 2026</w:t>
      </w:r>
    </w:p>
    <w:p>
      <w:pPr>
        <w:spacing w:after="0" w:line="27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/s/ Carrie Eglinton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18415</wp:posOffset>
            </wp:positionV>
            <wp:extent cx="28117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Carrie Eglinton Manner</w:t>
      </w:r>
    </w:p>
    <w:p>
      <w:pPr>
        <w:spacing w:after="0" w:line="11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 Principal Executive Officer )</w:t>
      </w:r>
    </w:p>
    <w:p>
      <w:pPr>
        <w:sectPr>
          <w:pgSz w:w="11900" w:h="16838" w:orient="portrait"/>
          <w:cols w:equalWidth="0" w:num="1">
            <w:col w:w="11240"/>
          </w:cols>
          <w:pgMar w:left="320" w:top="1251"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J. McGrath, certify that:</w:t>
      </w:r>
    </w:p>
    <w:p>
      <w:pPr>
        <w:spacing w:after="0" w:line="117" w:lineRule="exact"/>
        <w:rPr>
          <w:sz w:val="20"/>
          <w:szCs w:val="20"/>
          <w:color w:val="auto"/>
        </w:rPr>
      </w:pPr>
    </w:p>
    <w:p>
      <w:pPr>
        <w:ind w:left="1140" w:hanging="1132"/>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OraSure Technologies, Inc.</w:t>
      </w:r>
    </w:p>
    <w:p>
      <w:pPr>
        <w:spacing w:after="0" w:line="117" w:lineRule="exact"/>
        <w:rPr>
          <w:rFonts w:ascii="Times New Roman" w:cs="Times New Roman" w:eastAsia="Times New Roman" w:hAnsi="Times New Roman"/>
          <w:sz w:val="18"/>
          <w:szCs w:val="18"/>
          <w:color w:val="auto"/>
        </w:rPr>
      </w:pPr>
    </w:p>
    <w:p>
      <w:pPr>
        <w:ind w:left="1140" w:right="100" w:hanging="1132"/>
        <w:spacing w:after="0" w:line="266"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right="380" w:hanging="1132"/>
        <w:spacing w:after="0" w:line="312" w:lineRule="auto"/>
        <w:tabs>
          <w:tab w:leader="none" w:pos="11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jc w:val="both"/>
        <w:ind w:left="1140" w:hanging="1132"/>
        <w:spacing w:after="0" w:line="266"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2280" w:right="20" w:hanging="1138"/>
        <w:spacing w:after="0" w:line="266" w:lineRule="auto"/>
        <w:tabs>
          <w:tab w:leader="none" w:pos="22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1138"/>
        <w:spacing w:after="0" w:line="289" w:lineRule="auto"/>
        <w:tabs>
          <w:tab w:leader="none" w:pos="2268"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280" w:right="320" w:hanging="1138"/>
        <w:spacing w:after="0" w:line="266" w:lineRule="auto"/>
        <w:tabs>
          <w:tab w:leader="none" w:pos="22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60" w:hanging="1138"/>
        <w:spacing w:after="0" w:line="266" w:lineRule="auto"/>
        <w:tabs>
          <w:tab w:leader="none" w:pos="22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140" w:right="720" w:hanging="1132"/>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ind w:left="2280" w:right="240" w:hanging="1138"/>
        <w:spacing w:after="0" w:line="266" w:lineRule="auto"/>
        <w:tabs>
          <w:tab w:leader="none" w:pos="22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8, 2026</w:t>
      </w:r>
    </w:p>
    <w:p>
      <w:pPr>
        <w:spacing w:after="0" w:line="27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/s/ Kenneth J.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18415</wp:posOffset>
            </wp:positionV>
            <wp:extent cx="28117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Kenneth J. McGrath</w:t>
      </w:r>
    </w:p>
    <w:p>
      <w:pPr>
        <w:spacing w:after="0" w:line="11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 Principal Financial Officer )</w:t>
      </w:r>
    </w:p>
    <w:p>
      <w:pPr>
        <w:sectPr>
          <w:pgSz w:w="11900" w:h="16838" w:orient="portrait"/>
          <w:cols w:equalWidth="0" w:num="1">
            <w:col w:w="11240"/>
          </w:cols>
          <w:pgMar w:left="320" w:top="125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OraSure Technologies, Inc. (the “Company”) on Form 10-Q for the quarter ended March 31, 2026 as filed with the Securities and Exchange Commission on the date hereof (the “Report”), I, Carrie Eglinton Manner, President and Chief Executive Officer of the Company, certify, pursuant to 18 U.S.C. §1350, as adopted pursuant to Section 906 of the Sarbanes-Oxley Act of 2002, that:</w:t>
      </w:r>
    </w:p>
    <w:p>
      <w:pPr>
        <w:spacing w:after="0" w:line="68" w:lineRule="exact"/>
        <w:rPr>
          <w:sz w:val="20"/>
          <w:szCs w:val="20"/>
          <w:color w:val="auto"/>
        </w:rPr>
      </w:pPr>
    </w:p>
    <w:p>
      <w:pPr>
        <w:ind w:left="1620" w:hanging="316"/>
        <w:spacing w:after="0"/>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620" w:right="220" w:hanging="316"/>
        <w:spacing w:after="0" w:line="282" w:lineRule="auto"/>
        <w:tabs>
          <w:tab w:leader="none" w:pos="161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Carrie Eglinton Manner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Carrie Eglinton Manner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2026</w:t>
      </w:r>
    </w:p>
    <w:p>
      <w:pPr>
        <w:sectPr>
          <w:pgSz w:w="11900" w:h="16838" w:orient="portrait"/>
          <w:cols w:equalWidth="0" w:num="1">
            <w:col w:w="11240"/>
          </w:cols>
          <w:pgMar w:left="320" w:top="125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18 U.S.C.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OraSure Technologies, Inc. (the “Company”) on Form 10-Q for the quarter ended March 31, 2026 as filed with the Securities and Exchange Commission on the date hereof (the “Report”), I, Kenneth J. McGrath, Chief Financial Officer of the Company, certify, pursuant to 18 U.S.C. §1350, as adopted pursuant to Section 906 of the Sarbanes-Oxley Act of 2002, that:</w:t>
      </w:r>
    </w:p>
    <w:p>
      <w:pPr>
        <w:spacing w:after="0" w:line="68" w:lineRule="exact"/>
        <w:rPr>
          <w:sz w:val="20"/>
          <w:szCs w:val="20"/>
          <w:color w:val="auto"/>
        </w:rPr>
      </w:pPr>
    </w:p>
    <w:p>
      <w:pPr>
        <w:ind w:left="1620" w:hanging="316"/>
        <w:spacing w:after="0"/>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620" w:right="220" w:hanging="316"/>
        <w:spacing w:after="0" w:line="282" w:lineRule="auto"/>
        <w:tabs>
          <w:tab w:leader="none" w:pos="16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Kenneth J. McGrath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J. McGrath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2026</w:t>
      </w:r>
    </w:p>
    <w:sectPr>
      <w:pgSz w:w="11900" w:h="16838" w:orient="portrait"/>
      <w:cols w:equalWidth="0" w:num="1">
        <w:col w:w="11240"/>
      </w:cols>
      <w:pgMar w:left="320" w:top="12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5"/>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9"/>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1"/>
    </w:lvl>
  </w:abstractNum>
  <w:abstractNum w:abstractNumId="9">
    <w:nsid w:val="1BEFD79F"/>
    <w:multiLevelType w:val="hybridMultilevel"/>
    <w:lvl w:ilvl="0">
      <w:lvlJc w:val="left"/>
      <w:lvlText w:val="%1."/>
      <w:numFmt w:val="decimal"/>
      <w:start w:val="12"/>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2"/>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
      <w:numFmt w:val="bullet"/>
      <w:start w:val="1"/>
    </w:lvl>
    <w:lvl w:ilvl="1">
      <w:lvlJc w:val="left"/>
      <w:lvlText w:val="%2"/>
      <w:numFmt w:val="decimal"/>
      <w:start w:val="104"/>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2026-05-08T15:24:47Z</dcterms:created>
  <dcterms:modified xsi:type="dcterms:W3CDTF">2026-05-08T15:24:47Z</dcterms:modified>
</cp:coreProperties>
</file>