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_________</w:t>
      </w:r>
      <w:r>
        <w:rPr>
          <w:rFonts w:ascii="Times New Roman;sans-serif" w:hAnsi="Times New Roman;sans-serif"/>
          <w:b/>
          <w:color w:val="000000"/>
          <w:sz w:val="20"/>
        </w:rPr>
        <w:t xml:space="preserve">to </w:t>
      </w:r>
      <w:r>
        <w:rPr>
          <w:rFonts w:ascii="Times New Roman;sans-serif" w:hAnsi="Times New Roman;sans-serif"/>
          <w:b w:val="false"/>
          <w:color w:val="000000"/>
          <w:sz w:val="20"/>
        </w:rPr>
        <w:t xml:space="preserve">_________ </w:t>
      </w:r>
      <w:r>
        <w:rPr>
          <w:rFonts w:ascii="Times New Roman;sans-serif" w:hAnsi="Times New Roman;sans-serif"/>
          <w:b/>
          <w:color w:val="000000"/>
          <w:sz w:val="20"/>
        </w:rPr>
        <w: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001-16537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ORASURE TECHNOLOGIES,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5039" w:type="dxa"/>
        <w:jc w:val="left"/>
        <w:tblInd w:w="0" w:type="dxa"/>
        <w:tblLayout w:type="fixed"/>
        <w:tblCellMar>
          <w:top w:w="28" w:type="dxa"/>
          <w:left w:w="28" w:type="dxa"/>
          <w:bottom w:w="28" w:type="dxa"/>
          <w:right w:w="28" w:type="dxa"/>
        </w:tblCellMar>
      </w:tblPr>
      <w:tblGrid>
        <w:gridCol w:w="879"/>
        <w:gridCol w:w="771"/>
        <w:gridCol w:w="779"/>
        <w:gridCol w:w="762"/>
        <w:gridCol w:w="762"/>
        <w:gridCol w:w="1086"/>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36-4370966</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949" w:type="dxa"/>
        <w:jc w:val="left"/>
        <w:tblInd w:w="0" w:type="dxa"/>
        <w:tblLayout w:type="fixed"/>
        <w:tblCellMar>
          <w:top w:w="28" w:type="dxa"/>
          <w:left w:w="28" w:type="dxa"/>
          <w:bottom w:w="28" w:type="dxa"/>
          <w:right w:w="28" w:type="dxa"/>
        </w:tblCellMar>
      </w:tblPr>
      <w:tblGrid>
        <w:gridCol w:w="1470"/>
        <w:gridCol w:w="1291"/>
        <w:gridCol w:w="1304"/>
        <w:gridCol w:w="259"/>
        <w:gridCol w:w="259"/>
        <w:gridCol w:w="36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 East First Street, Bethlehem, Pennsylvania</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18015</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(610) 882-1820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 w:after="283"/>
        <w:ind w:left="0" w:right="0" w:firstLine="12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ans-serif" w:hAnsi="Times New Roman;sans-serif"/>
          <w:b w:val="false"/>
          <w:color w:val="000000"/>
          <w:sz w:val="20"/>
        </w:rPr>
        <w:t xml:space="preserve">Indicate by checkmark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As of May 2, 2025, the registrant had 74,800,131 shares of common stock, $0.000001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guarantees of future performance or results. Known and unknown factors that could cause actual performance or results to be materially different from those expressed or implied in these statements include, but are not limited to: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Market acceptance of, and the Company's ability to market and sell, its products and services, whether through its internal, direct sales force or third parties;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Failure of distributors or other customers to meet purchase forecasts, historic purchase levels or minimum purchase requirements for the Company's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Significant customer concentrations that exist or may develop in the future;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manufacture products in accordance with applicable specifications, performance standards and quality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obtain, and timing and cost of obtaining, necessary regulatory approvals for new products or new indications or applications for existing products; ability to comply with applicable regulatory requirements;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effectively resolve warning letters, audit observations and other findings or comments from the U.S. Food and Drug Administration (the "FDA"), or other regulators;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Changes in relationships, including disputes or disagreements, with strategic partners or other parties and reliance on strategic partners for the performance of critical activities under collaborative arrangements;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meet increased demand for its products;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replacing distributors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Inventory levels at distributors and other customers;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achieve its financial and strategic objectives and continue to increase its revenues, including the ability to expand international sales;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competitors, competing products and technology changes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Reduction or deferral of public funding available to customers;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Competition from new or better technology or lower cost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develop, commercialize and market new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fulfill its commitments under its contract with the U.S. government for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COVID-19 Rapid Tests;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Changes in market acceptance of products based on product performance or other factors, including changes in testing guidelines, algorithms or other recommendations by the Centers for Disease Control and Prevention (the "CDC") or other agencies;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fund research and development and other products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obtain and maintain new or existing product distribution channels;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Reliance on sole supply sources for critical products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related products produced by third parties or products required for use of the Company's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contracting with the U.S. government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negative economic conditions on the Company's business;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achieve and maintain sustained profitability;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increase its gross margins;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Company's ability to utilize net operating loss carry forwards or other deferred tax assets;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Volatility of the Company's stock price;</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Uncertainty relating to patent protection and potential patent infringement claims;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Uncertainty and costs of litigation relating to patents, trade secrets and other intellectual property;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Availability of licenses to patents or other technology;</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Ability to enter into international manufacturing agreements;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Obstacles to international marketing and manufacturing of products;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impact of changes in international funding sources and testing algorithms on international sales;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Adverse movements in foreign currency exchange rates;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Loss or impairment of sources of capital;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ability to attract and retain qualified personnel;</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Company's exposure to product liability and other types of litigation;</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Changes in international, federal or state laws and regulations;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Customer consolidations and inventory practices;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Equipment failures and ability to obtain needed raw materials and components;</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 xml:space="preserve">The impact of terrorist attacks and civil unrest, hostilities and war; </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The impact of cybersecurity incidents and other disruptions involving our computer systems or those of our third-party IT service providers, suppliers and customers; and</w:t>
      </w:r>
    </w:p>
    <w:p>
      <w:pPr>
        <w:pStyle w:val="TextBody"/>
        <w:bidi w:val="0"/>
        <w:spacing w:lineRule="auto" w:line="288" w:before="240" w:after="283"/>
        <w:ind w:left="0" w:right="0" w:hanging="270"/>
        <w:jc w:val="both"/>
        <w:rPr/>
      </w:pPr>
      <w:r>
        <w:rPr>
          <w:color w:val="000000"/>
        </w:rPr>
        <w:t>•</w:t>
      </w:r>
      <w:r>
        <w:rPr>
          <w:rFonts w:ascii="Times New Roman;sans-serif" w:hAnsi="Times New Roman;sans-serif"/>
          <w:b w:val="false"/>
          <w:color w:val="000000"/>
          <w:sz w:val="20"/>
        </w:rPr>
        <w:t>General political, business and economic conditions, including interest rates, inflationary pressures, capital market disruptions, changes in governmental agencies, international tariffs, trade protection measures, economic sanctions and economic slowdowns or recession.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2024 filed with the Securities and Exchange Commission (the “SEC”) on March 7, 2025, and in subsequent SEC filings. Although forward-looking statements help to provide information about future prospects, readers should keep in mind that forward-looking statements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3067"/>
        <w:gridCol w:w="2678"/>
        <w:gridCol w:w="2678"/>
        <w:gridCol w:w="518"/>
        <w:gridCol w:w="518"/>
        <w:gridCol w:w="746"/>
      </w:tblGrid>
      <w:tr>
        <w:trPr/>
        <w:tc>
          <w:tcPr>
            <w:tcW w:w="306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5c68caefbdc242ce975c0070bf753cd3_10">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No.</w:t>
            </w:r>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3">
              <w:r>
                <w:rPr>
                  <w:rStyle w:val="InternetLink"/>
                  <w:rFonts w:ascii="Times New Roman;sans-serif" w:hAnsi="Times New Roman;sans-serif"/>
                  <w:b/>
                  <w:strike w:val="false"/>
                  <w:dstrike w:val="false"/>
                  <w:color w:val="000000"/>
                  <w:sz w:val="20"/>
                  <w:u w:val="none"/>
                  <w:effect w:val="none"/>
                </w:rPr>
                <w:t>Item 1. Financial Statements (Unaudited)</w:t>
              </w:r>
            </w:hyperlink>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6">
              <w:r>
                <w:rPr>
                  <w:rStyle w:val="InternetLink"/>
                  <w:rFonts w:ascii="Times New Roman;sans-serif" w:hAnsi="Times New Roman;sans-serif"/>
                  <w:b w:val="false"/>
                  <w:color w:val="000080"/>
                  <w:sz w:val="20"/>
                  <w:u w:val="single"/>
                </w:rPr>
                <w:t xml:space="preserve">Consolidated Balance Sheets at </w:t>
              </w:r>
            </w:hyperlink>
            <w:hyperlink w:anchor="i5c68caefbdc242ce975c0070bf753cd3_16">
              <w:r>
                <w:rPr>
                  <w:rStyle w:val="InternetLink"/>
                  <w:rFonts w:ascii="Times New Roman;sans-serif" w:hAnsi="Times New Roman;sans-serif"/>
                  <w:b w:val="false"/>
                  <w:color w:val="000080"/>
                  <w:sz w:val="20"/>
                  <w:u w:val="single"/>
                </w:rPr>
                <w:t>March 31, 2025</w:t>
              </w:r>
            </w:hyperlink>
            <w:hyperlink w:anchor="i5c68caefbdc242ce975c0070bf753cd3_16">
              <w:r>
                <w:rPr>
                  <w:rStyle w:val="InternetLink"/>
                  <w:rFonts w:ascii="Times New Roman;sans-serif" w:hAnsi="Times New Roman;sans-serif"/>
                  <w:b w:val="false"/>
                  <w:color w:val="000080"/>
                  <w:sz w:val="20"/>
                  <w:u w:val="single"/>
                </w:rPr>
                <w:t xml:space="preserve"> and December 31, 202</w:t>
              </w:r>
            </w:hyperlink>
            <w:r>
              <w:rPr>
                <w:rFonts w:ascii="Times New Roman;sans-serif" w:hAnsi="Times New Roman;sans-serif"/>
                <w:b w:val="false"/>
                <w:color w:val="000000"/>
                <w:sz w:val="20"/>
              </w:rPr>
              <w:t>4</w:t>
            </w:r>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6">
              <w:r>
                <w:rPr>
                  <w:rStyle w:val="InternetLink"/>
                  <w:rFonts w:ascii="Times New Roman;sans-serif" w:hAnsi="Times New Roman;sans-serif"/>
                  <w:b w:val="false"/>
                  <w:strike w:val="false"/>
                  <w:dstrike w:val="false"/>
                  <w:color w:val="000000"/>
                  <w:sz w:val="20"/>
                  <w:u w:val="none"/>
                  <w:effect w:val="none"/>
                </w:rPr>
                <w:t>3</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9">
              <w:r>
                <w:rPr>
                  <w:rStyle w:val="InternetLink"/>
                  <w:rFonts w:ascii="Times New Roman;sans-serif" w:hAnsi="Times New Roman;sans-serif"/>
                  <w:b w:val="false"/>
                  <w:color w:val="000080"/>
                  <w:sz w:val="20"/>
                  <w:u w:val="single"/>
                </w:rPr>
                <w:t xml:space="preserve">Consolidated Statements of Operations for the </w:t>
              </w:r>
            </w:hyperlink>
            <w:hyperlink w:anchor="i5c68caefbdc242ce975c0070bf753cd3_19">
              <w:r>
                <w:rPr>
                  <w:rStyle w:val="InternetLink"/>
                  <w:rFonts w:ascii="Times New Roman;sans-serif" w:hAnsi="Times New Roman;sans-serif"/>
                  <w:b w:val="false"/>
                  <w:color w:val="000080"/>
                  <w:sz w:val="20"/>
                  <w:u w:val="single"/>
                </w:rPr>
                <w:t>T</w:t>
              </w:r>
            </w:hyperlink>
            <w:hyperlink w:anchor="i5c68caefbdc242ce975c0070bf753cd3_19">
              <w:r>
                <w:rPr>
                  <w:rStyle w:val="InternetLink"/>
                  <w:rFonts w:ascii="Times New Roman;sans-serif" w:hAnsi="Times New Roman;sans-serif"/>
                  <w:b w:val="false"/>
                  <w:color w:val="000080"/>
                  <w:sz w:val="20"/>
                  <w:u w:val="single"/>
                </w:rPr>
                <w:t>hree</w:t>
              </w:r>
            </w:hyperlink>
            <w:hyperlink w:anchor="i5c68caefbdc242ce975c0070bf753cd3_19">
              <w:r>
                <w:rPr>
                  <w:rStyle w:val="InternetLink"/>
                  <w:rFonts w:ascii="Times New Roman;sans-serif" w:hAnsi="Times New Roman;sans-serif"/>
                  <w:b w:val="false"/>
                  <w:color w:val="000080"/>
                  <w:sz w:val="20"/>
                  <w:u w:val="single"/>
                </w:rPr>
                <w:t xml:space="preserve"> </w:t>
              </w:r>
            </w:hyperlink>
            <w:hyperlink w:anchor="i5c68caefbdc242ce975c0070bf753cd3_19">
              <w:r>
                <w:rPr>
                  <w:rStyle w:val="InternetLink"/>
                  <w:rFonts w:ascii="Times New Roman;sans-serif" w:hAnsi="Times New Roman;sans-serif"/>
                  <w:b w:val="false"/>
                  <w:color w:val="000080"/>
                  <w:sz w:val="20"/>
                  <w:u w:val="single"/>
                </w:rPr>
                <w:t>M</w:t>
              </w:r>
            </w:hyperlink>
            <w:hyperlink w:anchor="i5c68caefbdc242ce975c0070bf753cd3_19">
              <w:r>
                <w:rPr>
                  <w:rStyle w:val="InternetLink"/>
                  <w:rFonts w:ascii="Times New Roman;sans-serif" w:hAnsi="Times New Roman;sans-serif"/>
                  <w:b w:val="false"/>
                  <w:color w:val="000080"/>
                  <w:sz w:val="20"/>
                  <w:u w:val="single"/>
                </w:rPr>
                <w:t xml:space="preserve">onths </w:t>
              </w:r>
            </w:hyperlink>
            <w:hyperlink w:anchor="i5c68caefbdc242ce975c0070bf753cd3_19">
              <w:r>
                <w:rPr>
                  <w:rStyle w:val="InternetLink"/>
                  <w:rFonts w:ascii="Times New Roman;sans-serif" w:hAnsi="Times New Roman;sans-serif"/>
                  <w:b w:val="false"/>
                  <w:color w:val="000080"/>
                  <w:sz w:val="20"/>
                  <w:u w:val="single"/>
                </w:rPr>
                <w:t>E</w:t>
              </w:r>
            </w:hyperlink>
            <w:hyperlink w:anchor="i5c68caefbdc242ce975c0070bf753cd3_19">
              <w:r>
                <w:rPr>
                  <w:rStyle w:val="InternetLink"/>
                  <w:rFonts w:ascii="Times New Roman;sans-serif" w:hAnsi="Times New Roman;sans-serif"/>
                  <w:b w:val="false"/>
                  <w:color w:val="000080"/>
                  <w:sz w:val="20"/>
                  <w:u w:val="single"/>
                </w:rPr>
                <w:t xml:space="preserve">nded </w:t>
              </w:r>
            </w:hyperlink>
            <w:hyperlink w:anchor="i5c68caefbdc242ce975c0070bf753cd3_19">
              <w:r>
                <w:rPr>
                  <w:rStyle w:val="InternetLink"/>
                  <w:rFonts w:ascii="Times New Roman;sans-serif" w:hAnsi="Times New Roman;sans-serif"/>
                  <w:b w:val="false"/>
                  <w:color w:val="000080"/>
                  <w:sz w:val="20"/>
                  <w:u w:val="single"/>
                </w:rPr>
                <w:t>March 31</w:t>
              </w:r>
            </w:hyperlink>
            <w:hyperlink w:anchor="i5c68caefbdc242ce975c0070bf753cd3_19">
              <w:r>
                <w:rPr>
                  <w:rStyle w:val="InternetLink"/>
                  <w:rFonts w:ascii="Times New Roman;sans-serif" w:hAnsi="Times New Roman;sans-serif"/>
                  <w:b w:val="false"/>
                  <w:color w:val="000080"/>
                  <w:sz w:val="20"/>
                  <w:u w:val="single"/>
                </w:rPr>
                <w:t>, 202</w:t>
              </w:r>
            </w:hyperlink>
            <w:hyperlink w:anchor="i5c68caefbdc242ce975c0070bf753cd3_19">
              <w:r>
                <w:rPr>
                  <w:rStyle w:val="InternetLink"/>
                  <w:rFonts w:ascii="Times New Roman;sans-serif" w:hAnsi="Times New Roman;sans-serif"/>
                  <w:b w:val="false"/>
                  <w:color w:val="000080"/>
                  <w:sz w:val="20"/>
                  <w:u w:val="single"/>
                </w:rPr>
                <w:t>5</w:t>
              </w:r>
            </w:hyperlink>
            <w:hyperlink w:anchor="i5c68caefbdc242ce975c0070bf753cd3_19">
              <w:r>
                <w:rPr>
                  <w:rStyle w:val="InternetLink"/>
                  <w:rFonts w:ascii="Times New Roman;sans-serif" w:hAnsi="Times New Roman;sans-serif"/>
                  <w:b w:val="false"/>
                  <w:color w:val="000080"/>
                  <w:sz w:val="20"/>
                  <w:u w:val="single"/>
                </w:rPr>
                <w:t xml:space="preserve"> and 202</w:t>
              </w:r>
            </w:hyperlink>
            <w:hyperlink w:anchor="i5c68caefbdc242ce975c0070bf753cd3_19">
              <w:r>
                <w:rPr>
                  <w:rStyle w:val="InternetLink"/>
                  <w:rFonts w:ascii="Times New Roman;sans-serif" w:hAnsi="Times New Roman;sans-serif"/>
                  <w:b w:val="false"/>
                  <w:color w:val="000080"/>
                  <w:sz w:val="20"/>
                  <w:u w:val="single"/>
                </w:rPr>
                <w:t>4</w:t>
              </w:r>
            </w:hyperlink>
            <w:hyperlink w:anchor="i5c68caefbdc242ce975c0070bf753cd3_19">
              <w:r>
                <w:rPr>
                  <w:rStyle w:val="InternetLink"/>
                  <w:rFonts w:ascii="Times New Roman;sans-serif" w:hAnsi="Times New Roman;sans-serif"/>
                  <w:b w:val="false"/>
                  <w:color w:val="000080"/>
                  <w:sz w:val="20"/>
                  <w:u w:val="single"/>
                </w:rPr>
                <w:t xml:space="preserve"> </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9">
              <w:r>
                <w:rPr>
                  <w:rStyle w:val="InternetLink"/>
                  <w:rFonts w:ascii="Times New Roman;sans-serif" w:hAnsi="Times New Roman;sans-serif"/>
                  <w:b w:val="false"/>
                  <w:strike w:val="false"/>
                  <w:dstrike w:val="false"/>
                  <w:color w:val="000000"/>
                  <w:sz w:val="20"/>
                  <w:u w:val="none"/>
                  <w:effect w:val="none"/>
                </w:rPr>
                <w:t>4</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68caefbdc242ce975c0070bf753cd3_22">
              <w:r>
                <w:rPr>
                  <w:rStyle w:val="InternetLink"/>
                  <w:rFonts w:ascii="Times New Roman;sans-serif" w:hAnsi="Times New Roman;sans-serif"/>
                  <w:b w:val="false"/>
                  <w:color w:val="000080"/>
                  <w:sz w:val="20"/>
                  <w:u w:val="single"/>
                </w:rPr>
                <w:t>Consolidated Statements of Comprehensive</w:t>
              </w:r>
            </w:hyperlink>
            <w:hyperlink w:anchor="i5c68caefbdc242ce975c0070bf753cd3_22">
              <w:r>
                <w:rPr>
                  <w:rStyle w:val="InternetLink"/>
                  <w:rFonts w:ascii="Times New Roman;sans-serif" w:hAnsi="Times New Roman;sans-serif"/>
                  <w:b w:val="false"/>
                  <w:color w:val="000080"/>
                  <w:sz w:val="20"/>
                  <w:u w:val="single"/>
                </w:rPr>
                <w:t xml:space="preserve"> </w:t>
              </w:r>
            </w:hyperlink>
            <w:hyperlink w:anchor="i5c68caefbdc242ce975c0070bf753cd3_22">
              <w:r>
                <w:rPr>
                  <w:rStyle w:val="InternetLink"/>
                  <w:rFonts w:ascii="Times New Roman;sans-serif" w:hAnsi="Times New Roman;sans-serif"/>
                  <w:b w:val="false"/>
                  <w:color w:val="000080"/>
                  <w:sz w:val="20"/>
                  <w:u w:val="single"/>
                </w:rPr>
                <w:t>Los</w:t>
              </w:r>
            </w:hyperlink>
            <w:hyperlink w:anchor="i5c68caefbdc242ce975c0070bf753cd3_22">
              <w:r>
                <w:rPr>
                  <w:rStyle w:val="InternetLink"/>
                  <w:rFonts w:ascii="Times New Roman;sans-serif" w:hAnsi="Times New Roman;sans-serif"/>
                  <w:b w:val="false"/>
                  <w:color w:val="000080"/>
                  <w:sz w:val="20"/>
                  <w:u w:val="single"/>
                </w:rPr>
                <w:t>s</w:t>
              </w:r>
            </w:hyperlink>
            <w:hyperlink w:anchor="i5c68caefbdc242ce975c0070bf753cd3_22">
              <w:r>
                <w:rPr>
                  <w:rStyle w:val="InternetLink"/>
                  <w:rFonts w:ascii="Times New Roman;sans-serif" w:hAnsi="Times New Roman;sans-serif"/>
                  <w:b w:val="false"/>
                  <w:color w:val="000080"/>
                  <w:sz w:val="20"/>
                  <w:u w:val="single"/>
                </w:rPr>
                <w:t xml:space="preserve"> for the </w:t>
              </w:r>
            </w:hyperlink>
            <w:hyperlink w:anchor="i5c68caefbdc242ce975c0070bf753cd3_22">
              <w:r>
                <w:rPr>
                  <w:rStyle w:val="InternetLink"/>
                  <w:rFonts w:ascii="Times New Roman;sans-serif" w:hAnsi="Times New Roman;sans-serif"/>
                  <w:b w:val="false"/>
                  <w:color w:val="000080"/>
                  <w:sz w:val="20"/>
                  <w:u w:val="single"/>
                </w:rPr>
                <w:t>T</w:t>
              </w:r>
            </w:hyperlink>
            <w:hyperlink w:anchor="i5c68caefbdc242ce975c0070bf753cd3_22">
              <w:r>
                <w:rPr>
                  <w:rStyle w:val="InternetLink"/>
                  <w:rFonts w:ascii="Times New Roman;sans-serif" w:hAnsi="Times New Roman;sans-serif"/>
                  <w:b w:val="false"/>
                  <w:color w:val="000080"/>
                  <w:sz w:val="20"/>
                  <w:u w:val="single"/>
                </w:rPr>
                <w:t xml:space="preserve">hree </w:t>
              </w:r>
            </w:hyperlink>
            <w:hyperlink w:anchor="i5c68caefbdc242ce975c0070bf753cd3_22">
              <w:r>
                <w:rPr>
                  <w:rStyle w:val="InternetLink"/>
                  <w:rFonts w:ascii="Times New Roman;sans-serif" w:hAnsi="Times New Roman;sans-serif"/>
                  <w:b w:val="false"/>
                  <w:color w:val="000080"/>
                  <w:sz w:val="20"/>
                  <w:u w:val="single"/>
                </w:rPr>
                <w:t>M</w:t>
              </w:r>
            </w:hyperlink>
            <w:hyperlink w:anchor="i5c68caefbdc242ce975c0070bf753cd3_22">
              <w:r>
                <w:rPr>
                  <w:rStyle w:val="InternetLink"/>
                  <w:rFonts w:ascii="Times New Roman;sans-serif" w:hAnsi="Times New Roman;sans-serif"/>
                  <w:b w:val="false"/>
                  <w:color w:val="000080"/>
                  <w:sz w:val="20"/>
                  <w:u w:val="single"/>
                </w:rPr>
                <w:t xml:space="preserve">onths </w:t>
              </w:r>
            </w:hyperlink>
            <w:hyperlink w:anchor="i5c68caefbdc242ce975c0070bf753cd3_22">
              <w:r>
                <w:rPr>
                  <w:rStyle w:val="InternetLink"/>
                  <w:rFonts w:ascii="Times New Roman;sans-serif" w:hAnsi="Times New Roman;sans-serif"/>
                  <w:b w:val="false"/>
                  <w:color w:val="000080"/>
                  <w:sz w:val="20"/>
                  <w:u w:val="single"/>
                </w:rPr>
                <w:t>E</w:t>
              </w:r>
            </w:hyperlink>
            <w:hyperlink w:anchor="i5c68caefbdc242ce975c0070bf753cd3_22">
              <w:r>
                <w:rPr>
                  <w:rStyle w:val="InternetLink"/>
                  <w:rFonts w:ascii="Times New Roman;sans-serif" w:hAnsi="Times New Roman;sans-serif"/>
                  <w:b w:val="false"/>
                  <w:color w:val="000080"/>
                  <w:sz w:val="20"/>
                  <w:u w:val="single"/>
                </w:rPr>
                <w:t xml:space="preserve">nded </w:t>
              </w:r>
            </w:hyperlink>
            <w:hyperlink w:anchor="i5c68caefbdc242ce975c0070bf753cd3_22">
              <w:r>
                <w:rPr>
                  <w:rStyle w:val="InternetLink"/>
                  <w:rFonts w:ascii="Times New Roman;sans-serif" w:hAnsi="Times New Roman;sans-serif"/>
                  <w:b w:val="false"/>
                  <w:color w:val="000080"/>
                  <w:sz w:val="20"/>
                  <w:u w:val="single"/>
                </w:rPr>
                <w:t>March</w:t>
              </w:r>
            </w:hyperlink>
            <w:hyperlink w:anchor="i5c68caefbdc242ce975c0070bf753cd3_22">
              <w:r>
                <w:rPr>
                  <w:rStyle w:val="InternetLink"/>
                  <w:rFonts w:ascii="Times New Roman;sans-serif" w:hAnsi="Times New Roman;sans-serif"/>
                  <w:b w:val="false"/>
                  <w:color w:val="000080"/>
                  <w:sz w:val="20"/>
                  <w:u w:val="single"/>
                </w:rPr>
                <w:t xml:space="preserve"> 3</w:t>
              </w:r>
            </w:hyperlink>
            <w:hyperlink w:anchor="i5c68caefbdc242ce975c0070bf753cd3_22">
              <w:r>
                <w:rPr>
                  <w:rStyle w:val="InternetLink"/>
                  <w:rFonts w:ascii="Times New Roman;sans-serif" w:hAnsi="Times New Roman;sans-serif"/>
                  <w:b w:val="false"/>
                  <w:color w:val="000080"/>
                  <w:sz w:val="20"/>
                  <w:u w:val="single"/>
                </w:rPr>
                <w:t>1</w:t>
              </w:r>
            </w:hyperlink>
            <w:hyperlink w:anchor="i5c68caefbdc242ce975c0070bf753cd3_22">
              <w:r>
                <w:rPr>
                  <w:rStyle w:val="InternetLink"/>
                  <w:rFonts w:ascii="Times New Roman;sans-serif" w:hAnsi="Times New Roman;sans-serif"/>
                  <w:b w:val="false"/>
                  <w:color w:val="000080"/>
                  <w:sz w:val="20"/>
                  <w:u w:val="single"/>
                </w:rPr>
                <w:t>, 202</w:t>
              </w:r>
            </w:hyperlink>
            <w:hyperlink w:anchor="i5c68caefbdc242ce975c0070bf753cd3_22">
              <w:r>
                <w:rPr>
                  <w:rStyle w:val="InternetLink"/>
                  <w:rFonts w:ascii="Times New Roman;sans-serif" w:hAnsi="Times New Roman;sans-serif"/>
                  <w:b w:val="false"/>
                  <w:color w:val="000080"/>
                  <w:sz w:val="20"/>
                  <w:u w:val="single"/>
                </w:rPr>
                <w:t>5</w:t>
              </w:r>
            </w:hyperlink>
            <w:hyperlink w:anchor="i5c68caefbdc242ce975c0070bf753cd3_22">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22">
              <w:r>
                <w:rPr>
                  <w:rStyle w:val="InternetLink"/>
                  <w:rFonts w:ascii="Times New Roman;sans-serif" w:hAnsi="Times New Roman;sans-serif"/>
                  <w:b w:val="false"/>
                  <w:strike w:val="false"/>
                  <w:dstrike w:val="false"/>
                  <w:color w:val="000000"/>
                  <w:sz w:val="20"/>
                  <w:u w:val="none"/>
                  <w:effect w:val="none"/>
                </w:rPr>
                <w:t>5</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25">
              <w:r>
                <w:rPr>
                  <w:rStyle w:val="InternetLink"/>
                  <w:rFonts w:ascii="Times New Roman;sans-serif" w:hAnsi="Times New Roman;sans-serif"/>
                  <w:b w:val="false"/>
                  <w:color w:val="000080"/>
                  <w:sz w:val="20"/>
                  <w:u w:val="single"/>
                </w:rPr>
                <w:t xml:space="preserve">Consolidated Statements of Cash Flows for </w:t>
              </w:r>
            </w:hyperlink>
            <w:hyperlink w:anchor="i5c68caefbdc242ce975c0070bf753cd3_25">
              <w:r>
                <w:rPr>
                  <w:rStyle w:val="InternetLink"/>
                  <w:rFonts w:ascii="Times New Roman;sans-serif" w:hAnsi="Times New Roman;sans-serif"/>
                  <w:b w:val="false"/>
                  <w:color w:val="000080"/>
                  <w:sz w:val="20"/>
                  <w:u w:val="single"/>
                </w:rPr>
                <w:t>t</w:t>
              </w:r>
            </w:hyperlink>
            <w:hyperlink w:anchor="i5c68caefbdc242ce975c0070bf753cd3_25">
              <w:r>
                <w:rPr>
                  <w:rStyle w:val="InternetLink"/>
                  <w:rFonts w:ascii="Times New Roman;sans-serif" w:hAnsi="Times New Roman;sans-serif"/>
                  <w:b w:val="false"/>
                  <w:color w:val="000080"/>
                  <w:sz w:val="20"/>
                  <w:u w:val="single"/>
                </w:rPr>
                <w:t xml:space="preserve">he </w:t>
              </w:r>
            </w:hyperlink>
            <w:hyperlink w:anchor="i5c68caefbdc242ce975c0070bf753cd3_25">
              <w:r>
                <w:rPr>
                  <w:rStyle w:val="InternetLink"/>
                  <w:rFonts w:ascii="Times New Roman;sans-serif" w:hAnsi="Times New Roman;sans-serif"/>
                  <w:b w:val="false"/>
                  <w:color w:val="000080"/>
                  <w:sz w:val="20"/>
                  <w:u w:val="single"/>
                </w:rPr>
                <w:t>T</w:t>
              </w:r>
            </w:hyperlink>
            <w:hyperlink w:anchor="i5c68caefbdc242ce975c0070bf753cd3_25">
              <w:r>
                <w:rPr>
                  <w:rStyle w:val="InternetLink"/>
                  <w:rFonts w:ascii="Times New Roman;sans-serif" w:hAnsi="Times New Roman;sans-serif"/>
                  <w:b w:val="false"/>
                  <w:color w:val="000080"/>
                  <w:sz w:val="20"/>
                  <w:u w:val="single"/>
                </w:rPr>
                <w:t>hree</w:t>
              </w:r>
            </w:hyperlink>
            <w:hyperlink w:anchor="i5c68caefbdc242ce975c0070bf753cd3_25">
              <w:r>
                <w:rPr>
                  <w:rStyle w:val="InternetLink"/>
                  <w:rFonts w:ascii="Times New Roman;sans-serif" w:hAnsi="Times New Roman;sans-serif"/>
                  <w:b w:val="false"/>
                  <w:color w:val="000080"/>
                  <w:sz w:val="20"/>
                  <w:u w:val="single"/>
                </w:rPr>
                <w:t xml:space="preserve"> </w:t>
              </w:r>
            </w:hyperlink>
            <w:hyperlink w:anchor="i5c68caefbdc242ce975c0070bf753cd3_25">
              <w:r>
                <w:rPr>
                  <w:rStyle w:val="InternetLink"/>
                  <w:rFonts w:ascii="Times New Roman;sans-serif" w:hAnsi="Times New Roman;sans-serif"/>
                  <w:b w:val="false"/>
                  <w:color w:val="000080"/>
                  <w:sz w:val="20"/>
                  <w:u w:val="single"/>
                </w:rPr>
                <w:t>M</w:t>
              </w:r>
            </w:hyperlink>
            <w:hyperlink w:anchor="i5c68caefbdc242ce975c0070bf753cd3_25">
              <w:r>
                <w:rPr>
                  <w:rStyle w:val="InternetLink"/>
                  <w:rFonts w:ascii="Times New Roman;sans-serif" w:hAnsi="Times New Roman;sans-serif"/>
                  <w:b w:val="false"/>
                  <w:color w:val="000080"/>
                  <w:sz w:val="20"/>
                  <w:u w:val="single"/>
                </w:rPr>
                <w:t xml:space="preserve">onths </w:t>
              </w:r>
            </w:hyperlink>
            <w:hyperlink w:anchor="i5c68caefbdc242ce975c0070bf753cd3_25">
              <w:r>
                <w:rPr>
                  <w:rStyle w:val="InternetLink"/>
                  <w:rFonts w:ascii="Times New Roman;sans-serif" w:hAnsi="Times New Roman;sans-serif"/>
                  <w:b w:val="false"/>
                  <w:color w:val="000080"/>
                  <w:sz w:val="20"/>
                  <w:u w:val="single"/>
                </w:rPr>
                <w:t>E</w:t>
              </w:r>
            </w:hyperlink>
            <w:hyperlink w:anchor="i5c68caefbdc242ce975c0070bf753cd3_25">
              <w:r>
                <w:rPr>
                  <w:rStyle w:val="InternetLink"/>
                  <w:rFonts w:ascii="Times New Roman;sans-serif" w:hAnsi="Times New Roman;sans-serif"/>
                  <w:b w:val="false"/>
                  <w:color w:val="000080"/>
                  <w:sz w:val="20"/>
                  <w:u w:val="single"/>
                </w:rPr>
                <w:t xml:space="preserve">nded </w:t>
              </w:r>
            </w:hyperlink>
            <w:hyperlink w:anchor="i5c68caefbdc242ce975c0070bf753cd3_25">
              <w:r>
                <w:rPr>
                  <w:rStyle w:val="InternetLink"/>
                  <w:rFonts w:ascii="Times New Roman;sans-serif" w:hAnsi="Times New Roman;sans-serif"/>
                  <w:b w:val="false"/>
                  <w:color w:val="000080"/>
                  <w:sz w:val="20"/>
                  <w:u w:val="single"/>
                </w:rPr>
                <w:t>March 31</w:t>
              </w:r>
            </w:hyperlink>
            <w:hyperlink w:anchor="i5c68caefbdc242ce975c0070bf753cd3_25">
              <w:r>
                <w:rPr>
                  <w:rStyle w:val="InternetLink"/>
                  <w:rFonts w:ascii="Times New Roman;sans-serif" w:hAnsi="Times New Roman;sans-serif"/>
                  <w:b w:val="false"/>
                  <w:color w:val="000080"/>
                  <w:sz w:val="20"/>
                  <w:u w:val="single"/>
                </w:rPr>
                <w:t>, 202</w:t>
              </w:r>
            </w:hyperlink>
            <w:hyperlink w:anchor="i5c68caefbdc242ce975c0070bf753cd3_25">
              <w:r>
                <w:rPr>
                  <w:rStyle w:val="InternetLink"/>
                  <w:rFonts w:ascii="Times New Roman;sans-serif" w:hAnsi="Times New Roman;sans-serif"/>
                  <w:b w:val="false"/>
                  <w:color w:val="000080"/>
                  <w:sz w:val="20"/>
                  <w:u w:val="single"/>
                </w:rPr>
                <w:t>5</w:t>
              </w:r>
            </w:hyperlink>
            <w:hyperlink w:anchor="i5c68caefbdc242ce975c0070bf753cd3_25">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25">
              <w:r>
                <w:rPr>
                  <w:rStyle w:val="InternetLink"/>
                  <w:rFonts w:ascii="Times New Roman;sans-serif" w:hAnsi="Times New Roman;sans-serif"/>
                  <w:b w:val="false"/>
                  <w:strike w:val="false"/>
                  <w:dstrike w:val="false"/>
                  <w:color w:val="000000"/>
                  <w:sz w:val="20"/>
                  <w:u w:val="none"/>
                  <w:effect w:val="none"/>
                </w:rPr>
                <w:t>6</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28">
              <w:r>
                <w:rPr>
                  <w:rStyle w:val="InternetLink"/>
                  <w:rFonts w:ascii="Times New Roman;sans-serif" w:hAnsi="Times New Roman;sans-serif"/>
                  <w:b w:val="false"/>
                  <w:color w:val="0000FF"/>
                  <w:sz w:val="20"/>
                  <w:u w:val="single"/>
                </w:rPr>
                <w:t>Notes to the Consolidated Financial Statements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28">
              <w:r>
                <w:rPr>
                  <w:rStyle w:val="InternetLink"/>
                  <w:rFonts w:ascii="Times New Roman;sans-serif" w:hAnsi="Times New Roman;sans-serif"/>
                  <w:b w:val="false"/>
                  <w:strike w:val="false"/>
                  <w:dstrike w:val="false"/>
                  <w:color w:val="000000"/>
                  <w:sz w:val="20"/>
                  <w:u w:val="none"/>
                  <w:effect w:val="none"/>
                </w:rPr>
                <w:t>7</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24">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24">
              <w:r>
                <w:rPr>
                  <w:rStyle w:val="InternetLink"/>
                  <w:rFonts w:ascii="Times New Roman;sans-serif" w:hAnsi="Times New Roman;sans-serif"/>
                  <w:b w:val="false"/>
                  <w:strike w:val="false"/>
                  <w:dstrike w:val="false"/>
                  <w:color w:val="000000"/>
                  <w:sz w:val="20"/>
                  <w:u w:val="none"/>
                  <w:effect w:val="none"/>
                </w:rPr>
                <w:t>23</w:t>
              </w:r>
            </w:hyperlink>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72">
              <w:r>
                <w:rPr>
                  <w:rStyle w:val="InternetLink"/>
                  <w:rFonts w:ascii="Times New Roman;sans-serif" w:hAnsi="Times New Roman;sans-serif"/>
                  <w:b/>
                  <w:color w:val="0000FF"/>
                  <w:sz w:val="20"/>
                  <w:u w:val="single"/>
                </w:rPr>
                <w:t>Item 3. Quantitative and Qualitative Disclosures About Market Risk</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72">
              <w:r>
                <w:rPr>
                  <w:rStyle w:val="InternetLink"/>
                  <w:rFonts w:ascii="Times New Roman;sans-serif" w:hAnsi="Times New Roman;sans-serif"/>
                  <w:b w:val="false"/>
                  <w:strike w:val="false"/>
                  <w:dstrike w:val="false"/>
                  <w:color w:val="000000"/>
                  <w:sz w:val="20"/>
                  <w:u w:val="none"/>
                  <w:effect w:val="none"/>
                </w:rPr>
                <w:t>27</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75">
              <w:r>
                <w:rPr>
                  <w:rStyle w:val="InternetLink"/>
                  <w:rFonts w:ascii="Times New Roman;sans-serif" w:hAnsi="Times New Roman;sans-serif"/>
                  <w:b/>
                  <w:color w:val="0000FF"/>
                  <w:sz w:val="20"/>
                  <w:u w:val="single"/>
                </w:rPr>
                <w:t>Item 4. Controls and Procedures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75">
              <w:r>
                <w:rPr>
                  <w:rStyle w:val="InternetLink"/>
                  <w:rFonts w:ascii="Times New Roman;sans-serif" w:hAnsi="Times New Roman;sans-serif"/>
                  <w:b w:val="false"/>
                  <w:strike w:val="false"/>
                  <w:dstrike w:val="false"/>
                  <w:color w:val="000000"/>
                  <w:sz w:val="20"/>
                  <w:u w:val="none"/>
                  <w:effect w:val="none"/>
                </w:rPr>
                <w:t>27</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5c68caefbdc242ce975c0070bf753cd3_178">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81">
              <w:r>
                <w:rPr>
                  <w:rStyle w:val="InternetLink"/>
                  <w:rFonts w:ascii="Times New Roman;sans-serif" w:hAnsi="Times New Roman;sans-serif"/>
                  <w:b/>
                  <w:color w:val="0000FF"/>
                  <w:sz w:val="20"/>
                  <w:u w:val="single"/>
                </w:rPr>
                <w:t>Item 1. Legal Proceedings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81">
              <w:r>
                <w:rPr>
                  <w:rStyle w:val="InternetLink"/>
                  <w:rFonts w:ascii="Times New Roman;sans-serif" w:hAnsi="Times New Roman;sans-serif"/>
                  <w:b w:val="false"/>
                  <w:strike w:val="false"/>
                  <w:dstrike w:val="false"/>
                  <w:color w:val="000000"/>
                  <w:sz w:val="20"/>
                  <w:u w:val="none"/>
                  <w:effect w:val="none"/>
                </w:rPr>
                <w:t>28</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84">
              <w:r>
                <w:rPr>
                  <w:rStyle w:val="InternetLink"/>
                  <w:rFonts w:ascii="Times New Roman;sans-serif" w:hAnsi="Times New Roman;sans-serif"/>
                  <w:b/>
                  <w:color w:val="0000FF"/>
                  <w:sz w:val="20"/>
                  <w:u w:val="single"/>
                </w:rPr>
                <w:t>Item 1A. Risk Factors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84">
              <w:r>
                <w:rPr>
                  <w:rStyle w:val="InternetLink"/>
                  <w:rFonts w:ascii="Times New Roman;sans-serif" w:hAnsi="Times New Roman;sans-serif"/>
                  <w:b w:val="false"/>
                  <w:strike w:val="false"/>
                  <w:dstrike w:val="false"/>
                  <w:color w:val="000000"/>
                  <w:sz w:val="20"/>
                  <w:u w:val="none"/>
                  <w:effect w:val="none"/>
                </w:rPr>
                <w:t>28</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87">
              <w:r>
                <w:rPr>
                  <w:rStyle w:val="InternetLink"/>
                  <w:rFonts w:ascii="Times New Roman;sans-serif" w:hAnsi="Times New Roman;sans-serif"/>
                  <w:b/>
                  <w:color w:val="0000FF"/>
                  <w:sz w:val="20"/>
                  <w:u w:val="single"/>
                </w:rPr>
                <w:t>Item 2. Unregistered Sales of Equity Securities and Use of Proceeds</w:t>
              </w:r>
            </w:hyperlink>
            <w:r>
              <w:rPr>
                <w:color w:val="000000"/>
              </w:rPr>
              <w:t xml:space="preserve"> </w:t>
            </w:r>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87">
              <w:r>
                <w:rPr>
                  <w:rStyle w:val="InternetLink"/>
                  <w:rFonts w:ascii="Times New Roman;sans-serif" w:hAnsi="Times New Roman;sans-serif"/>
                  <w:b w:val="false"/>
                  <w:strike w:val="false"/>
                  <w:dstrike w:val="false"/>
                  <w:color w:val="000000"/>
                  <w:sz w:val="20"/>
                  <w:u w:val="none"/>
                  <w:effect w:val="none"/>
                </w:rPr>
                <w:t>30</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90">
              <w:r>
                <w:rPr>
                  <w:rStyle w:val="InternetLink"/>
                  <w:rFonts w:ascii="Times New Roman;sans-serif" w:hAnsi="Times New Roman;sans-serif"/>
                  <w:b/>
                  <w:color w:val="0000FF"/>
                  <w:sz w:val="20"/>
                  <w:u w:val="single"/>
                </w:rPr>
                <w:t>Item 3. Defaults Upon Senior Securities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90">
              <w:r>
                <w:rPr>
                  <w:rStyle w:val="InternetLink"/>
                  <w:rFonts w:ascii="Times New Roman;sans-serif" w:hAnsi="Times New Roman;sans-serif"/>
                  <w:b w:val="false"/>
                  <w:strike w:val="false"/>
                  <w:dstrike w:val="false"/>
                  <w:color w:val="000000"/>
                  <w:sz w:val="20"/>
                  <w:u w:val="none"/>
                  <w:effect w:val="none"/>
                </w:rPr>
                <w:t>30</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93">
              <w:r>
                <w:rPr>
                  <w:rStyle w:val="InternetLink"/>
                  <w:rFonts w:ascii="Times New Roman;sans-serif" w:hAnsi="Times New Roman;sans-serif"/>
                  <w:b/>
                  <w:color w:val="0000FF"/>
                  <w:sz w:val="20"/>
                  <w:u w:val="single"/>
                </w:rPr>
                <w:t>Item 4. Mine Safety Disclosures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93">
              <w:r>
                <w:rPr>
                  <w:rStyle w:val="InternetLink"/>
                  <w:rFonts w:ascii="Times New Roman;sans-serif" w:hAnsi="Times New Roman;sans-serif"/>
                  <w:b w:val="false"/>
                  <w:strike w:val="false"/>
                  <w:dstrike w:val="false"/>
                  <w:color w:val="000000"/>
                  <w:sz w:val="20"/>
                  <w:u w:val="none"/>
                  <w:effect w:val="none"/>
                </w:rPr>
                <w:t>30</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196">
              <w:r>
                <w:rPr>
                  <w:rStyle w:val="InternetLink"/>
                  <w:rFonts w:ascii="Times New Roman;sans-serif" w:hAnsi="Times New Roman;sans-serif"/>
                  <w:b/>
                  <w:color w:val="0000FF"/>
                  <w:sz w:val="20"/>
                  <w:u w:val="single"/>
                </w:rPr>
                <w:t>Item 5. Other Information</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196">
              <w:r>
                <w:rPr>
                  <w:rStyle w:val="InternetLink"/>
                  <w:rFonts w:ascii="Times New Roman;sans-serif" w:hAnsi="Times New Roman;sans-serif"/>
                  <w:b w:val="false"/>
                  <w:strike w:val="false"/>
                  <w:dstrike w:val="false"/>
                  <w:color w:val="000000"/>
                  <w:sz w:val="20"/>
                  <w:u w:val="none"/>
                  <w:effect w:val="none"/>
                </w:rPr>
                <w:t>30</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202">
              <w:r>
                <w:rPr>
                  <w:rStyle w:val="InternetLink"/>
                  <w:rFonts w:ascii="Times New Roman;sans-serif" w:hAnsi="Times New Roman;sans-serif"/>
                  <w:b/>
                  <w:color w:val="0000FF"/>
                  <w:sz w:val="20"/>
                  <w:u w:val="single"/>
                </w:rPr>
                <w:t>Item 6. Exhibits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202">
              <w:r>
                <w:rPr>
                  <w:rStyle w:val="InternetLink"/>
                  <w:rFonts w:ascii="Times New Roman;sans-serif" w:hAnsi="Times New Roman;sans-serif"/>
                  <w:b w:val="false"/>
                  <w:strike w:val="false"/>
                  <w:dstrike w:val="false"/>
                  <w:color w:val="000000"/>
                  <w:sz w:val="20"/>
                  <w:u w:val="none"/>
                  <w:effect w:val="none"/>
                </w:rPr>
                <w:t>31</w:t>
              </w:r>
            </w:hyperlink>
          </w:p>
        </w:tc>
      </w:tr>
      <w:tr>
        <w:trPr/>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68caefbdc242ce975c0070bf753cd3_205">
              <w:r>
                <w:rPr>
                  <w:rStyle w:val="InternetLink"/>
                  <w:rFonts w:ascii="Times New Roman;sans-serif" w:hAnsi="Times New Roman;sans-serif"/>
                  <w:b/>
                  <w:color w:val="0000FF"/>
                  <w:sz w:val="20"/>
                  <w:u w:val="single"/>
                </w:rPr>
                <w:t>Signatures</w:t>
              </w:r>
            </w:hyperlink>
          </w:p>
        </w:tc>
        <w:tc>
          <w:tcPr>
            <w:tcW w:w="17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68caefbdc242ce975c0070bf753cd3_205">
              <w:r>
                <w:rPr>
                  <w:rStyle w:val="InternetLink"/>
                  <w:rFonts w:ascii="Times New Roman;sans-serif" w:hAnsi="Times New Roman;sans-serif"/>
                  <w:b w:val="false"/>
                  <w:strike w:val="false"/>
                  <w:dstrike w:val="false"/>
                  <w:color w:val="000000"/>
                  <w:sz w:val="20"/>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97"/>
        <w:gridCol w:w="2235"/>
        <w:gridCol w:w="2247"/>
        <w:gridCol w:w="227"/>
        <w:gridCol w:w="871"/>
        <w:gridCol w:w="126"/>
        <w:gridCol w:w="109"/>
        <w:gridCol w:w="109"/>
        <w:gridCol w:w="109"/>
        <w:gridCol w:w="261"/>
        <w:gridCol w:w="1003"/>
        <w:gridCol w:w="211"/>
      </w:tblGrid>
      <w:tr>
        <w:trPr/>
        <w:tc>
          <w:tcPr>
            <w:tcW w:w="2697"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of $348 and $773</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333,220 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$68,027 and $65,918</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right-of-use assets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$25,990 and $32,413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equity method investee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143,826 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146,439 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457,607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479,659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obligation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$.000001, 25,000 shares authorized, none issued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$0.000001, 120,000 shares authorized, 75,114 and 74,598 shares issued and outstanding</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(103,431)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396,282 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410,338 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457,607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479,659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445"/>
        <w:gridCol w:w="2142"/>
        <w:gridCol w:w="2155"/>
        <w:gridCol w:w="252"/>
        <w:gridCol w:w="955"/>
        <w:gridCol w:w="130"/>
        <w:gridCol w:w="130"/>
        <w:gridCol w:w="130"/>
        <w:gridCol w:w="130"/>
        <w:gridCol w:w="252"/>
        <w:gridCol w:w="865"/>
        <w:gridCol w:w="130"/>
        <w:gridCol w:w="109"/>
        <w:gridCol w:w="109"/>
        <w:gridCol w:w="109"/>
        <w:gridCol w:w="162"/>
      </w:tblGrid>
      <w:tr>
        <w:trPr/>
        <w:tc>
          <w:tcPr>
            <w:tcW w:w="244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estimated fair value of acquisition-related contingent consideration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EQUITY INVESTMENT </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LOSS PER SHARE:</w:t>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74,867 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73,947 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331" w:type="dxa"/>
        <w:jc w:val="left"/>
        <w:tblInd w:w="0" w:type="dxa"/>
        <w:tblLayout w:type="fixed"/>
        <w:tblCellMar>
          <w:top w:w="28" w:type="dxa"/>
          <w:left w:w="28" w:type="dxa"/>
          <w:bottom w:w="28" w:type="dxa"/>
          <w:right w:w="28" w:type="dxa"/>
        </w:tblCellMar>
      </w:tblPr>
      <w:tblGrid>
        <w:gridCol w:w="1398"/>
        <w:gridCol w:w="1227"/>
        <w:gridCol w:w="1245"/>
        <w:gridCol w:w="256"/>
        <w:gridCol w:w="968"/>
        <w:gridCol w:w="132"/>
        <w:gridCol w:w="132"/>
        <w:gridCol w:w="132"/>
        <w:gridCol w:w="132"/>
        <w:gridCol w:w="256"/>
        <w:gridCol w:w="840"/>
        <w:gridCol w:w="132"/>
        <w:gridCol w:w="109"/>
        <w:gridCol w:w="109"/>
        <w:gridCol w:w="109"/>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03" w:type="dxa"/>
        <w:jc w:val="center"/>
        <w:tblInd w:w="0" w:type="dxa"/>
        <w:tblLayout w:type="fixed"/>
        <w:tblCellMar>
          <w:top w:w="28" w:type="dxa"/>
          <w:left w:w="28" w:type="dxa"/>
          <w:bottom w:w="28" w:type="dxa"/>
          <w:right w:w="28" w:type="dxa"/>
        </w:tblCellMar>
      </w:tblPr>
      <w:tblGrid>
        <w:gridCol w:w="2200"/>
        <w:gridCol w:w="1932"/>
        <w:gridCol w:w="1943"/>
        <w:gridCol w:w="242"/>
        <w:gridCol w:w="909"/>
        <w:gridCol w:w="134"/>
        <w:gridCol w:w="134"/>
        <w:gridCol w:w="134"/>
        <w:gridCol w:w="134"/>
        <w:gridCol w:w="242"/>
        <w:gridCol w:w="909"/>
        <w:gridCol w:w="190"/>
      </w:tblGrid>
      <w:tr>
        <w:trPr/>
        <w:tc>
          <w:tcPr>
            <w:tcW w:w="220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provided by operating activities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amortization</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currency loss (gain)</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finance leases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equity investment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fixed assets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the estimated fair value of acquisition-related contingent consideration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equity method investee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investments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 investing activities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 finance lease liabilities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and retirement of common stock</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247,569 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247,145 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activities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property and equipment purchases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ORASURE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both"/>
        <w:rPr/>
      </w:pPr>
      <w:r>
        <w:rPr>
          <w:rFonts w:ascii="Times New Roman;sans-serif" w:hAnsi="Times New Roman;sans-serif"/>
          <w:b w:val="false"/>
          <w:i/>
          <w:color w:val="000000"/>
          <w:sz w:val="20"/>
        </w:rPr>
        <w:t>Principles of Consolidation and Basis of Presentation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consolidated financial statements include the accounts of OraSure Technologies, Inc. (“OraSure”) and its wholly-owned subsidiaries, DNA Genotek Inc. (“DNAG”), Diversigen, Inc. (“Diversigen”), Novosanis NV (“Novosanis”), and Sherlock Biosciences, Inc. ("Sherlock").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2024. Results of operations for the three months ended March 31, 2025 are not necessarily indicative of the results of operations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Summary of Significant Accounting Policies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Company's significant accounting policies described in its Annual Report on Form 10-K for the fiscal year ended December 31, 2024 that have had a material impact on the consolidated financial statements and related notes except as discussed herein.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changed its methodology for valuing certain inventories to the average cost method from the first-in, first-out ("FIFO") cost method. The change was applicable to all inventories. The Company concluded that the average cost basis of accounting is preferable as it results in greater precision in the calculation of acquisition cost of inventory on the balance sheet. The effect of this change in accounting principle was immaterial. Therefore, retroactive application was not determined to be necessary and a cumulative adjustment of $.08 million was recorded in the statement of operations 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i/>
          <w:color w:val="000000"/>
          <w:sz w:val="20"/>
        </w:rPr>
        <w:t>Cash Equivalents &amp; Short-Term Investments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available-for-sale securities as of March 31, 2025 and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cash balances in the United States in excess of the federally insured limits. The Company periodically evaluates financial institutions and believe the risk of loss to be remote due to this evaluation.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both"/>
        <w:rPr/>
      </w:pPr>
      <w:r>
        <w:rPr>
          <w:rFonts w:ascii="Times New Roman;sans-serif" w:hAnsi="Times New Roman;sans-serif"/>
          <w:b w:val="false"/>
          <w:i/>
          <w:color w:val="000000"/>
          <w:sz w:val="20"/>
        </w:rPr>
        <w:t>Fair Value of Financial Instruments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carrying values of cash and cash equivalents, accounts receivable, accounts payable, and accrued expenses approximate their respective fair values based on their short-term nature.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of all financial assets and liabilities that are being measured and reported on a fair value basis are required to be classified and disclosed in one of the following three categories: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which are observable, either directly or indirectly, for substantially the full term of the asset or liability;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Prices or valuation techniques that require inputs that are both significant to the fair value measurement and unobservable (i.e., supported by little or no market activity).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tbl>
      <w:tblPr>
        <w:tblW w:w="6300" w:type="dxa"/>
        <w:jc w:val="left"/>
        <w:tblInd w:w="0" w:type="dxa"/>
        <w:tblLayout w:type="fixed"/>
        <w:tblCellMar>
          <w:top w:w="28" w:type="dxa"/>
          <w:left w:w="28" w:type="dxa"/>
          <w:bottom w:w="28" w:type="dxa"/>
          <w:right w:w="28" w:type="dxa"/>
        </w:tblCellMar>
      </w:tblPr>
      <w:tblGrid>
        <w:gridCol w:w="1060"/>
        <w:gridCol w:w="929"/>
        <w:gridCol w:w="935"/>
        <w:gridCol w:w="165"/>
        <w:gridCol w:w="165"/>
        <w:gridCol w:w="166"/>
        <w:gridCol w:w="109"/>
        <w:gridCol w:w="109"/>
        <w:gridCol w:w="109"/>
        <w:gridCol w:w="211"/>
        <w:gridCol w:w="721"/>
        <w:gridCol w:w="109"/>
        <w:gridCol w:w="109"/>
        <w:gridCol w:w="109"/>
        <w:gridCol w:w="109"/>
        <w:gridCol w:w="230"/>
        <w:gridCol w:w="787"/>
        <w:gridCol w:w="16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investment certificates</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guaranteed investment certificates are measured as Level 1 instruments as of March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cash and cash equivalents at March 31, 2025 and December 31, 2024 was $66.5 million and $66.6 million, respectively, of guaranteed investment certificates.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included in cash and cash equivalents at March 31, 2025 and December 31, 2024 was $119.8 million and $118.5 million, respectively, invested in money market funds. These money market funds have investments in U.S. government securities and are measured as Level 1 instruments.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March 31, 2025 and December 31, 2024 was $0.8 million and $0.7 million, respectively, and was calculated using the quoted market prices of the assets as of those dates. All investments in the plan are classified as trading securities and measured as Level 1 financial instruments. The fair value of plan assets is included in both current assets and noncurrent assets with the same amount included in accrued expenses and other noncurrent liabilities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discussed in Note 11, Business Combinations, the Company has identified its contingent consideration obligations as Level 3 liabilities due to significant inputs that are required to measure the fair value of these obligations. The contingent consideration is comprised of two different tranches: milestone payments and royalty payments. The significant quantitative unobservable inputs for the milestone payments are the discount rate and probability achievement of a milestone of a regulatory approval.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methodology for royalty payments is based on a discounted cash flow model. Significant quantitative unobservable inputs are internally developed future expected cash flows, discount rate and probability achievement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milestone of a regulatory approval. The royalty payments represent a mid-single digit percentage of the net sales through 2034 associated with the acquired in-process and research developed intangible asset.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an increase of $0.5 million in the fair value of the Company's contingent consideration from date of acquisition to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Investee</w:t>
      </w:r>
    </w:p>
    <w:p>
      <w:pPr>
        <w:pStyle w:val="TextBody"/>
        <w:bidi w:val="0"/>
        <w:spacing w:lineRule="auto" w:line="288" w:before="240" w:after="283"/>
        <w:jc w:val="both"/>
        <w:rPr/>
      </w:pPr>
      <w:r>
        <w:rPr>
          <w:rFonts w:ascii="Times New Roman;sans-serif" w:hAnsi="Times New Roman;sans-serif"/>
          <w:b w:val="false"/>
          <w:color w:val="000000"/>
          <w:sz w:val="20"/>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March 31, 2025, the Company had funded $30.0 million for its interest in Sapphiros. The Company recorded the investment using the equity method in accordance with Accounting Standards Codification ("ASC") Topic 323, </w:t>
      </w:r>
      <w:r>
        <w:rPr>
          <w:rFonts w:ascii="Times New Roman;sans-serif" w:hAnsi="Times New Roman;sans-serif"/>
          <w:b w:val="false"/>
          <w:i/>
          <w:color w:val="000000"/>
          <w:sz w:val="20"/>
        </w:rPr>
        <w:t xml:space="preserve">Investments—Equity Method and Joint Ventures—Overall. </w:t>
      </w:r>
      <w:r>
        <w:rPr>
          <w:rFonts w:ascii="Times New Roman;sans-serif" w:hAnsi="Times New Roman;sans-serif"/>
          <w:b w:val="false"/>
          <w:color w:val="000000"/>
          <w:sz w:val="20"/>
        </w:rPr>
        <w:t>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$27.8 million as of March 31, 2025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March 31, 2025 financial statements, the Company considered whether the carrying value of the investment in Sapphiros was impaired and concluded that no such impairment existed. The Company's investment in Sapphiros was valued at $28.3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foreign exchange gains and (losses) resulting from foreign currency transactions that are included in other income in the Company's consolidated statements of operations were $(0.4) million and $0.2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val="false"/>
          <w:i/>
          <w:color w:val="000000"/>
          <w:sz w:val="20"/>
        </w:rPr>
        <w:t>Accumulated Other Comprehensive Loss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accumulated other comprehensive loss by component is listed below (in thousands):</w:t>
      </w:r>
    </w:p>
    <w:tbl>
      <w:tblPr>
        <w:tblW w:w="5799" w:type="dxa"/>
        <w:jc w:val="left"/>
        <w:tblInd w:w="0" w:type="dxa"/>
        <w:tblLayout w:type="fixed"/>
        <w:tblCellMar>
          <w:top w:w="28" w:type="dxa"/>
          <w:left w:w="28" w:type="dxa"/>
          <w:bottom w:w="28" w:type="dxa"/>
          <w:right w:w="28" w:type="dxa"/>
        </w:tblCellMar>
      </w:tblPr>
      <w:tblGrid>
        <w:gridCol w:w="971"/>
        <w:gridCol w:w="855"/>
        <w:gridCol w:w="858"/>
        <w:gridCol w:w="266"/>
        <w:gridCol w:w="1006"/>
        <w:gridCol w:w="137"/>
        <w:gridCol w:w="109"/>
        <w:gridCol w:w="109"/>
        <w:gridCol w:w="109"/>
        <w:gridCol w:w="109"/>
        <w:gridCol w:w="109"/>
        <w:gridCol w:w="211"/>
        <w:gridCol w:w="79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The purpose of the update was to address investor requests for more transparency about income tax information through improvements to income tax disclosures primarily related to the rate reconciliation and income taxes paid information. The amendments in this ASU are effective for annual periods beginning after December 15, 2024. The amendments may be applied prospectively or retrospectively, and early adoption is permitted. Management determined the annual disclosures required under the new guidance will have a significant impact on the Company's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2024, the Financial Accounting Standards Board ("FASB") issued Accounting Standard Update ("ASU") No.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xml:space="preserve">. The purpose 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or all prior periods presented in the financial statements. Management is evaluating the impact on the Company's consolidated financial statements. </w:t>
      </w:r>
    </w:p>
    <w:p>
      <w:pPr>
        <w:pStyle w:val="TextBody"/>
        <w:bidi w:val="0"/>
        <w:spacing w:lineRule="auto" w:line="276" w:before="240" w:after="283"/>
        <w:jc w:val="left"/>
        <w:rPr/>
      </w:pPr>
      <w:r>
        <w:rPr>
          <w:rFonts w:ascii="Times New Roman;sans-serif" w:hAnsi="Times New Roman;sans-serif"/>
          <w:b w:val="false"/>
          <w:color w:val="000000"/>
          <w:sz w:val="20"/>
        </w:rPr>
        <w:t xml:space="preserve">In March 2024, the FASB issued ASU No. 2024-01, </w:t>
      </w:r>
      <w:r>
        <w:rPr>
          <w:rFonts w:ascii="Times New Roman;sans-serif" w:hAnsi="Times New Roman;sans-serif"/>
          <w:b w:val="false"/>
          <w:i/>
          <w:color w:val="000000"/>
          <w:sz w:val="20"/>
        </w:rPr>
        <w:t>Compensation—Stock Compensation (Topic 718), Scope Application of Profits Interest and Similar Awards</w:t>
      </w:r>
      <w:r>
        <w:rPr>
          <w:rFonts w:ascii="Times New Roman;sans-serif" w:hAnsi="Times New Roman;sans-serif"/>
          <w:b w:val="false"/>
          <w:color w:val="000000"/>
          <w:sz w:val="20"/>
        </w:rPr>
        <w:t>. The purpose of this update was to provide illustrative examples to demonstrate how an entity should apply guidance to determine 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does not expect an impact on the Company's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2.    Inventories (in thousands)</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3.    Property, Plant and Equipment, net (in thousands)</w:t>
      </w:r>
    </w:p>
    <w:tbl>
      <w:tblPr>
        <w:tblW w:w="5417" w:type="dxa"/>
        <w:jc w:val="left"/>
        <w:tblInd w:w="0" w:type="dxa"/>
        <w:tblLayout w:type="fixed"/>
        <w:tblCellMar>
          <w:top w:w="28" w:type="dxa"/>
          <w:left w:w="28" w:type="dxa"/>
          <w:bottom w:w="28" w:type="dxa"/>
          <w:right w:w="28" w:type="dxa"/>
        </w:tblCellMar>
      </w:tblPr>
      <w:tblGrid>
        <w:gridCol w:w="1054"/>
        <w:gridCol w:w="923"/>
        <w:gridCol w:w="933"/>
        <w:gridCol w:w="211"/>
        <w:gridCol w:w="721"/>
        <w:gridCol w:w="109"/>
        <w:gridCol w:w="109"/>
        <w:gridCol w:w="109"/>
        <w:gridCol w:w="109"/>
        <w:gridCol w:w="221"/>
        <w:gridCol w:w="757"/>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4.    Accrued Expenses and Other Current Liabilities (in thousands)</w:t>
      </w:r>
    </w:p>
    <w:tbl>
      <w:tblPr>
        <w:tblW w:w="4892" w:type="dxa"/>
        <w:jc w:val="left"/>
        <w:tblInd w:w="0" w:type="dxa"/>
        <w:tblLayout w:type="fixed"/>
        <w:tblCellMar>
          <w:top w:w="28" w:type="dxa"/>
          <w:left w:w="28" w:type="dxa"/>
          <w:bottom w:w="28" w:type="dxa"/>
          <w:right w:w="28" w:type="dxa"/>
        </w:tblCellMar>
      </w:tblPr>
      <w:tblGrid>
        <w:gridCol w:w="846"/>
        <w:gridCol w:w="745"/>
        <w:gridCol w:w="748"/>
        <w:gridCol w:w="211"/>
        <w:gridCol w:w="721"/>
        <w:gridCol w:w="109"/>
        <w:gridCol w:w="109"/>
        <w:gridCol w:w="109"/>
        <w:gridCol w:w="109"/>
        <w:gridCol w:w="230"/>
        <w:gridCol w:w="787"/>
        <w:gridCol w:w="168"/>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5.    Termination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Q1 2024 Reduction in Workforce</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first quarter of 2024, the Company executed a reduction in workforce largely affecting its COVID-19 manufacturing workforce.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The charges for termination benefits included in the Company's consolidated statements of operations are as follows (in thousands):</w:t>
      </w:r>
    </w:p>
    <w:tbl>
      <w:tblPr>
        <w:tblW w:w="6344"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109"/>
        <w:gridCol w:w="769"/>
        <w:gridCol w:w="1699"/>
        <w:gridCol w:w="56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fully paid the $0.4 million related to the reduction in workforce. This reduction in workforce was completed by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Q2 2024 Reduction in Workforce</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$0.3 million accrued and had paid $1.3 million related to the reduction in workforce. No additional expense was incurred during the three months ended March 31, 2025. The Company expects this plan to be completed by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Q3 2024 Reduction in Workforce</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and additional severance costs will be incurred. This was accounted for pursuant to ASC 420, </w:t>
      </w:r>
      <w:r>
        <w:rPr>
          <w:rFonts w:ascii="Times New Roman;sans-serif" w:hAnsi="Times New Roman;sans-serif"/>
          <w:b w:val="false"/>
          <w:i/>
          <w:color w:val="000000"/>
          <w:sz w:val="20"/>
        </w:rPr>
        <w:t>Exit or Disposal Cost Obligations</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$0.7 million accrued and had paid $0.5 million related to the reduction in workforce. No additional expense was incurred during the three months ended March 31, 2025. The Company expects this plan to be completed by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6.    Revenues</w:t>
      </w:r>
    </w:p>
    <w:p>
      <w:pPr>
        <w:pStyle w:val="TextBody"/>
        <w:bidi w:val="0"/>
        <w:spacing w:lineRule="auto" w:line="288" w:before="120" w:after="283"/>
        <w:jc w:val="both"/>
        <w:rPr/>
      </w:pPr>
      <w:r>
        <w:rPr>
          <w:rFonts w:ascii="Times New Roman;sans-serif" w:hAnsi="Times New Roman;sans-serif"/>
          <w:b w:val="false"/>
          <w:i/>
          <w:color w:val="000000"/>
          <w:sz w:val="20"/>
          <w:u w:val="single"/>
        </w:rPr>
        <w:t>Revenues by Product Line</w:t>
      </w:r>
      <w:r>
        <w:rPr>
          <w:rFonts w:ascii="Times New Roman;sans-serif" w:hAnsi="Times New Roman;sans-serif"/>
          <w:b w:val="false"/>
          <w:color w:val="000000"/>
          <w:sz w:val="20"/>
        </w:rPr>
        <w:t>. The following table represents total net revenues by product line (in thousands):</w:t>
      </w:r>
    </w:p>
    <w:tbl>
      <w:tblPr>
        <w:tblW w:w="6719" w:type="dxa"/>
        <w:jc w:val="left"/>
        <w:tblInd w:w="0" w:type="dxa"/>
        <w:tblLayout w:type="fixed"/>
        <w:tblCellMar>
          <w:top w:w="28" w:type="dxa"/>
          <w:left w:w="28" w:type="dxa"/>
          <w:bottom w:w="28" w:type="dxa"/>
          <w:right w:w="28" w:type="dxa"/>
        </w:tblCellMar>
      </w:tblPr>
      <w:tblGrid>
        <w:gridCol w:w="1175"/>
        <w:gridCol w:w="1032"/>
        <w:gridCol w:w="1048"/>
        <w:gridCol w:w="261"/>
        <w:gridCol w:w="893"/>
        <w:gridCol w:w="135"/>
        <w:gridCol w:w="135"/>
        <w:gridCol w:w="135"/>
        <w:gridCol w:w="135"/>
        <w:gridCol w:w="261"/>
        <w:gridCol w:w="893"/>
        <w:gridCol w:w="135"/>
        <w:gridCol w:w="109"/>
        <w:gridCol w:w="109"/>
        <w:gridCol w:w="109"/>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Sample Management Solutions</w:t>
            </w:r>
            <w:r>
              <w:rPr>
                <w:color w:val="000000"/>
              </w:rPr>
              <w:t xml:space="preserve"> </w:t>
            </w:r>
            <w:r>
              <w:rPr>
                <w:rFonts w:ascii="Times New Roman;sans-serif" w:hAnsi="Times New Roman;sans-serif"/>
                <w:b w:val="false"/>
                <w:color w:val="000000"/>
                <w:sz w:val="13"/>
              </w:rPr>
              <w:t>(1)</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HCV</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 Assessment Testing </w:t>
            </w:r>
            <w:r>
              <w:rPr>
                <w:rFonts w:ascii="Times New Roman;sans-serif" w:hAnsi="Times New Roman;sans-serif"/>
                <w:b w:val="false"/>
                <w:color w:val="000000"/>
                <w:sz w:val="13"/>
              </w:rPr>
              <w:t>(2)</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 and services revenues </w:t>
            </w:r>
            <w:r>
              <w:rPr>
                <w:rFonts w:ascii="Times New Roman;sans-serif" w:hAnsi="Times New Roman;sans-serif"/>
                <w:b w:val="false"/>
                <w:color w:val="000000"/>
                <w:sz w:val="13"/>
              </w:rPr>
              <w:t>(3)</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COVID-19 </w:t>
            </w:r>
            <w:r>
              <w:rPr>
                <w:rFonts w:ascii="Times New Roman;sans-serif" w:hAnsi="Times New Roman;sans-serif"/>
                <w:b w:val="false"/>
                <w:color w:val="000000"/>
                <w:sz w:val="13"/>
              </w:rPr>
              <w:t>(4)</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(5)</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Genomics, Microbiome and Colli-Pee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substance abuse testing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Syphilis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COVID-19 Diagnostics and COVID-19 Sample Management Solutions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Includes funded research and development contracts, royalty income and grant revenues.</w:t>
      </w:r>
    </w:p>
    <w:p>
      <w:pPr>
        <w:pStyle w:val="TextBody"/>
        <w:bidi w:val="0"/>
        <w:spacing w:lineRule="auto" w:line="288" w:before="240" w:after="283"/>
        <w:jc w:val="both"/>
        <w:rPr/>
      </w:pPr>
      <w:r>
        <w:rPr>
          <w:rFonts w:ascii="Times New Roman;sans-serif" w:hAnsi="Times New Roman;sans-serif"/>
          <w:b w:val="false"/>
          <w:i/>
          <w:color w:val="000000"/>
          <w:sz w:val="20"/>
          <w:u w:val="single"/>
        </w:rPr>
        <w:t>Revenues by Geographic Area</w:t>
      </w:r>
      <w:r>
        <w:rPr>
          <w:rFonts w:ascii="Times New Roman;sans-serif" w:hAnsi="Times New Roman;sans-serif"/>
          <w:b w:val="false"/>
          <w:color w:val="000000"/>
          <w:sz w:val="20"/>
        </w:rPr>
        <w:t>. The following table represents total net revenues by geographic area, based on the location of the customer (in thousands):</w:t>
      </w:r>
    </w:p>
    <w:tbl>
      <w:tblPr>
        <w:tblW w:w="4679" w:type="dxa"/>
        <w:jc w:val="left"/>
        <w:tblInd w:w="0" w:type="dxa"/>
        <w:tblLayout w:type="fixed"/>
        <w:tblCellMar>
          <w:top w:w="28" w:type="dxa"/>
          <w:left w:w="28" w:type="dxa"/>
          <w:bottom w:w="28" w:type="dxa"/>
          <w:right w:w="28" w:type="dxa"/>
        </w:tblCellMar>
      </w:tblPr>
      <w:tblGrid>
        <w:gridCol w:w="441"/>
        <w:gridCol w:w="386"/>
        <w:gridCol w:w="388"/>
        <w:gridCol w:w="261"/>
        <w:gridCol w:w="893"/>
        <w:gridCol w:w="135"/>
        <w:gridCol w:w="135"/>
        <w:gridCol w:w="135"/>
        <w:gridCol w:w="135"/>
        <w:gridCol w:w="261"/>
        <w:gridCol w:w="893"/>
        <w:gridCol w:w="135"/>
        <w:gridCol w:w="109"/>
        <w:gridCol w:w="109"/>
        <w:gridCol w:w="109"/>
        <w:gridCol w:w="154"/>
      </w:tblGrid>
      <w:tr>
        <w:trPr/>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u w:val="single"/>
        </w:rPr>
        <w:t>Customer Concentration</w:t>
      </w:r>
      <w:r>
        <w:rPr>
          <w:rFonts w:ascii="Times New Roman;sans-serif" w:hAnsi="Times New Roman;sans-serif"/>
          <w:b w:val="false"/>
          <w:color w:val="000000"/>
          <w:sz w:val="20"/>
        </w:rPr>
        <w:t>. The following table represents customer concentration risk:</w:t>
      </w:r>
    </w:p>
    <w:p>
      <w:pPr>
        <w:pStyle w:val="TextBody"/>
        <w:bidi w:val="0"/>
        <w:spacing w:before="240" w:after="283"/>
        <w:jc w:val="both"/>
        <w:rPr/>
      </w:pPr>
      <w:r>
        <w:rPr/>
      </w:r>
    </w:p>
    <w:tbl>
      <w:tblPr>
        <w:tblW w:w="5857" w:type="dxa"/>
        <w:jc w:val="left"/>
        <w:tblInd w:w="0" w:type="dxa"/>
        <w:tblLayout w:type="fixed"/>
        <w:tblCellMar>
          <w:top w:w="28" w:type="dxa"/>
          <w:left w:w="28" w:type="dxa"/>
          <w:bottom w:w="28" w:type="dxa"/>
          <w:right w:w="28" w:type="dxa"/>
        </w:tblCellMar>
      </w:tblPr>
      <w:tblGrid>
        <w:gridCol w:w="830"/>
        <w:gridCol w:w="730"/>
        <w:gridCol w:w="735"/>
        <w:gridCol w:w="331"/>
        <w:gridCol w:w="331"/>
        <w:gridCol w:w="331"/>
        <w:gridCol w:w="331"/>
        <w:gridCol w:w="331"/>
        <w:gridCol w:w="331"/>
        <w:gridCol w:w="365"/>
        <w:gridCol w:w="365"/>
        <w:gridCol w:w="365"/>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Non-commercial customer </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customer </w:t>
            </w:r>
            <w:r>
              <w:rPr>
                <w:rFonts w:ascii="Times New Roman;sans-serif" w:hAnsi="Times New Roman;sans-serif"/>
                <w:b w:val="false"/>
                <w:color w:val="000000"/>
                <w:sz w:val="13"/>
              </w:rPr>
              <w:t>(1)</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customer </w:t>
            </w:r>
            <w:r>
              <w:rPr>
                <w:rFonts w:ascii="Times New Roman;sans-serif" w:hAnsi="Times New Roman;sans-serif"/>
                <w:b w:val="false"/>
                <w:color w:val="000000"/>
                <w:sz w:val="13"/>
              </w:rPr>
              <w:t>(1)</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Each commercial customer is different.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both"/>
        <w:rPr/>
      </w:pPr>
      <w:r>
        <w:rPr>
          <w:rFonts w:ascii="Times New Roman;sans-serif" w:hAnsi="Times New Roman;sans-serif"/>
          <w:b w:val="false"/>
          <w:i/>
          <w:color w:val="000000"/>
          <w:sz w:val="20"/>
          <w:u w:val="single"/>
        </w:rPr>
        <w:t>Vendor Concentration.</w:t>
      </w:r>
      <w:r>
        <w:rPr>
          <w:color w:val="000000"/>
        </w:rPr>
        <w:t xml:space="preserve"> </w:t>
      </w:r>
      <w:r>
        <w:rPr>
          <w:rFonts w:ascii="Times New Roman;sans-serif" w:hAnsi="Times New Roman;sans-serif"/>
          <w:b w:val="false"/>
          <w:color w:val="000000"/>
          <w:sz w:val="20"/>
        </w:rPr>
        <w:t xml:space="preserve">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 </w:t>
      </w:r>
    </w:p>
    <w:p>
      <w:pPr>
        <w:pStyle w:val="TextBody"/>
        <w:bidi w:val="0"/>
        <w:spacing w:lineRule="auto" w:line="288" w:before="240" w:after="283"/>
        <w:jc w:val="both"/>
        <w:rPr/>
      </w:pPr>
      <w:r>
        <w:rPr>
          <w:rFonts w:ascii="Times New Roman;sans-serif" w:hAnsi="Times New Roman;sans-serif"/>
          <w:b w:val="false"/>
          <w:i/>
          <w:color w:val="000000"/>
          <w:sz w:val="20"/>
          <w:u w:val="single"/>
        </w:rPr>
        <w:t>Deferred Revenue.</w:t>
      </w:r>
      <w:r>
        <w:rPr>
          <w:color w:val="000000"/>
        </w:rPr>
        <w:t xml:space="preserve"> </w:t>
      </w:r>
      <w:r>
        <w:rPr>
          <w:rFonts w:ascii="Times New Roman;sans-serif" w:hAnsi="Times New Roman;sans-serif"/>
          <w:b w:val="false"/>
          <w:color w:val="000000"/>
          <w:sz w:val="20"/>
        </w:rPr>
        <w:t>The Company records deferred revenue when funds are received prior to the recognition of the associated revenue. Deferred revenue as of March 31, 2025 and December 31, 2024 was comprised of customer prepayments of $2.5 million and $3.0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deferred revenue recognized:</w:t>
      </w:r>
    </w:p>
    <w:tbl>
      <w:tblPr>
        <w:tblW w:w="5684" w:type="dxa"/>
        <w:jc w:val="left"/>
        <w:tblInd w:w="0" w:type="dxa"/>
        <w:tblLayout w:type="fixed"/>
        <w:tblCellMar>
          <w:top w:w="28" w:type="dxa"/>
          <w:left w:w="28" w:type="dxa"/>
          <w:bottom w:w="28" w:type="dxa"/>
          <w:right w:w="28" w:type="dxa"/>
        </w:tblCellMar>
      </w:tblPr>
      <w:tblGrid>
        <w:gridCol w:w="961"/>
        <w:gridCol w:w="844"/>
        <w:gridCol w:w="849"/>
        <w:gridCol w:w="285"/>
        <w:gridCol w:w="832"/>
        <w:gridCol w:w="147"/>
        <w:gridCol w:w="147"/>
        <w:gridCol w:w="147"/>
        <w:gridCol w:w="147"/>
        <w:gridCol w:w="285"/>
        <w:gridCol w:w="832"/>
        <w:gridCol w:w="20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 Recognized</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at beginning of period</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current period</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benefit are as follows (in thousands):</w:t>
      </w:r>
    </w:p>
    <w:tbl>
      <w:tblPr>
        <w:tblW w:w="6597" w:type="dxa"/>
        <w:jc w:val="left"/>
        <w:tblInd w:w="0" w:type="dxa"/>
        <w:tblLayout w:type="fixed"/>
        <w:tblCellMar>
          <w:top w:w="28" w:type="dxa"/>
          <w:left w:w="28" w:type="dxa"/>
          <w:bottom w:w="28" w:type="dxa"/>
          <w:right w:w="28" w:type="dxa"/>
        </w:tblCellMar>
      </w:tblPr>
      <w:tblGrid>
        <w:gridCol w:w="1136"/>
        <w:gridCol w:w="995"/>
        <w:gridCol w:w="1003"/>
        <w:gridCol w:w="324"/>
        <w:gridCol w:w="830"/>
        <w:gridCol w:w="167"/>
        <w:gridCol w:w="167"/>
        <w:gridCol w:w="167"/>
        <w:gridCol w:w="167"/>
        <w:gridCol w:w="324"/>
        <w:gridCol w:w="669"/>
        <w:gridCol w:w="167"/>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(benefit)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(benefit) expense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recorded an income tax benefit of $0.5 million and $0.02 million, respectively. The three months ended March 31, 2025 net tax benefit increase is due to having a U.S. and foreign pretax loss in 2025 compared to a U.S. pretax loss and foreign pretax income for the three months ended March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asset as of March 31, 2025 and at December 31, 2024 relate to the tax effects of the basis difference of acquired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recorded to the extent it is more likely than not that some portion or all of the deferred tax assets will not be realized. A full valuation allowance was recorded on the Company’s U.S. and U.K. deferred tax assets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8.    Income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outstanding common stock options, unvested restricted stock, and unvested performance stock units representing 689 shares and 1,697 shares, respectively, were excluded from the computation of diluted loss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pPr>
      <w:r>
        <w:rPr>
          <w:rFonts w:ascii="Times New Roman;sans-serif" w:hAnsi="Times New Roman;sans-serif"/>
          <w:b/>
          <w:color w:val="000000"/>
          <w:sz w:val="18"/>
        </w:rPr>
        <w:t>9.    </w:t>
      </w:r>
      <w:r>
        <w:rPr>
          <w:rFonts w:ascii="Times New Roman;sans-serif" w:hAnsi="Times New Roman;sans-serif"/>
          <w:b/>
          <w:color w:val="000000"/>
          <w:sz w:val="20"/>
        </w:rPr>
        <w:t>Stockholders’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the Company's management through various methods in compliance with applicable state and federal securities laws. The Company did not repurchase any shares of the Company's common stock under the Repurchase Program during the three months ended March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reconciliation of the changes in stockholders' equity for the three months ended March 31, 2025 and 2024 is as follows (in thousands): </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822"/>
        <w:gridCol w:w="518"/>
        <w:gridCol w:w="520"/>
        <w:gridCol w:w="224"/>
        <w:gridCol w:w="224"/>
        <w:gridCol w:w="228"/>
        <w:gridCol w:w="109"/>
        <w:gridCol w:w="109"/>
        <w:gridCol w:w="109"/>
        <w:gridCol w:w="211"/>
        <w:gridCol w:w="406"/>
        <w:gridCol w:w="109"/>
        <w:gridCol w:w="109"/>
        <w:gridCol w:w="109"/>
        <w:gridCol w:w="109"/>
        <w:gridCol w:w="241"/>
        <w:gridCol w:w="947"/>
        <w:gridCol w:w="124"/>
        <w:gridCol w:w="109"/>
        <w:gridCol w:w="109"/>
        <w:gridCol w:w="109"/>
        <w:gridCol w:w="309"/>
        <w:gridCol w:w="1084"/>
        <w:gridCol w:w="162"/>
        <w:gridCol w:w="109"/>
        <w:gridCol w:w="109"/>
        <w:gridCol w:w="109"/>
        <w:gridCol w:w="223"/>
        <w:gridCol w:w="905"/>
        <w:gridCol w:w="115"/>
        <w:gridCol w:w="109"/>
        <w:gridCol w:w="109"/>
        <w:gridCol w:w="109"/>
        <w:gridCol w:w="211"/>
        <w:gridCol w:w="826"/>
        <w:gridCol w:w="161"/>
      </w:tblGrid>
      <w:tr>
        <w:trPr/>
        <w:tc>
          <w:tcPr>
            <w:tcW w:w="82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Comprehensive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at December 31, 2024</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(103,431)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Vesting of restricted stock and performance stock units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and retirement of common shares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Currency translation adjustments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at March 31, 2025</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539,875 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(24,122)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(119,471)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396,282 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839"/>
        <w:gridCol w:w="538"/>
        <w:gridCol w:w="539"/>
        <w:gridCol w:w="224"/>
        <w:gridCol w:w="224"/>
        <w:gridCol w:w="228"/>
        <w:gridCol w:w="109"/>
        <w:gridCol w:w="109"/>
        <w:gridCol w:w="109"/>
        <w:gridCol w:w="211"/>
        <w:gridCol w:w="406"/>
        <w:gridCol w:w="109"/>
        <w:gridCol w:w="109"/>
        <w:gridCol w:w="109"/>
        <w:gridCol w:w="109"/>
        <w:gridCol w:w="243"/>
        <w:gridCol w:w="952"/>
        <w:gridCol w:w="125"/>
        <w:gridCol w:w="109"/>
        <w:gridCol w:w="109"/>
        <w:gridCol w:w="109"/>
        <w:gridCol w:w="314"/>
        <w:gridCol w:w="1100"/>
        <w:gridCol w:w="165"/>
        <w:gridCol w:w="109"/>
        <w:gridCol w:w="109"/>
        <w:gridCol w:w="109"/>
        <w:gridCol w:w="228"/>
        <w:gridCol w:w="813"/>
        <w:gridCol w:w="117"/>
        <w:gridCol w:w="109"/>
        <w:gridCol w:w="109"/>
        <w:gridCol w:w="109"/>
        <w:gridCol w:w="211"/>
        <w:gridCol w:w="826"/>
        <w:gridCol w:w="158"/>
      </w:tblGrid>
      <w:tr>
        <w:trPr/>
        <w:tc>
          <w:tcPr>
            <w:tcW w:w="83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at December 31, 2023</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529,543 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(14,941)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(83,931)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430,671 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upon exercise of options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Vesting of restricted stock and performance stock units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and retirement of common shares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Currency translation adjustments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at March 31, 2024</w:t>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531,263 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(17,497)</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(87,515)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426,251 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10.    Business Segment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on the basis of products and services into a single reportable segment.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businesses into one operating segment with sales, marketing, product development and research teams covering all product lines and reporting to a Chief Product Officer ("CPO").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 derives its revenues from the sale of diagnostics products and sample management solutions, as described in Note 1 Summary of Significant Accounting Policies. As the Company has only one reportable segment, there are no inter-segment sales or transfers.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the Company's reportable segment are the same as those described in Note 1 Summary of Significant Accounting Policies.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total long-lived assets by geographic area:</w:t>
      </w:r>
    </w:p>
    <w:p>
      <w:pPr>
        <w:pStyle w:val="TextBody"/>
        <w:bidi w:val="0"/>
        <w:spacing w:before="0" w:after="0"/>
        <w:jc w:val="left"/>
        <w:rPr/>
      </w:pPr>
      <w:r>
        <w:rPr/>
      </w:r>
    </w:p>
    <w:tbl>
      <w:tblPr>
        <w:tblW w:w="3992"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21"/>
        <w:gridCol w:w="757"/>
        <w:gridCol w:w="161"/>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reported segment revenues, segment loss, and significant segment expenses:</w:t>
      </w:r>
    </w:p>
    <w:p>
      <w:pPr>
        <w:pStyle w:val="TextBody"/>
        <w:bidi w:val="0"/>
        <w:spacing w:before="0" w:after="0"/>
        <w:jc w:val="left"/>
        <w:rPr/>
      </w:pPr>
      <w:r>
        <w:rPr/>
      </w:r>
    </w:p>
    <w:tbl>
      <w:tblPr>
        <w:tblW w:w="10151" w:type="dxa"/>
        <w:jc w:val="left"/>
        <w:tblInd w:w="0" w:type="dxa"/>
        <w:tblLayout w:type="fixed"/>
        <w:tblCellMar>
          <w:top w:w="28" w:type="dxa"/>
          <w:left w:w="28" w:type="dxa"/>
          <w:bottom w:w="28" w:type="dxa"/>
          <w:right w:w="28" w:type="dxa"/>
        </w:tblCellMar>
      </w:tblPr>
      <w:tblGrid>
        <w:gridCol w:w="2445"/>
        <w:gridCol w:w="2156"/>
        <w:gridCol w:w="2163"/>
        <w:gridCol w:w="352"/>
        <w:gridCol w:w="1329"/>
        <w:gridCol w:w="182"/>
        <w:gridCol w:w="182"/>
        <w:gridCol w:w="182"/>
        <w:gridCol w:w="182"/>
        <w:gridCol w:w="367"/>
        <w:gridCol w:w="354"/>
        <w:gridCol w:w="257"/>
      </w:tblGrid>
      <w:tr>
        <w:trPr/>
        <w:tc>
          <w:tcPr>
            <w:tcW w:w="2445"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and services sold </w:t>
            </w:r>
            <w:r>
              <w:rPr>
                <w:rFonts w:ascii="Times New Roman;sans-serif" w:hAnsi="Times New Roman;sans-serif"/>
                <w:b w:val="false"/>
                <w:color w:val="000000"/>
                <w:sz w:val="13"/>
              </w:rPr>
              <w:t>(2)</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(2)</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(2)</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(2)</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estimated fair value of acquisition-related contingent consideration</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revenue</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(1)</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investment</w:t>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(16,040)</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interest expense and foreign currency gains (losses).</w:t>
      </w:r>
    </w:p>
    <w:p>
      <w:pPr>
        <w:pStyle w:val="TextBody"/>
        <w:bidi w:val="0"/>
        <w:spacing w:lineRule="auto" w:line="276"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following tables represent additional significant segment expense categories:</w:t>
      </w:r>
    </w:p>
    <w:p>
      <w:pPr>
        <w:pStyle w:val="TextBody"/>
        <w:bidi w:val="0"/>
        <w:spacing w:before="0" w:after="0"/>
        <w:jc w:val="left"/>
        <w:rPr/>
      </w:pPr>
      <w:r>
        <w:rPr/>
      </w:r>
    </w:p>
    <w:p>
      <w:pPr>
        <w:pStyle w:val="TextBody"/>
        <w:bidi w:val="0"/>
        <w:spacing w:before="0" w:after="0"/>
        <w:jc w:val="left"/>
        <w:rPr/>
      </w:pPr>
      <w:r>
        <w:rPr/>
      </w:r>
    </w:p>
    <w:tbl>
      <w:tblPr>
        <w:tblW w:w="5910" w:type="dxa"/>
        <w:jc w:val="left"/>
        <w:tblInd w:w="0" w:type="dxa"/>
        <w:tblLayout w:type="fixed"/>
        <w:tblCellMar>
          <w:top w:w="28" w:type="dxa"/>
          <w:left w:w="28" w:type="dxa"/>
          <w:bottom w:w="28" w:type="dxa"/>
          <w:right w:w="28" w:type="dxa"/>
        </w:tblCellMar>
      </w:tblPr>
      <w:tblGrid>
        <w:gridCol w:w="1043"/>
        <w:gridCol w:w="917"/>
        <w:gridCol w:w="920"/>
        <w:gridCol w:w="285"/>
        <w:gridCol w:w="832"/>
        <w:gridCol w:w="147"/>
        <w:gridCol w:w="147"/>
        <w:gridCol w:w="147"/>
        <w:gridCol w:w="147"/>
        <w:gridCol w:w="285"/>
        <w:gridCol w:w="832"/>
        <w:gridCol w:w="208"/>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2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910" w:type="dxa"/>
        <w:jc w:val="left"/>
        <w:tblInd w:w="0" w:type="dxa"/>
        <w:tblLayout w:type="fixed"/>
        <w:tblCellMar>
          <w:top w:w="28" w:type="dxa"/>
          <w:left w:w="28" w:type="dxa"/>
          <w:bottom w:w="28" w:type="dxa"/>
          <w:right w:w="28" w:type="dxa"/>
        </w:tblCellMar>
      </w:tblPr>
      <w:tblGrid>
        <w:gridCol w:w="1043"/>
        <w:gridCol w:w="916"/>
        <w:gridCol w:w="921"/>
        <w:gridCol w:w="285"/>
        <w:gridCol w:w="832"/>
        <w:gridCol w:w="147"/>
        <w:gridCol w:w="147"/>
        <w:gridCol w:w="147"/>
        <w:gridCol w:w="147"/>
        <w:gridCol w:w="285"/>
        <w:gridCol w:w="832"/>
        <w:gridCol w:w="208"/>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sold</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2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18"/>
        </w:rPr>
      </w:pPr>
      <w:r>
        <w:rPr>
          <w:rFonts w:ascii="Times New Roman;sans-serif" w:hAnsi="Times New Roman;sans-serif"/>
          <w:b/>
          <w:color w:val="000000"/>
          <w:sz w:val="18"/>
        </w:rPr>
        <w:t>11.    Business Combinations</w:t>
      </w:r>
    </w:p>
    <w:p>
      <w:pPr>
        <w:pStyle w:val="TextBody"/>
        <w:bidi w:val="0"/>
        <w:spacing w:lineRule="auto" w:line="288" w:before="360" w:after="283"/>
        <w:ind w:left="0" w:right="0" w:hanging="1080"/>
        <w:jc w:val="both"/>
        <w:rPr>
          <w:rFonts w:ascii="Times New Roman;sans-serif" w:hAnsi="Times New Roman;sans-serif"/>
          <w:b w:val="false"/>
          <w:i/>
          <w:color w:val="000000"/>
          <w:sz w:val="20"/>
        </w:rPr>
      </w:pPr>
      <w:r>
        <w:rPr>
          <w:rFonts w:ascii="Times New Roman;sans-serif" w:hAnsi="Times New Roman;sans-serif"/>
          <w:b w:val="false"/>
          <w:i/>
          <w:color w:val="000000"/>
          <w:sz w:val="20"/>
        </w:rPr>
        <w:t>Sherlock Biosciences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2024, the Company acquired all of the outstanding stock of Sherlock, pursuant to the terms of a merger agreement (the "Merger Agreement"). The Company began operating this entity as of the December 19, 2024 closing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reason for the acquisition was Sherlock's first test for Chlamydia Trachomatis (CT) and Neisseria Gonorrhoeae (NG), which is in clinical studies and is expected to be submitted to the FDA for approval by the end of 2025. Subject to regulatory approvals, this test is expected to expand the Company's portfolio for rapid diagnostics for sexually transmitted infections.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aggregate purchase price of this transaction was funded with cash on hand as shown in the table below:</w:t>
      </w:r>
    </w:p>
    <w:tbl>
      <w:tblPr>
        <w:tblW w:w="4461" w:type="dxa"/>
        <w:jc w:val="left"/>
        <w:tblInd w:w="0" w:type="dxa"/>
        <w:tblLayout w:type="fixed"/>
        <w:tblCellMar>
          <w:top w:w="28" w:type="dxa"/>
          <w:left w:w="28" w:type="dxa"/>
          <w:bottom w:w="28" w:type="dxa"/>
          <w:right w:w="28" w:type="dxa"/>
        </w:tblCellMar>
      </w:tblPr>
      <w:tblGrid>
        <w:gridCol w:w="1223"/>
        <w:gridCol w:w="1075"/>
        <w:gridCol w:w="1077"/>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based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Sherlock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policy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aggregate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the Company agreed to pay up to $20.0 million of contingent consideration based on the achievement of a regulatory milestone on or before December 31, 2026 as defined in the Merger Agreement. The fair value of the milestone contingent consideration was $15.9 million. The range of outcome for the milestone contingent consideration is zero to $20.0 million. There is also a mid-single digits quarterly royalty fee based on future sales until 2034 as defined in the Merger Agreement, the fair value of which was determined as part of the contingent consideration. The estimated acquisition-date fair value of the royalty fee acquisition-related contingent consideration was $7.0 million. The range of outcome for the royalty payment cannot be determined due to the fact it is based on future sales associated with the acquired in-process research and development technology through 2034 and thus does not have an upper limit.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as of the acquisition date:</w:t>
      </w:r>
    </w:p>
    <w:tbl>
      <w:tblPr>
        <w:tblW w:w="6380" w:type="dxa"/>
        <w:jc w:val="left"/>
        <w:tblInd w:w="0" w:type="dxa"/>
        <w:tblLayout w:type="fixed"/>
        <w:tblCellMar>
          <w:top w:w="28" w:type="dxa"/>
          <w:left w:w="28" w:type="dxa"/>
          <w:bottom w:w="28" w:type="dxa"/>
          <w:right w:w="28" w:type="dxa"/>
        </w:tblCellMar>
      </w:tblPr>
      <w:tblGrid>
        <w:gridCol w:w="1954"/>
        <w:gridCol w:w="1722"/>
        <w:gridCol w:w="1723"/>
        <w:gridCol w:w="211"/>
        <w:gridCol w:w="616"/>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Acquired </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 technology intangible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Assumed</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Paid (net of cash acquired of ($402)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milestone scenario based model was used to value the assumed milestone contingent consideration,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approach was used to value the royalty based contingent consideration, were primarily based on significant unobservable inputs and are considered Level 3 fair value measurements. The fair value of contingent payments approach were primarily based on projected cash flows, probability of on the achievement of a regulatory milestone as defined under the agreements, and 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evaluate the fair value of certain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is expected to be completed within one year from the date of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Sherlock primarily consist of grant revenues for research and development purposes. Effective as of December 19, 2024, the financial results of Sherlock are included in the consolidated financial results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Unaudited Pro Forma Financial Information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results presented below include the results of the Sherlock acquisition as if it had been consummated as of January 1, 2024.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 been consummated as of January 1, 2024.</w:t>
      </w:r>
    </w:p>
    <w:p>
      <w:pPr>
        <w:pStyle w:val="TextBody"/>
        <w:bidi w:val="0"/>
        <w:spacing w:before="0" w:after="0"/>
        <w:jc w:val="both"/>
        <w:rPr/>
      </w:pPr>
      <w:r>
        <w:rPr/>
      </w:r>
    </w:p>
    <w:p>
      <w:pPr>
        <w:pStyle w:val="TextBody"/>
        <w:bidi w:val="0"/>
        <w:spacing w:before="0" w:after="0"/>
        <w:jc w:val="center"/>
        <w:rPr/>
      </w:pPr>
      <w:r>
        <w:rPr/>
      </w:r>
    </w:p>
    <w:tbl>
      <w:tblPr>
        <w:tblW w:w="4570" w:type="dxa"/>
        <w:jc w:val="center"/>
        <w:tblInd w:w="0" w:type="dxa"/>
        <w:tblLayout w:type="fixed"/>
        <w:tblCellMar>
          <w:top w:w="28" w:type="dxa"/>
          <w:left w:w="28" w:type="dxa"/>
          <w:bottom w:w="28" w:type="dxa"/>
          <w:right w:w="28" w:type="dxa"/>
        </w:tblCellMar>
      </w:tblPr>
      <w:tblGrid>
        <w:gridCol w:w="439"/>
        <w:gridCol w:w="387"/>
        <w:gridCol w:w="388"/>
        <w:gridCol w:w="109"/>
        <w:gridCol w:w="564"/>
        <w:gridCol w:w="2129"/>
        <w:gridCol w:w="291"/>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t>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The Company appealed the grant of summary judgment to the Court of Appeals on June 8, 2023. On February 14, 2025, the Court of Appeals affirmed the District Court’s judgment. The Court of Appeals mandate issued on March 24, 2025.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inter partes review of a third patent, which DNAG did not assert in the District Court. On March 26, 2024, the PTO issued a Decision Granting Institution of Inter Partes Review. On July 2, 2024, the Company filed a Motion to Amend the claims of the third patent and oral argument in this IPR took place on January 24, 2025. On February 19, 2025, the PTO issued a Final Written Decision regarding the third patent in the litigation, granting the Company’s Motion to Amend as to cancelling the original claims, but denying the Company’s Motion to Amend as to adding proposed substitute claims.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trial is scheduled for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2024 filed with the Securities and Exchange Commission on March 7, 2025.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2024 and the “Risk Factors” section of subsequent Quarterly Reports on Form 10-Q, the Company's actual results or timing of certain events could differ materially from the results or timing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HIV, Hepatitis C, Syphilis,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product, as a self-test to individuals in a number of other countries, including as an oral swab in-home test for HIV-1 and HIV-2 in Europe.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Developments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 Assessment Testing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the Company announced the discontinuance of sales of its risk assessment product line which was expected to be completed in the second quarter of 2025. Sales of its risk assessment products contributed $1.4 million and $2.1 million to revenues during the three months ended March 31, 2025 and 2024, respectively. During the first quarter of 2025, the Company sold certain assets that made up the risk assessment product line including certain intellectual property, contracts, permits,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three months ended March 31, 2025 compared to March 31,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total consolidated net revenues (dollars in thousands) for the three months ended March 31, 2025 and 2024:</w:t>
      </w:r>
    </w:p>
    <w:tbl>
      <w:tblPr>
        <w:tblW w:w="9977" w:type="dxa"/>
        <w:jc w:val="left"/>
        <w:tblInd w:w="0" w:type="dxa"/>
        <w:tblLayout w:type="fixed"/>
        <w:tblCellMar>
          <w:top w:w="28" w:type="dxa"/>
          <w:left w:w="28" w:type="dxa"/>
          <w:bottom w:w="28" w:type="dxa"/>
          <w:right w:w="28" w:type="dxa"/>
        </w:tblCellMar>
      </w:tblPr>
      <w:tblGrid>
        <w:gridCol w:w="1149"/>
        <w:gridCol w:w="1011"/>
        <w:gridCol w:w="1019"/>
        <w:gridCol w:w="211"/>
        <w:gridCol w:w="721"/>
        <w:gridCol w:w="109"/>
        <w:gridCol w:w="109"/>
        <w:gridCol w:w="109"/>
        <w:gridCol w:w="109"/>
        <w:gridCol w:w="211"/>
        <w:gridCol w:w="721"/>
        <w:gridCol w:w="109"/>
        <w:gridCol w:w="109"/>
        <w:gridCol w:w="109"/>
        <w:gridCol w:w="109"/>
        <w:gridCol w:w="269"/>
        <w:gridCol w:w="271"/>
        <w:gridCol w:w="483"/>
        <w:gridCol w:w="109"/>
        <w:gridCol w:w="109"/>
        <w:gridCol w:w="109"/>
        <w:gridCol w:w="241"/>
        <w:gridCol w:w="225"/>
        <w:gridCol w:w="524"/>
        <w:gridCol w:w="210"/>
        <w:gridCol w:w="210"/>
        <w:gridCol w:w="210"/>
        <w:gridCol w:w="271"/>
        <w:gridCol w:w="210"/>
        <w:gridCol w:w="611"/>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Net Revenues</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Diagnostics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Sample Management Solutions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Risk Assessment Testing</w:t>
            </w:r>
            <w:r>
              <w:rPr>
                <w:color w:val="000000"/>
              </w:rPr>
              <w:t xml:space="preserve">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Diagnostics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products and services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Molecular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and services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Non-product and services revenues</w:t>
            </w:r>
            <w:r>
              <w:rPr>
                <w:color w:val="000000"/>
              </w:rPr>
              <w:t xml:space="preserve"> </w:t>
            </w:r>
            <w:r>
              <w:rPr>
                <w:rFonts w:ascii="Times New Roman;sans-serif" w:hAnsi="Times New Roman;sans-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HIV, HCV and Syphilis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Genomics, Microbiome and Colli-Pee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substance abuse testing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COVID-19 Sample Management Solutions product revenues.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Includes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Product and Services Revenues</w:t>
      </w:r>
    </w:p>
    <w:p>
      <w:pPr>
        <w:pStyle w:val="TextBody"/>
        <w:bidi w:val="0"/>
        <w:spacing w:lineRule="auto" w:line="288" w:before="120" w:after="283"/>
        <w:jc w:val="both"/>
        <w:rPr/>
      </w:pPr>
      <w:r>
        <w:rPr>
          <w:rFonts w:ascii="Times New Roman;sans-serif" w:hAnsi="Times New Roman;sans-serif"/>
          <w:b w:val="false"/>
          <w:color w:val="000000"/>
          <w:sz w:val="20"/>
        </w:rPr>
        <w:t>Consolidated net revenues decreased 45%</w:t>
      </w:r>
      <w:r>
        <w:rPr>
          <w:color w:val="000000"/>
        </w:rPr>
        <w:t xml:space="preserve"> </w:t>
      </w:r>
      <w:r>
        <w:rPr>
          <w:rFonts w:ascii="Times New Roman;sans-serif" w:hAnsi="Times New Roman;sans-serif"/>
          <w:b w:val="false"/>
          <w:color w:val="000000"/>
          <w:sz w:val="20"/>
        </w:rPr>
        <w:t xml:space="preserve">to $29.9 million for the three months ended March 31, 2025 from $54.1 million for the three months ended March 31,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Company's Diagnostics products increased 8% to $17.7 million for the three months ended March 31, 2025 from $16.4 million for the three months ended March 31, 2024. This increase in revenues is largely due to higher international HIV and HCV revenues of approximately $1.2 million primarily driven by customer ordering patterns. Sales of a syphilis product, which were first sold in the second quarter of 2024 are also partially responsible for the increase. This increase in revenues was offset by decrease in revenues under the CDC "Together Take me Home," HIV self-test program.</w:t>
      </w:r>
    </w:p>
    <w:p>
      <w:pPr>
        <w:pStyle w:val="TextBody"/>
        <w:bidi w:val="0"/>
        <w:spacing w:lineRule="auto" w:line="288" w:before="240" w:after="283"/>
        <w:jc w:val="both"/>
        <w:rPr/>
      </w:pPr>
      <w:r>
        <w:rPr>
          <w:rFonts w:ascii="Times New Roman;sans-serif" w:hAnsi="Times New Roman;sans-serif"/>
          <w:b w:val="false"/>
          <w:color w:val="000000"/>
          <w:sz w:val="20"/>
        </w:rPr>
        <w:t>Sample Management Solutions revenues decreased 16% to $9.1 million for the three months ended March 31, 2025 from $10.8 million</w:t>
      </w:r>
      <w:r>
        <w:rPr>
          <w:color w:val="000000"/>
        </w:rPr>
        <w:t xml:space="preserve"> </w:t>
      </w:r>
      <w:r>
        <w:rPr>
          <w:rFonts w:ascii="Times New Roman;sans-serif" w:hAnsi="Times New Roman;sans-serif"/>
          <w:b w:val="false"/>
          <w:color w:val="000000"/>
          <w:sz w:val="20"/>
        </w:rPr>
        <w:t xml:space="preserve">for the three months ended March 31, 2024. Sales of the Company's genomics products are being impacted by customer bankruptcy and economic pressures. </w:t>
      </w:r>
    </w:p>
    <w:p>
      <w:pPr>
        <w:pStyle w:val="TextBody"/>
        <w:bidi w:val="0"/>
        <w:spacing w:lineRule="auto" w:line="288" w:before="240" w:after="283"/>
        <w:jc w:val="both"/>
        <w:rPr/>
      </w:pPr>
      <w:r>
        <w:rPr>
          <w:rFonts w:ascii="Times New Roman;sans-serif" w:hAnsi="Times New Roman;sans-serif"/>
          <w:b w:val="false"/>
          <w:color w:val="000000"/>
          <w:sz w:val="20"/>
        </w:rPr>
        <w:t>Risk assessment revenue decreased</w:t>
      </w:r>
      <w:r>
        <w:rPr>
          <w:color w:val="000000"/>
        </w:rPr>
        <w:t xml:space="preserve"> </w:t>
      </w:r>
      <w:r>
        <w:rPr>
          <w:rFonts w:ascii="Times New Roman;sans-serif" w:hAnsi="Times New Roman;sans-serif"/>
          <w:b w:val="false"/>
          <w:color w:val="000000"/>
          <w:sz w:val="20"/>
        </w:rPr>
        <w:t>32% to $1.4 million for the</w:t>
      </w:r>
      <w:r>
        <w:rPr>
          <w:color w:val="000000"/>
        </w:rPr>
        <w:t xml:space="preserve"> </w:t>
      </w:r>
      <w:r>
        <w:rPr>
          <w:rFonts w:ascii="Times New Roman;sans-serif" w:hAnsi="Times New Roman;sans-serif"/>
          <w:b w:val="false"/>
          <w:color w:val="000000"/>
          <w:sz w:val="20"/>
        </w:rPr>
        <w:t>three months ended March 31, 2025 from $2.1 million</w:t>
      </w:r>
      <w:r>
        <w:rPr>
          <w:color w:val="000000"/>
        </w:rPr>
        <w:t xml:space="preserve"> </w:t>
      </w:r>
      <w:r>
        <w:rPr>
          <w:rFonts w:ascii="Times New Roman;sans-serif" w:hAnsi="Times New Roman;sans-serif"/>
          <w:b w:val="false"/>
          <w:color w:val="000000"/>
          <w:sz w:val="20"/>
        </w:rPr>
        <w:t>for the three months ended March 31, 2024. The Company discontinued this line of business at the end of 2024 and business is winding down in early 2025.</w:t>
      </w:r>
    </w:p>
    <w:p>
      <w:pPr>
        <w:pStyle w:val="TextBody"/>
        <w:bidi w:val="0"/>
        <w:spacing w:lineRule="auto" w:line="288" w:before="240" w:after="283"/>
        <w:jc w:val="both"/>
        <w:rPr/>
      </w:pPr>
      <w:r>
        <w:rPr>
          <w:rFonts w:ascii="Times New Roman;sans-serif" w:hAnsi="Times New Roman;sans-serif"/>
          <w:b w:val="false"/>
          <w:color w:val="000000"/>
          <w:sz w:val="20"/>
        </w:rPr>
        <w:t>COVID-19 Diagnostics revenues decreased 98% to $0.5 million for the three months ended March 31, 2025 compared to $23.1 million for the three months ended March 31, 2024 due to decreased sales of the Company's InteliSwab</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tests through its U.S. government procurement contracts. We expect this decline in revenue to continue throughout the remainder of 2025 and for the foreseeable future due to the fulfillment of these contracts and lower overall demand for COVID-19 testing.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Molecular Services revenues, which are derived from the Company's microbiome molecular sequencing services, were zero during the three months ended March 31, 2025 compared to $0.9 million during the three months ended March 31, 2024. The decrease in services revenues was due to the Company's decision to exit this line of business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Non-Product and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Non-product and services revenues increased 165% to $0.9 million for the three months ended March 31, 2025 from $0.4 million for the three months ended March 31, 2024 primarily due to the recognition of revenue under funded R&amp;D contracts that were assumed by the Company as a result of the Sherlock acquisition at the end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margin decreased to 41.1% for the three months ended March 31, 2025 from 44.5% for the three months ended March 31, 2024. The largest driver of the margin decline was driven by product mix of lower volume InteliSwab® sales that generate higher gross margins. Gross margin was also negatively impacted by the decrease in genomics sales that also generate higher gross margin coupled with increased international product sales which generate lower margins. This negative impact to gross margin was offset by improved overhead absorption and the termination of the microbiome molecular sequencing services business which historically dragged down the gross margin rate.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loss for the three months ended March 31, 2025 was $17.8 million, a $10.7 million decline from the operating loss reported for the three months ended March 31, 2024. The increase in the operating loss reported in the first quarter of 2025 was largely a result of the lower revenues and lower gross margins generated on sales of the Company's products during the three months ended March 31, 2025.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24% to $9.6 million for the three months ended March 31, 2025 from $7.7 million for the three months ended March 31, 2024 largely due the additional R&amp;D spend incurred by the newly acquired Sherlock companies.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19% to $6.9 million for the three months ended March 31, 2025 from $8.4 million for the three months ended March 31, 2024 due to lower spend on consulting fees and lower employee costs associated with a decrease in headcount.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21% to $14.1 million for the three months ended March 31, 2025 from $11.6 million for the three months ended March 31, 2024 largely due an increase in legal fees and the additional general and administrative costs associated with the newly acquired Sherlock companies.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 Recent Developments, the Company sold certain assets, including certain intellectual property, contracts, permits and equipment during the first quarter of 2025 related to it risk assessment product line. The Company recorded a $0.75 million gain on the sales of those assets in addition to the sale of other assets for an approximately $0.2 million gain.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2025, the Company recorded a non-cash adjustment of $0.5 million, reflecting the change in the estimated fair value of the Sherlock acquisition-related contingent consideration. The Sherlock acquisition was completed in December 2024 and there is no comparable amount in the first quarter of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above contributed to the Company's operating loss of $17.8 million for the three months ended March 31, 2025, which included non-cash charges of $2.8 million for depreciation and amortization, and non-cash charges of $2.7 million for stock-based compensation. The Company's operating loss of $7.1 million for the three months ended March 31, 2024 included a non-cash impairment charge of $3.3 million, non-cash charges of $2.7 million for depreciation and amortization, and $3.0 million for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three months ended March 31, 2025 was $1.8 million compared to $3.5 million for the three months ended March 31, 2024 due to lower interest income and foreign currency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believe the full valuation allowance established against its total U.S. deferred tax asset is appropriate as the facts and circumstances necessitating the allowance have not changed. For the three months ended March 31, 2025 and 2024, the Company recorded an income tax benefit of $0.5 million and $0.02 million, respectively. The increase in the income tax benefit is largely due to a higher foreign income tax benefit as a result of higher projected foreign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tbl>
      <w:tblPr>
        <w:tblW w:w="5394" w:type="dxa"/>
        <w:jc w:val="left"/>
        <w:tblInd w:w="0" w:type="dxa"/>
        <w:tblLayout w:type="fixed"/>
        <w:tblCellMar>
          <w:top w:w="28" w:type="dxa"/>
          <w:left w:w="28" w:type="dxa"/>
          <w:bottom w:w="28" w:type="dxa"/>
          <w:right w:w="28" w:type="dxa"/>
        </w:tblCellMar>
      </w:tblPr>
      <w:tblGrid>
        <w:gridCol w:w="820"/>
        <w:gridCol w:w="720"/>
        <w:gridCol w:w="724"/>
        <w:gridCol w:w="232"/>
        <w:gridCol w:w="908"/>
        <w:gridCol w:w="119"/>
        <w:gridCol w:w="109"/>
        <w:gridCol w:w="109"/>
        <w:gridCol w:w="109"/>
        <w:gridCol w:w="273"/>
        <w:gridCol w:w="1072"/>
        <w:gridCol w:w="19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decreased to $247.6 million at March 31, 2025 from $267.8 million at December 31, 2024. The Company's Canadian subsidiary, DNAG, held $82.5 million or 33% of the $247.6 million in cash and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working capital decreased to $288.4 million at March 31, 2025 from $299.7 million at December 31, 2024.</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Analysis of the Company's Cash Flows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net cash used in operating activities was $19.7 million. Cash flows from operations can be significantly impacted by factors such as timing of receipt from customers, inventory purchases, and payments to vendors. The Company's net loss of $16.0 million included non-cash charges of depreciation and amortization expense of $2.8 million, stock-based compensation expense of $2.7 million, and other non-cash income of $0.3 million mostly consisting of a gain on the sale of assets offset by the non-cash adjustment to the contingent consideration liabilities. Cash used by the working capital accounts included an increase in inventory of $1.5 million due to the lower revenues and reduced shipments, an increase in prepaid expense and other current assets of $2.1 million due to foreign tax installment payments, and a decrease in accrued expenses of $6.6 million as the Company paid out year-end bonuses in March 2025. Cash provided by the working capital accounts included an decrease in accounts receivable of $2.4 million largely associated with lower overall sales and collections of balances due.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was $0.4 million for the three months ended March 31, 2025, which was due to proceeds from sale of property and equipment offset by the acquisition of new property and equipment.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$1.0 million for the three months ended March 31, 2025, which was largely comprised of $0.9 million used for the repurchase of common stock to satisfy withholding taxes related to the vesting of restricted shares awarded to the Company's employees.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obligations to make future payments under contracts existing at December 31, 2024 is included in Item 7, Management’s Discussion and Analysis of Financial Condition and Results of Operations, of its Annual Report on Form 10-K for the year ended December 31, 2024. As of March 31, 2025, there were no significant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more detailed review of the Company's critical accounting policies is contained in its Annual Report on Form 10-K for the year ended December 31, 2024 filed with the SEC. No material changes have been made to such critical accounting policies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assessment of its sensitivity to market risk since its presentation set forth in Item 7A, "Quantitative and Qualitative Disclosures About Market Risk," in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Evaluation of Disclosure Controls and Procedures</w:t>
      </w:r>
      <w:r>
        <w:rPr>
          <w:rFonts w:ascii="Times New Roman;sans-serif" w:hAnsi="Times New Roman;sans-serif"/>
          <w:b w:val="false"/>
          <w:color w:val="000000"/>
          <w:sz w:val="20"/>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2025. Based on that evaluation, the Company’s management, including such officers, concluded that the Company’s disclosure controls and procedures were effective as of March 31, 2025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pStyle w:val="TextBody"/>
        <w:bidi w:val="0"/>
        <w:spacing w:lineRule="auto" w:line="288" w:before="240" w:after="283"/>
        <w:jc w:val="both"/>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Changes in Internal Control Over Financial Reporting</w:t>
      </w:r>
      <w:r>
        <w:rPr>
          <w:rFonts w:ascii="Times New Roman;sans-serif" w:hAnsi="Times New Roman;sans-serif"/>
          <w:b w:val="false"/>
          <w:color w:val="000000"/>
          <w:sz w:val="20"/>
        </w:rPr>
        <w:t>. There was no change in the Company’s internal control over financial reporting that occurred during the three months ended March 31, 2025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pStyle w:val="TextBody"/>
        <w:bidi w:val="0"/>
        <w:spacing w:lineRule="auto" w:line="28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Spectrum Patent Litigation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The Company appealed the grant of summary judgment to the Court of Appeals on June 8, 2023. On February 14, 2025, the Court of Appeals affirmed the District Court’s judgment. The Court of Appeals mandate issued on March 24, 2025.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inter partes review of a third patent, which DNAG did not assert in the District Court. On March 26, 2024, the PTO issued a Decision Granting Institution of Inter Partes Review. On July 2, 2024, the Company filed a Motion to Amend the claims of the third patent and oral argument in this IPR took place on January 24, 2025. On February 19, 2025, the PTO issued a Final Written Decision regarding the third patent in the litigation, granting the Company’s Motion to Amend as to cancelling the original claims, but denying the Company’s Motion to Amend as to adding proposed substitute claims. </w:t>
      </w:r>
    </w:p>
    <w:p>
      <w:pPr>
        <w:pStyle w:val="TextBody"/>
        <w:bidi w:val="0"/>
        <w:spacing w:lineRule="auto" w:line="28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NowDiagnostics Litigation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trial is scheduled for March 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entitled “Risk Factors,” in the Company's Annual Report on Form 10-K for the year ended December 31, 2024 filed with the SEC on March 7, 2025, other than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Adding the following new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Share Repurchases Could Increase the Volatility of the Trading Price of Our Common Stock and Diminish Our Cash Reserves, and We Cannot Guarantee That Our Stock Repurchase Program Will Enhance Long-Term Stockholder Value.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2025, our Board authorized the repurchase of up to $40.0 million in shares of our common stock pursuant to a stock repurchase program (the “Repurchase Program”). The Repurchase Program does not obligate us to repurchase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minimum dollar amount or number of shares, and can be modified, terminated or suspended at any time. Repurchases of shares of our common stock could affect the trading price of our common stock and increase volatility of such securities. Similarly, the future announcement of the modification, suspension or termination of the Repurchase Program, or our decision not to utilize the full authorized repurchase amount under the Repurchase Program, could result in a decrease in the trading price of our common stock. In addition, the Repurchase Program could have the impact of reducing our cash reserves, which may impact our ability to finance our growth, fund working capital, strategic acquisitions or business opportunities, and other general corporate purposes and execute our strategic plan. Although the Repurchase Program is intended to enhance long-term stockholder value, there can be no assurance that it will do so because the trading price of our common stock may decline below the levels at which we repurchased our shares and short-term stock price fluctuations could reduce the effectiveness of the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Disruptions at the FDA and Other Government Agencies Caused By Reduction in Staffing or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Currently, federal agencies in the United States are operating under a continuing resolution that is set to expire on September 30, 2025. Without appropriation of additional funding to federal agencies, our business operations related to our product development for the U.S. market could be impacted. 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other government agencies on which our operations may rely is subject to the impacts of political events, which are inherently fluid and unpredictable.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and personnel turnover, as a result of leadership changes, staff reductions or otherwise,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or if staffing changes prevent the FDA, the SEC or other regulatory authorities from conducting their regular inspections, reviews, or other regulatory activities, including formal and informal interactions with product developers, it could significantly impact the ability of the FDA, the SEC or other regulatory authority to timely review and process our regulatory submissions, which could have a material adverse effect on our business and our timelines.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Supplementing the following risk factor: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Increasing Geopolitical and Economic Risk and Tariffs Could Negatively Affect Our Ability to Maintain Sales at Existing Levels.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imposition of tariffs, non-tariff barriers, and other import and export restrictions have contributed to increased global economic uncertainty. For example, on April 2, 2025, the United States imposed substantial tariffs on most countries throughout the world. The new U.S. administration has indicated that it is considering broadly imposing tariffs, which could lead to corresponding punitive actions by countries with which the United States trades. These actions could make it more difficult for us to attract new customers, retain existing customers, continue to produce and source in an optimal manner, maintain our supply chain, or maintain sales at existing levels, both in the United States and in other countries. Geopolitical and economic risks, together with trade protectionism have increased over the past few years in many regions of the world, including in the United States. Any of these risks, ensuing retaliation, or the further deterioration of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relations between countries could make our offerings more expensive or non-competitive in the affected countries.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business results, cash flows, financial condition, or prospects.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tbl>
      <w:tblPr>
        <w:tblW w:w="10205" w:type="dxa"/>
        <w:jc w:val="left"/>
        <w:tblInd w:w="0" w:type="dxa"/>
        <w:tblLayout w:type="fixed"/>
        <w:tblCellMar>
          <w:top w:w="28" w:type="dxa"/>
          <w:left w:w="28" w:type="dxa"/>
          <w:bottom w:w="28" w:type="dxa"/>
          <w:right w:w="28" w:type="dxa"/>
        </w:tblCellMar>
      </w:tblPr>
      <w:tblGrid>
        <w:gridCol w:w="1072"/>
        <w:gridCol w:w="937"/>
        <w:gridCol w:w="947"/>
        <w:gridCol w:w="109"/>
        <w:gridCol w:w="109"/>
        <w:gridCol w:w="109"/>
        <w:gridCol w:w="444"/>
        <w:gridCol w:w="438"/>
        <w:gridCol w:w="432"/>
        <w:gridCol w:w="109"/>
        <w:gridCol w:w="109"/>
        <w:gridCol w:w="109"/>
        <w:gridCol w:w="282"/>
        <w:gridCol w:w="685"/>
        <w:gridCol w:w="145"/>
        <w:gridCol w:w="109"/>
        <w:gridCol w:w="109"/>
        <w:gridCol w:w="109"/>
        <w:gridCol w:w="459"/>
        <w:gridCol w:w="459"/>
        <w:gridCol w:w="461"/>
        <w:gridCol w:w="109"/>
        <w:gridCol w:w="109"/>
        <w:gridCol w:w="109"/>
        <w:gridCol w:w="310"/>
        <w:gridCol w:w="1592"/>
        <w:gridCol w:w="234"/>
      </w:tblGrid>
      <w:tr>
        <w:trPr/>
        <w:tc>
          <w:tcPr>
            <w:tcW w:w="107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 value)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 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repurchased under the plans</w:t>
            </w:r>
          </w:p>
          <w:p>
            <w:pPr>
              <w:pStyle w:val="TableContents"/>
              <w:bidi w:val="0"/>
              <w:spacing w:lineRule="auto" w:line="240" w:before="0" w:after="0"/>
              <w:jc w:val="center"/>
              <w:rPr/>
            </w:pPr>
            <w:r>
              <w:rPr>
                <w:rFonts w:ascii="Times New Roman;sans-serif" w:hAnsi="Times New Roman;sans-serif"/>
                <w:b/>
                <w:color w:val="000000"/>
                <w:sz w:val="16"/>
              </w:rPr>
              <w:t xml:space="preserve">or programs </w:t>
            </w:r>
            <w:r>
              <w:rPr>
                <w:rFonts w:ascii="Times New Roman;sans-serif" w:hAnsi="Times New Roman;sans-serif"/>
                <w:b/>
                <w:color w:val="000000"/>
                <w:sz w:val="10"/>
              </w:rPr>
              <w:t>(1, 2)</w:t>
            </w:r>
          </w:p>
        </w:tc>
      </w:tr>
      <w:tr>
        <w:trPr/>
        <w:tc>
          <w:tcPr>
            <w:tcW w:w="2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52,740 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50,009 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11,984,720 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(1)On August 5, 2008, the Company's Board of Directors approved a share repurchase program (the "Prior Repurchase Program") pursuant to which the Company was permitted to acquire up to $25.0 million of outstanding shares of the Company's common stock. This share repurchase program was discontinued on March 21, 2025. In March 2025, the Company's board of directors authorized a stock repurchase program (the “Repurchase Program”) effective March 21, 2025, whereby the Company may purchase up to $40.0 million in shares of our common stock over a period of up to two years. The amount and timing of share repurchases under the Repurchase Program may be carried out at the discretion of management through various methods in compliance with applicable state and federal securities laws. We did not repurchase any shares of our common stock under the Repurchase Program during the three months ended March 31, 2025.</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(2)This column represents the amount that remains available under the $25.0 million Prior Repurchase Program, as of the period indicated. The Company has made no commitment to purchase any shares under this plan.</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(3)Pursuant to the OraSure Technologies, Inc. Stock Award Plan, and in connection with the vesting of restricted and performance shares, these shares were retired to satisfy minimum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 set forth in Part II - Item 2 above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none of our directors or officers adopted, amended,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2665"/>
        <w:gridCol w:w="2665"/>
        <w:gridCol w:w="377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03312025xexx311.htm">
              <w:r>
                <w:rPr>
                  <w:rStyle w:val="InternetLink"/>
                  <w:rFonts w:ascii="Times New Roman;sans-serif" w:hAnsi="Times New Roman;sans-serif"/>
                  <w:b w:val="false"/>
                  <w:color w:val="0000FF"/>
                  <w:sz w:val="20"/>
                  <w:u w:val="single"/>
                </w:rPr>
                <w:t>Certification of Carrie Eglinton-Manner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03312025xexx312.htm">
              <w:r>
                <w:rPr>
                  <w:rStyle w:val="InternetLink"/>
                  <w:rFonts w:ascii="Times New Roman;sans-serif" w:hAnsi="Times New Roman;sans-serif"/>
                  <w:b w:val="false"/>
                  <w:color w:val="0000FF"/>
                  <w:sz w:val="20"/>
                  <w:u w:val="single"/>
                </w:rPr>
                <w:t>Certification of Kenneth J. McGrath required by Rule 13a-14(a) or Rule 15d-14(a) under the Securities Exchange Act of 1934, as amended.</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03312025xexx321.htm">
              <w:r>
                <w:rPr>
                  <w:rStyle w:val="InternetLink"/>
                  <w:rFonts w:ascii="Times New Roman;sans-serif" w:hAnsi="Times New Roman;sans-serif"/>
                  <w:b w:val="false"/>
                  <w:color w:val="0000FF"/>
                  <w:sz w:val="20"/>
                  <w:u w:val="single"/>
                </w:rPr>
                <w:t>Certification of Carrie Eglinton-Manner required by Rule 13a-14(b) or Rule 15d-14(b) under the Securities Exchange Act of 1934, as amended, and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03312025xexx322.htm">
              <w:r>
                <w:rPr>
                  <w:rStyle w:val="InternetLink"/>
                  <w:rFonts w:ascii="Times New Roman;sans-serif" w:hAnsi="Times New Roman;sans-serif"/>
                  <w:b w:val="false"/>
                  <w:color w:val="0000FF"/>
                  <w:sz w:val="20"/>
                  <w:u w:val="single"/>
                </w:rPr>
                <w:t>Certification of Kenneth J. McGrath required by Rule 13a-14(b) or Rule 15d-14(b) under the Securities Exchange Act of 1934, as amended, and 18 U.S.C. Section 1350, as Adopted Pursuant to Section 906 of the Sarbanes-Oxley Act of 2002</w:t>
              </w:r>
            </w:hyperlink>
            <w:r>
              <w:rPr>
                <w:rFonts w:ascii="Times New Roman;sans-serif" w:hAnsi="Times New Roman;sans-serif"/>
                <w:b w:val="false"/>
                <w:color w:val="000000"/>
                <w:sz w:val="20"/>
              </w:rPr>
              <w: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ferabilityletter.htm">
              <w:r>
                <w:rPr>
                  <w:rStyle w:val="InternetLink"/>
                  <w:rFonts w:ascii="Times New Roman;sans-serif" w:hAnsi="Times New Roman;sans-serif"/>
                  <w:b w:val="false"/>
                  <w:color w:val="0000FF"/>
                  <w:sz w:val="20"/>
                  <w:u w:val="single"/>
                </w:rPr>
                <w:t>Preferability Letter</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from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5c68caefbdc242ce975c0070bf753cd3_10">
        <w:r>
          <w:rPr>
            <w:rStyle w:val="InternetLink"/>
          </w:rPr>
          <w:t xml:space="preserve">Table of </w:t>
        </w:r>
      </w:hyperlink>
      <w:hyperlink w:anchor="i5c68caefbdc242ce975c0070bf753cd3_10">
        <w:r>
          <w:rPr>
            <w:rStyle w:val="InternetLink"/>
          </w:rPr>
          <w:t>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305" w:type="dxa"/>
        <w:jc w:val="left"/>
        <w:tblInd w:w="0" w:type="dxa"/>
        <w:tblLayout w:type="fixed"/>
        <w:tblCellMar>
          <w:top w:w="28" w:type="dxa"/>
          <w:left w:w="28" w:type="dxa"/>
          <w:bottom w:w="28" w:type="dxa"/>
          <w:right w:w="28" w:type="dxa"/>
        </w:tblCellMar>
      </w:tblPr>
      <w:tblGrid>
        <w:gridCol w:w="591"/>
        <w:gridCol w:w="520"/>
        <w:gridCol w:w="523"/>
        <w:gridCol w:w="469"/>
        <w:gridCol w:w="469"/>
        <w:gridCol w:w="469"/>
        <w:gridCol w:w="1538"/>
        <w:gridCol w:w="1538"/>
        <w:gridCol w:w="218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ORASURE TECHNOLOGIES,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/s/Michele M. Anthony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Michele M. Anthony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Chief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Exhibit 18.1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2.4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OraSure Technologies, Inc.</w:t>
      </w:r>
    </w:p>
    <w:p>
      <w:pPr>
        <w:pStyle w:val="TextBody"/>
        <w:bidi w:val="0"/>
        <w:spacing w:lineRule="auto" w:line="288" w:before="0" w:after="0"/>
        <w:jc w:val="left"/>
        <w:rPr/>
      </w:pPr>
      <w:r>
        <w:rPr>
          <w:rFonts w:ascii="Times New Roman;sans-serif" w:hAnsi="Times New Roman;sans-serif"/>
          <w:b w:val="false"/>
          <w:color w:val="000000"/>
          <w:sz w:val="20"/>
        </w:rPr>
        <w:t>220 E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St. Bethlehem, PA18015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Directors:</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providing this letter solely for inclusion as an exhibit to OraSure Technologies Inc. (the “Company”") Form 10-Q filing pursuant to Item 601 of Regulation S-K.</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stated in Note 1 to the unaudited consolidated financial statements included in the Company’s Quarterly Report on Form 10-Q for the quarterly period ended March 31, 2025, the Company changed its accounting for inventory costing from the first-in, first-out (“FIFO”) method to average cost. Note 1 also states management’s belief that the newly adopted accounting principle is preferable in the circumstances as it results in greater precision in the calculation of acquisition cost of inventory on the balance sheet. </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 </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the newly adopted method of accounting is preferable in the Company’s circumstances. </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audited the application of the aforementioned accounting change to the financial statements included in Part I of the Company’s Form 10-Q. We also have not audited any consolidated financial statements of the Company as of any date or for any period subsequent to December 31, 2024. Accordingly, we do not express an opinion on whether the accounting for the change in accounting principle has been properly applied or whether the aforementioned financial statements are fairly presented in conformity with accounting principles generally accepted in the United States of America. </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lineRule="auto" w:line="30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304"/>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Carrie Eglinton Manner,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120"/>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4" w:type="dxa"/>
        <w:jc w:val="left"/>
        <w:tblInd w:w="0" w:type="dxa"/>
        <w:tblLayout w:type="fixed"/>
        <w:tblCellMar>
          <w:top w:w="28" w:type="dxa"/>
          <w:left w:w="28" w:type="dxa"/>
          <w:bottom w:w="28" w:type="dxa"/>
          <w:right w:w="28" w:type="dxa"/>
        </w:tblCellMar>
      </w:tblPr>
      <w:tblGrid>
        <w:gridCol w:w="591"/>
        <w:gridCol w:w="520"/>
        <w:gridCol w:w="523"/>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J. McGrath, certify that: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44" w:type="dxa"/>
        <w:jc w:val="left"/>
        <w:tblInd w:w="0" w:type="dxa"/>
        <w:tblLayout w:type="fixed"/>
        <w:tblCellMar>
          <w:top w:w="28" w:type="dxa"/>
          <w:left w:w="28" w:type="dxa"/>
          <w:bottom w:w="28" w:type="dxa"/>
          <w:right w:w="28" w:type="dxa"/>
        </w:tblCellMar>
      </w:tblPr>
      <w:tblGrid>
        <w:gridCol w:w="591"/>
        <w:gridCol w:w="520"/>
        <w:gridCol w:w="523"/>
        <w:gridCol w:w="763"/>
        <w:gridCol w:w="763"/>
        <w:gridCol w:w="108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March 31, 2025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Carrie Eglinton Manner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 Eglinton Manner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pPr>
      <w:r>
        <w:rPr>
          <w:rFonts w:ascii="Times New Roman;sans-serif" w:hAnsi="Times New Roman;sans-serif"/>
          <w:b/>
          <w:color w:val="000000"/>
          <w:sz w:val="20"/>
        </w:rPr>
        <w:t>18 U.S.C.</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color w:val="000000"/>
          <w:sz w:val="20"/>
        </w:rPr>
        <w:t>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OraSure Technologies, Inc. (the “Company”) on Form 10-Q for the quarter ended March 31, 2025 as filed with the Securities and Exchange Commission on the date hereof (the “Report”), I, Kenneth J. McGrath, Chief Financial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McGrath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McGrath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15002</Words>
  <Characters>84125</Characters>
  <CharactersWithSpaces>98231</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