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79" w:lineRule="exact"/>
        <w:rPr>
          <w:sz w:val="24"/>
          <w:szCs w:val="24"/>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20" w:hanging="394"/>
        <w:spacing w:after="0"/>
        <w:tabs>
          <w:tab w:leader="none" w:pos="4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_________</w:t>
      </w: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_________</w:t>
      </w:r>
      <w:r>
        <w:rPr>
          <w:rFonts w:ascii="Times New Roman" w:cs="Times New Roman" w:eastAsia="Times New Roman" w:hAnsi="Times New Roman"/>
          <w:sz w:val="18"/>
          <w:szCs w:val="18"/>
          <w:b w:val="1"/>
          <w:bCs w:val="1"/>
          <w:color w:val="auto"/>
        </w:rPr>
        <w:t xml:space="preserve"> .</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001-16537</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ORASURE TECHNOLOGIES, INC.</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5"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4980" w:type="dxa"/>
            <w:vAlign w:val="bottom"/>
          </w:tcPr>
          <w:p>
            <w:pPr>
              <w:jc w:val="center"/>
              <w:ind w:right="13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36-4370966</w:t>
            </w:r>
          </w:p>
        </w:tc>
      </w:tr>
      <w:tr>
        <w:trPr>
          <w:trHeight w:val="205"/>
        </w:trPr>
        <w:tc>
          <w:tcPr>
            <w:tcW w:w="4980" w:type="dxa"/>
            <w:vAlign w:val="bottom"/>
          </w:tcPr>
          <w:p>
            <w:pPr>
              <w:jc w:val="center"/>
              <w:ind w:right="1321"/>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8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190"/>
        </w:trPr>
        <w:tc>
          <w:tcPr>
            <w:tcW w:w="4980" w:type="dxa"/>
            <w:vAlign w:val="bottom"/>
          </w:tcPr>
          <w:p>
            <w:pPr>
              <w:jc w:val="center"/>
              <w:ind w:right="13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80" w:type="dxa"/>
            <w:vAlign w:val="bottom"/>
          </w:tcPr>
          <w:p>
            <w:pPr>
              <w:spacing w:after="0"/>
              <w:rPr>
                <w:sz w:val="16"/>
                <w:szCs w:val="16"/>
                <w:color w:val="auto"/>
              </w:rPr>
            </w:pPr>
          </w:p>
        </w:tc>
      </w:tr>
      <w:tr>
        <w:trPr>
          <w:trHeight w:val="483"/>
        </w:trPr>
        <w:tc>
          <w:tcPr>
            <w:tcW w:w="4980" w:type="dxa"/>
            <w:vAlign w:val="bottom"/>
          </w:tcPr>
          <w:p>
            <w:pPr>
              <w:jc w:val="center"/>
              <w:ind w:right="1301"/>
              <w:spacing w:after="0"/>
              <w:rPr>
                <w:sz w:val="20"/>
                <w:szCs w:val="20"/>
                <w:color w:val="auto"/>
              </w:rPr>
            </w:pPr>
            <w:r>
              <w:rPr>
                <w:rFonts w:ascii="Times New Roman" w:cs="Times New Roman" w:eastAsia="Times New Roman" w:hAnsi="Times New Roman"/>
                <w:sz w:val="18"/>
                <w:szCs w:val="18"/>
                <w:b w:val="1"/>
                <w:bCs w:val="1"/>
                <w:color w:val="auto"/>
              </w:rPr>
              <w:t>220 East First Street, Bethlehem, Pennsylvania</w:t>
            </w:r>
          </w:p>
        </w:tc>
        <w:tc>
          <w:tcPr>
            <w:tcW w:w="348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18015</w:t>
            </w:r>
          </w:p>
        </w:tc>
      </w:tr>
      <w:tr>
        <w:trPr>
          <w:trHeight w:val="193"/>
        </w:trPr>
        <w:tc>
          <w:tcPr>
            <w:tcW w:w="4980" w:type="dxa"/>
            <w:vAlign w:val="bottom"/>
          </w:tcPr>
          <w:p>
            <w:pPr>
              <w:jc w:val="center"/>
              <w:ind w:right="13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8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882-1820</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40" w:type="dxa"/>
            <w:vAlign w:val="bottom"/>
            <w:tcBorders>
              <w:top w:val="single" w:sz="8" w:color="auto"/>
              <w:lef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00" w:type="dxa"/>
            <w:vAlign w:val="bottom"/>
            <w:tcBorders>
              <w:top w:val="single" w:sz="8" w:color="auto"/>
              <w:right w:val="single" w:sz="8" w:color="auto"/>
            </w:tcBorders>
          </w:tcPr>
          <w:p>
            <w:pPr>
              <w:spacing w:after="0"/>
              <w:rPr>
                <w:sz w:val="20"/>
                <w:szCs w:val="20"/>
                <w:color w:val="auto"/>
              </w:rPr>
            </w:pPr>
          </w:p>
        </w:tc>
      </w:tr>
      <w:tr>
        <w:trPr>
          <w:trHeight w:val="238"/>
        </w:trPr>
        <w:tc>
          <w:tcPr>
            <w:tcW w:w="4640" w:type="dxa"/>
            <w:vAlign w:val="bottom"/>
            <w:tcBorders>
              <w:lef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540" w:type="dxa"/>
            <w:vAlign w:val="bottom"/>
            <w:tcBorders>
              <w:left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37"/>
        </w:trPr>
        <w:tc>
          <w:tcPr>
            <w:tcW w:w="4640" w:type="dxa"/>
            <w:vAlign w:val="bottom"/>
            <w:tcBorders>
              <w:lef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Common Stock, $0.000001 par value per share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OSUR</w:t>
            </w:r>
          </w:p>
        </w:tc>
        <w:tc>
          <w:tcPr>
            <w:tcW w:w="100" w:type="dxa"/>
            <w:vAlign w:val="bottom"/>
          </w:tcPr>
          <w:p>
            <w:pPr>
              <w:spacing w:after="0"/>
              <w:rPr>
                <w:sz w:val="20"/>
                <w:szCs w:val="20"/>
                <w:color w:val="auto"/>
              </w:rPr>
            </w:pPr>
          </w:p>
        </w:tc>
        <w:tc>
          <w:tcPr>
            <w:tcW w:w="4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5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320" w:firstLine="1134"/>
        <w:spacing w:after="0" w:line="26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 w:lineRule="exact"/>
        <w:rPr>
          <w:sz w:val="24"/>
          <w:szCs w:val="24"/>
          <w:color w:val="auto"/>
        </w:rPr>
      </w:pPr>
    </w:p>
    <w:p>
      <w:pPr>
        <w:ind w:right="80" w:firstLine="1134"/>
        <w:spacing w:after="0" w:line="257"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right="80" w:firstLine="1134"/>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growth company” in Rule 12b-2 of the Exchange Act.</w:t>
            </w:r>
          </w:p>
        </w:tc>
        <w:tc>
          <w:tcPr>
            <w:tcW w:w="45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2"/>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70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60"/>
              <w:spacing w:after="0"/>
              <w:rPr>
                <w:sz w:val="20"/>
                <w:szCs w:val="20"/>
                <w:color w:val="auto"/>
              </w:rPr>
            </w:pPr>
            <w:r>
              <w:rPr>
                <w:rFonts w:ascii="Wingdings" w:cs="Wingdings" w:eastAsia="Wingdings" w:hAnsi="Wingdings"/>
                <w:sz w:val="18"/>
                <w:szCs w:val="18"/>
                <w:b w:val="1"/>
                <w:bCs w:val="1"/>
                <w:color w:val="auto"/>
                <w:w w:val="94"/>
              </w:rPr>
              <w:t>x</w:t>
            </w:r>
          </w:p>
        </w:tc>
      </w:tr>
      <w:tr>
        <w:trPr>
          <w:trHeight w:val="37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70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80"/>
              <w:spacing w:after="0"/>
              <w:rPr>
                <w:sz w:val="20"/>
                <w:szCs w:val="20"/>
                <w:color w:val="auto"/>
              </w:rPr>
            </w:pPr>
            <w:r>
              <w:rPr>
                <w:rFonts w:ascii="Wingdings" w:cs="Wingdings" w:eastAsia="Wingdings" w:hAnsi="Wingdings"/>
                <w:sz w:val="18"/>
                <w:szCs w:val="18"/>
                <w:b w:val="1"/>
                <w:bCs w:val="1"/>
                <w:color w:val="auto"/>
                <w:w w:val="99"/>
              </w:rPr>
              <w:t>o</w:t>
            </w:r>
          </w:p>
        </w:tc>
      </w:tr>
      <w:tr>
        <w:trPr>
          <w:trHeight w:val="378"/>
        </w:trPr>
        <w:tc>
          <w:tcPr>
            <w:tcW w:w="2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8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90" w:lineRule="exact"/>
        <w:rPr>
          <w:sz w:val="24"/>
          <w:szCs w:val="24"/>
          <w:color w:val="auto"/>
        </w:rPr>
      </w:pPr>
    </w:p>
    <w:p>
      <w:pPr>
        <w:ind w:right="820" w:firstLine="1134"/>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ind w:left="1140" w:right="600"/>
        <w:spacing w:after="0" w:line="297" w:lineRule="auto"/>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July 31, 2025, the registrant had 73,136,987 shares of common stock, $0.000001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within the meaning of the Federal securities laws. These may include statements about the Company's expected revenues, earnings/losses per share, net income (loss), expenses, cash flow or other financial performance, or developments, clinical trial or development activities, expected regulatory filings and approvals, planned business transactions, views of future industry, competitive or market conditions, and other factors that could affect the Company's future operations, results of operations or financial position. These statements often include words, such as “believes,” “expects,” “anticipates,” “intends,” “plans,” “estimates,” “may,” “will,” “should,” “could,” or similar expressions.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or results. Known and unknown factors that could cause actual performance or results to be materially different from those expressed or implied in these statements include, but are not limited to:</w:t>
      </w:r>
    </w:p>
    <w:p>
      <w:pPr>
        <w:spacing w:after="0" w:line="162" w:lineRule="exact"/>
        <w:rPr>
          <w:sz w:val="20"/>
          <w:szCs w:val="20"/>
          <w:color w:val="auto"/>
        </w:rPr>
      </w:pPr>
    </w:p>
    <w:p>
      <w:pPr>
        <w:ind w:left="260" w:right="2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Company's ability to market and sell, its products and services, whether through its internal, direct sales force or third parties;</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distributors or other customers to meet purchase forecasts, historic purchase levels or minimum purchase requirements for the Company's products;</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customer concentrations that exist or may develop in the future;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manufacture products in accordance with applicable specifications, performance standards and quality requirements;</w:t>
      </w:r>
    </w:p>
    <w:p>
      <w:pPr>
        <w:spacing w:after="0" w:line="225"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and timing and cost of obtaining, necessary regulatory approvals for new products or new indications or applications for existing products; ability to comply with applicable regulatory requirements;</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effectively resolve warning letters, audit observations and other findings or comments from the U.S. Food and Drug Administration (the "FDA"), or other regulators;</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including disputes or disagreements, with strategic partners or other parties and reliance on strategic partners for the performance of critical activities under collaborative arrangements;</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meet increased demand for its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replacing distributors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levels at distributors and other customers;</w:t>
      </w:r>
    </w:p>
    <w:p>
      <w:pPr>
        <w:spacing w:after="0" w:line="225"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achieve its financial and strategic objectives and continue to increase its revenues, including the ability to expand international sales;</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competitors, competing products and technology changes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or deferral of public funding available to customers;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new or better technology or lower cost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develop, commercialize and market new products;</w:t>
      </w:r>
    </w:p>
    <w:p>
      <w:pPr>
        <w:spacing w:after="0" w:line="225"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acceptance of products based on product performance or other factors, including changes in testing guidelines, algorithms or other recommendations by the Centers for Disease Control and Prevention (the "CDC") or other agencies;</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fund research and development and other products and operations;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and maintain new or existing product distribution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sole supply sources for critical products and components;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related products produced by third parties or products required for use of the Company's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contracting with the U.S. government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negative economic conditions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achieve and maintain sustained profitability;</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increase its gross margins;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utilize net operating loss carry forwards or other deferred tax assets;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Company's stock price;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relating to patent protection and potential patent infringement claims;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costs of litigation relating to patents, trade secrets and other intellectual property;</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licenses to patents or other technology;</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enter into international manufacturing agreements;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Obstacles to international marketing and manufacturing of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international funding sources and testing algorithms on international sales;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movements in foreign currency exchange rates;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impairment of sources of capital;</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attract and retain qualified personnel;</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exposure to product liability and other types of litigation;</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federal or state laws and regulations;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consolidations and inventory practices;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and ability to obtain needed raw materials and components;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terrorist attacks and civil unrest, hostilities and war;</w:t>
      </w:r>
    </w:p>
    <w:p>
      <w:pPr>
        <w:spacing w:after="0" w:line="225"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cybersecurity incidents and other disruptions involving our computer systems or those of our third-party IT service providers, suppliers and customers; and</w:t>
      </w:r>
    </w:p>
    <w:p>
      <w:pPr>
        <w:spacing w:after="0" w:line="161"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business and economic conditions, including interest rates, inflationary pressures, capital market disruptions, changes in governmental agencies, international tariffs, trade protection measures, economic sanctions and economic slowdowns or recession.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and other factors that could affect the Company's results are discussed more fully under the section titled “Risk Factors,” set forth in Part II, Item 1A of this Quarterly Report on Form 10-Q, if any, in Part I, Item 1A of the Company's Annual Report on Form 10-K for the fiscal year ended December 31, 2024 filed with the Securities and Exchange Commission (the “SEC”) on March 7, 2025, and in subsequent SEC filings.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are made as of the date of this report and the Company undertakes no duty to update these statements, unless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is required to do so by law. If the Company does update one or more forward-looking statements, no inference should be drawn that it will make updates with respect to other forward-looking statements or that it will make any further updates to those forward-looking statements at any future time.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Investors should also be aware that while the Company does, from time to time, communicate with securities analysts, it is against the Company's policy to disclose any material non-public information or other confidential commercial information. Accordingly, stockholders should not assume that the Company agrees with any statement or report issued by any analyst irrespective of the content of the statement or report. Furthermore, the Company has a policy against issuing or confirming financial forecasts or projections issued by others. Thus, to the extent that reports issued by securities analysts contain any projections, forecasts or opinions, such reports are not the responsibility of OraSure.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3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320" w:type="dxa"/>
            <w:vAlign w:val="bottom"/>
            <w:gridSpan w:val="18"/>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 at June 30, 2025 and December 31, 202</w:t>
            </w:r>
            <w:r>
              <w:rPr>
                <w:rFonts w:ascii="Times New Roman" w:cs="Times New Roman" w:eastAsia="Times New Roman" w:hAnsi="Times New Roman"/>
                <w:sz w:val="18"/>
                <w:szCs w:val="18"/>
                <w:color w:val="000000"/>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and Six Months Ended June 30, 2025 and 2024</w:t>
            </w:r>
          </w:p>
        </w:tc>
        <w:tc>
          <w:tcPr>
            <w:tcW w:w="266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for the Three and Six Months Ended June 30, 2025 and 202</w:t>
            </w:r>
          </w:p>
        </w:tc>
        <w:tc>
          <w:tcPr>
            <w:tcW w:w="2020" w:type="dxa"/>
            <w:vAlign w:val="bottom"/>
          </w:tcPr>
          <w:p>
            <w:pPr>
              <w:jc w:val="right"/>
              <w:ind w:right="1856"/>
              <w:spacing w:after="0"/>
              <w:rPr>
                <w:sz w:val="20"/>
                <w:szCs w:val="20"/>
                <w:color w:val="auto"/>
              </w:rPr>
            </w:pPr>
            <w:r>
              <w:rPr>
                <w:rFonts w:ascii="Times New Roman" w:cs="Times New Roman" w:eastAsia="Times New Roman" w:hAnsi="Times New Roman"/>
                <w:sz w:val="17"/>
                <w:szCs w:val="17"/>
                <w:color w:val="auto"/>
                <w:w w:val="70"/>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Six Months Ended June 30, 2025 and 202</w:t>
            </w:r>
            <w:r>
              <w:rPr>
                <w:rFonts w:ascii="Times New Roman" w:cs="Times New Roman" w:eastAsia="Times New Roman" w:hAnsi="Times New Roman"/>
                <w:sz w:val="18"/>
                <w:szCs w:val="18"/>
                <w:color w:val="000000"/>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346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3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2. 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9"/>
              </w:rPr>
              <w:t>Item 3. Quantitative and Qualitative Disclosures About Market Risk</w:t>
            </w:r>
          </w:p>
        </w:tc>
        <w:tc>
          <w:tcPr>
            <w:tcW w:w="2160" w:type="dxa"/>
            <w:vAlign w:val="bottom"/>
            <w:tcBorders>
              <w:top w:val="single" w:sz="8" w:color="0000FF"/>
            </w:tcBorders>
            <w:gridSpan w:val="3"/>
          </w:tcPr>
          <w:p>
            <w:pPr>
              <w:spacing w:after="0"/>
              <w:rPr>
                <w:sz w:val="24"/>
                <w:szCs w:val="24"/>
                <w:color w:val="auto"/>
              </w:rPr>
            </w:pPr>
          </w:p>
        </w:tc>
        <w:tc>
          <w:tcPr>
            <w:tcW w:w="290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3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500" w:type="dxa"/>
            <w:vAlign w:val="bottom"/>
            <w:gridSpan w:val="8"/>
          </w:tcPr>
          <w:p>
            <w:pPr>
              <w:jc w:val="right"/>
              <w:ind w:right="3256"/>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Item 1. Legal Proceedings</w:t>
            </w:r>
          </w:p>
        </w:tc>
        <w:tc>
          <w:tcPr>
            <w:tcW w:w="83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Item 1A. Risk Factors</w:t>
            </w:r>
          </w:p>
        </w:tc>
        <w:tc>
          <w:tcPr>
            <w:tcW w:w="862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9"/>
              </w:rPr>
              <w:t>Item 2. Unregistered Sales of Equity Securities and Use of Proceeds</w:t>
            </w:r>
          </w:p>
        </w:tc>
        <w:tc>
          <w:tcPr>
            <w:tcW w:w="516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9"/>
              </w:rPr>
              <w:t>Item 3. Defaults Upon Senior Securities</w:t>
            </w:r>
          </w:p>
        </w:tc>
        <w:tc>
          <w:tcPr>
            <w:tcW w:w="728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3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4. 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0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9"/>
              </w:rPr>
              <w:t>Item 5. Other Information</w:t>
            </w:r>
          </w:p>
        </w:tc>
        <w:tc>
          <w:tcPr>
            <w:tcW w:w="380" w:type="dxa"/>
            <w:vAlign w:val="bottom"/>
            <w:tcBorders>
              <w:top w:val="single" w:sz="8" w:color="0000FF"/>
            </w:tcBorders>
          </w:tcPr>
          <w:p>
            <w:pPr>
              <w:spacing w:after="0"/>
              <w:rPr>
                <w:sz w:val="24"/>
                <w:szCs w:val="24"/>
                <w:color w:val="auto"/>
              </w:rPr>
            </w:pPr>
          </w:p>
        </w:tc>
        <w:tc>
          <w:tcPr>
            <w:tcW w:w="790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 6. Exhibits</w:t>
            </w:r>
          </w:p>
        </w:tc>
        <w:tc>
          <w:tcPr>
            <w:tcW w:w="908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5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267,763</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 of allowance of $329 and $773</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23,816</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34,197</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3,956</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w:t>
            </w:r>
          </w:p>
        </w:tc>
        <w:tc>
          <w:tcPr>
            <w:tcW w:w="0" w:type="dxa"/>
            <w:vAlign w:val="bottom"/>
          </w:tcPr>
          <w:p>
            <w:pPr>
              <w:spacing w:after="0"/>
              <w:rPr>
                <w:sz w:val="1"/>
                <w:szCs w:val="1"/>
                <w:color w:val="auto"/>
              </w:rPr>
            </w:pPr>
          </w:p>
        </w:tc>
      </w:tr>
      <w:tr>
        <w:trPr>
          <w:trHeight w:val="207"/>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333,220</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$71,100 and $65,918</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45,105</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13,442</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Finance right-of-use assets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Intangible assets, net of accumulated amortization of $27,234 and $32,413</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17,435</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40,330</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Investment in equity method investee</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28,300</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tax asset</w:t>
            </w:r>
          </w:p>
        </w:tc>
        <w:tc>
          <w:tcPr>
            <w:tcW w:w="2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0" w:type="dxa"/>
            <w:vAlign w:val="bottom"/>
          </w:tcPr>
          <w:p>
            <w:pPr>
              <w:spacing w:after="0"/>
              <w:rPr>
                <w:sz w:val="1"/>
                <w:szCs w:val="1"/>
                <w:color w:val="auto"/>
              </w:rPr>
            </w:pPr>
          </w:p>
        </w:tc>
      </w:tr>
      <w:tr>
        <w:trPr>
          <w:trHeight w:val="207"/>
        </w:trPr>
        <w:tc>
          <w:tcPr>
            <w:tcW w:w="7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noncurrent assets</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143,597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146,439</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445,035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479,659</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8,173</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20,179</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Finance lease liability</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Acquisition-related contingent consideration obligation</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33,483</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Finance lease liability</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12,321</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Acquisition-related contingent consideration obligation</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22,910</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207"/>
        </w:trPr>
        <w:tc>
          <w:tcPr>
            <w:tcW w:w="7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21,964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35,838</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69,321</w:t>
            </w:r>
          </w:p>
        </w:tc>
        <w:tc>
          <w:tcPr>
            <w:tcW w:w="0" w:type="dxa"/>
            <w:vAlign w:val="bottom"/>
          </w:tcPr>
          <w:p>
            <w:pPr>
              <w:spacing w:after="0"/>
              <w:rPr>
                <w:sz w:val="1"/>
                <w:szCs w:val="1"/>
                <w:color w:val="auto"/>
              </w:rPr>
            </w:pPr>
          </w:p>
        </w:tc>
      </w:tr>
      <w:tr>
        <w:trPr>
          <w:trHeight w:val="19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par value $.000001, 25,000 shares authorized, none issued</w:t>
            </w:r>
          </w:p>
        </w:tc>
        <w:tc>
          <w:tcPr>
            <w:tcW w:w="2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Common stock, par value $0.000001, 120,000 shares authorized, 73,735 and 74,598 shares issued and outstanding</w:t>
            </w: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537,256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538,129</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(24,360)</w:t>
            </w:r>
          </w:p>
        </w:tc>
        <w:tc>
          <w:tcPr>
            <w:tcW w:w="0" w:type="dxa"/>
            <w:vAlign w:val="bottom"/>
          </w:tcPr>
          <w:p>
            <w:pPr>
              <w:spacing w:after="0"/>
              <w:rPr>
                <w:sz w:val="1"/>
                <w:szCs w:val="1"/>
                <w:color w:val="auto"/>
              </w:rPr>
            </w:pPr>
          </w:p>
        </w:tc>
      </w:tr>
      <w:tr>
        <w:trPr>
          <w:trHeight w:val="213"/>
        </w:trPr>
        <w:tc>
          <w:tcPr>
            <w:tcW w:w="7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(139,164)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(103,431)</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410,338</w:t>
            </w:r>
          </w:p>
        </w:tc>
        <w:tc>
          <w:tcPr>
            <w:tcW w:w="0" w:type="dxa"/>
            <w:vAlign w:val="bottom"/>
          </w:tcPr>
          <w:p>
            <w:pPr>
              <w:spacing w:after="0"/>
              <w:rPr>
                <w:sz w:val="1"/>
                <w:szCs w:val="1"/>
                <w:color w:val="auto"/>
              </w:rPr>
            </w:pPr>
          </w:p>
        </w:tc>
      </w:tr>
      <w:tr>
        <w:trPr>
          <w:trHeight w:val="212"/>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445,035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479,659</w:t>
            </w: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40" w:type="dxa"/>
            <w:vAlign w:val="bottom"/>
          </w:tcPr>
          <w:p>
            <w:pPr>
              <w:spacing w:after="0"/>
              <w:rPr>
                <w:sz w:val="16"/>
                <w:szCs w:val="16"/>
                <w:color w:val="auto"/>
              </w:rPr>
            </w:pPr>
          </w:p>
        </w:tc>
        <w:tc>
          <w:tcPr>
            <w:tcW w:w="29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 and services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107,728</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108,467</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59,713</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48,754</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16,379</w:t>
            </w:r>
          </w:p>
        </w:tc>
        <w:tc>
          <w:tcPr>
            <w:tcW w:w="0" w:type="dxa"/>
            <w:vAlign w:val="bottom"/>
          </w:tcPr>
          <w:p>
            <w:pPr>
              <w:spacing w:after="0"/>
              <w:rPr>
                <w:sz w:val="1"/>
                <w:szCs w:val="1"/>
                <w:color w:val="auto"/>
              </w:rPr>
            </w:pPr>
          </w:p>
        </w:tc>
      </w:tr>
      <w:tr>
        <w:trPr>
          <w:trHeight w:val="229"/>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23,479</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impairments</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0" w:type="dxa"/>
            <w:vAlign w:val="bottom"/>
          </w:tcPr>
          <w:p>
            <w:pPr>
              <w:spacing w:after="0"/>
              <w:rPr>
                <w:sz w:val="1"/>
                <w:szCs w:val="1"/>
                <w:color w:val="auto"/>
              </w:rPr>
            </w:pPr>
          </w:p>
        </w:tc>
      </w:tr>
      <w:tr>
        <w:trPr>
          <w:trHeight w:val="175"/>
        </w:trPr>
        <w:tc>
          <w:tcPr>
            <w:tcW w:w="46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Change in the estimated fair value of acquisition-related</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sale of assets</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27,429</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58,587</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income before income taxes and equity investment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EQUITY INVESTMENT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SHARES USED IN COMPUTING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4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74,541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74,159</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74,703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74,127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334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40" w:type="dxa"/>
            <w:vAlign w:val="bottom"/>
          </w:tcPr>
          <w:p>
            <w:pPr>
              <w:spacing w:after="0"/>
              <w:rPr>
                <w:sz w:val="16"/>
                <w:szCs w:val="16"/>
                <w:color w:val="auto"/>
              </w:rPr>
            </w:pPr>
          </w:p>
        </w:tc>
        <w:tc>
          <w:tcPr>
            <w:tcW w:w="292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6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6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(19,693)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(12,942)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(7,889)</w:t>
            </w:r>
          </w:p>
        </w:tc>
      </w:tr>
      <w:tr>
        <w:trPr>
          <w:trHeight w:val="21"/>
        </w:trPr>
        <w:tc>
          <w:tcPr>
            <w:tcW w:w="4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(35,733)</w:t>
            </w:r>
          </w:p>
        </w:tc>
        <w:tc>
          <w:tcPr>
            <w:tcW w:w="80" w:type="dxa"/>
            <w:vAlign w:val="bottom"/>
          </w:tcPr>
          <w:p>
            <w:pPr>
              <w:spacing w:after="0"/>
              <w:rPr>
                <w:sz w:val="16"/>
                <w:szCs w:val="16"/>
                <w:color w:val="auto"/>
              </w:rPr>
            </w:pP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5,852</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6,290</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5,334</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5,331</w:t>
            </w:r>
          </w:p>
        </w:tc>
        <w:tc>
          <w:tcPr>
            <w:tcW w:w="0" w:type="dxa"/>
            <w:vAlign w:val="bottom"/>
          </w:tcPr>
          <w:p>
            <w:pPr>
              <w:spacing w:after="0"/>
              <w:rPr>
                <w:sz w:val="1"/>
                <w:szCs w:val="1"/>
                <w:color w:val="auto"/>
              </w:rPr>
            </w:pPr>
          </w:p>
        </w:tc>
      </w:tr>
      <w:tr>
        <w:trPr>
          <w:trHeight w:val="195"/>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Loss on impairments</w:t>
            </w:r>
          </w:p>
        </w:tc>
        <w:tc>
          <w:tcPr>
            <w:tcW w:w="1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4,392</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non-cash amortization</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5"/>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Unrealized foreign currency loss (gain)</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5"/>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expense on finance leases</w:t>
            </w:r>
          </w:p>
        </w:tc>
        <w:tc>
          <w:tcPr>
            <w:tcW w:w="11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equity investment</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1,326</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r>
        <w:trPr>
          <w:trHeight w:val="195"/>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Gain on sale of fixed assets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 in the estimated fair value of acquisition-related contingent consideration</w:t>
            </w:r>
          </w:p>
        </w:tc>
        <w:tc>
          <w:tcPr>
            <w:tcW w:w="11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1,211</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Inventories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9,220</w:t>
            </w:r>
          </w:p>
        </w:tc>
        <w:tc>
          <w:tcPr>
            <w:tcW w:w="0" w:type="dxa"/>
            <w:vAlign w:val="bottom"/>
          </w:tcPr>
          <w:p>
            <w:pPr>
              <w:spacing w:after="0"/>
              <w:rPr>
                <w:sz w:val="1"/>
                <w:szCs w:val="1"/>
                <w:color w:val="auto"/>
              </w:rPr>
            </w:pPr>
          </w:p>
        </w:tc>
      </w:tr>
      <w:tr>
        <w:trPr>
          <w:trHeight w:val="19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w:t>
            </w:r>
          </w:p>
        </w:tc>
        <w:tc>
          <w:tcPr>
            <w:tcW w:w="0" w:type="dxa"/>
            <w:vAlign w:val="bottom"/>
          </w:tcPr>
          <w:p>
            <w:pPr>
              <w:spacing w:after="0"/>
              <w:rPr>
                <w:sz w:val="1"/>
                <w:szCs w:val="1"/>
                <w:color w:val="auto"/>
              </w:rPr>
            </w:pPr>
          </w:p>
        </w:tc>
      </w:tr>
      <w:tr>
        <w:trPr>
          <w:trHeight w:val="19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revenue</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(7,083)</w:t>
            </w:r>
          </w:p>
        </w:tc>
        <w:tc>
          <w:tcPr>
            <w:tcW w:w="0" w:type="dxa"/>
            <w:vAlign w:val="bottom"/>
          </w:tcPr>
          <w:p>
            <w:pPr>
              <w:spacing w:after="0"/>
              <w:rPr>
                <w:sz w:val="1"/>
                <w:szCs w:val="1"/>
                <w:color w:val="auto"/>
              </w:rPr>
            </w:pPr>
          </w:p>
        </w:tc>
      </w:tr>
      <w:tr>
        <w:trPr>
          <w:trHeight w:val="190"/>
        </w:trPr>
        <w:tc>
          <w:tcPr>
            <w:tcW w:w="770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(29,956)</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14,583</w:t>
            </w:r>
          </w:p>
        </w:tc>
        <w:tc>
          <w:tcPr>
            <w:tcW w:w="0" w:type="dxa"/>
            <w:vAlign w:val="bottom"/>
          </w:tcPr>
          <w:p>
            <w:pPr>
              <w:spacing w:after="0"/>
              <w:rPr>
                <w:sz w:val="1"/>
                <w:szCs w:val="1"/>
                <w:color w:val="auto"/>
              </w:rPr>
            </w:pPr>
          </w:p>
        </w:tc>
      </w:tr>
      <w:tr>
        <w:trPr>
          <w:trHeight w:val="18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(53,244)</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 of equity method investee</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(28,333)</w:t>
            </w:r>
          </w:p>
        </w:tc>
        <w:tc>
          <w:tcPr>
            <w:tcW w:w="0" w:type="dxa"/>
            <w:vAlign w:val="bottom"/>
          </w:tcPr>
          <w:p>
            <w:pPr>
              <w:spacing w:after="0"/>
              <w:rPr>
                <w:sz w:val="1"/>
                <w:szCs w:val="1"/>
                <w:color w:val="auto"/>
              </w:rPr>
            </w:pPr>
          </w:p>
        </w:tc>
      </w:tr>
      <w:tr>
        <w:trPr>
          <w:trHeight w:val="195"/>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maturities and redemptions of investments</w:t>
            </w:r>
          </w:p>
        </w:tc>
        <w:tc>
          <w:tcPr>
            <w:tcW w:w="1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43,908</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(3,196)</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(40,865)</w:t>
            </w: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payments for finance lease liabilities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95"/>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Payment of taxes related to net share settlement of equity awards</w:t>
            </w:r>
          </w:p>
        </w:tc>
        <w:tc>
          <w:tcPr>
            <w:tcW w:w="1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(3,446)</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(6,751)</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0" w:type="dxa"/>
            <w:vAlign w:val="bottom"/>
          </w:tcPr>
          <w:p>
            <w:pPr>
              <w:spacing w:after="0"/>
              <w:rPr>
                <w:sz w:val="1"/>
                <w:szCs w:val="1"/>
                <w:color w:val="auto"/>
              </w:rPr>
            </w:pPr>
          </w:p>
        </w:tc>
      </w:tr>
      <w:tr>
        <w:trPr>
          <w:trHeight w:val="18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w:t>
            </w:r>
          </w:p>
        </w:tc>
        <w:tc>
          <w:tcPr>
            <w:tcW w:w="11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5,088</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(33,185)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(32,168)</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267,763</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290,407</w:t>
            </w:r>
          </w:p>
        </w:tc>
        <w:tc>
          <w:tcPr>
            <w:tcW w:w="0" w:type="dxa"/>
            <w:vAlign w:val="bottom"/>
          </w:tcPr>
          <w:p>
            <w:pPr>
              <w:spacing w:after="0"/>
              <w:rPr>
                <w:sz w:val="1"/>
                <w:szCs w:val="1"/>
                <w:color w:val="auto"/>
              </w:rPr>
            </w:pPr>
          </w:p>
        </w:tc>
      </w:tr>
      <w:tr>
        <w:trPr>
          <w:trHeight w:val="227"/>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234,578</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258,239</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0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100" w:type="dxa"/>
            <w:vAlign w:val="bottom"/>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2,579</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0" w:type="dxa"/>
            <w:vAlign w:val="bottom"/>
          </w:tcPr>
          <w:p>
            <w:pPr>
              <w:spacing w:after="0"/>
              <w:rPr>
                <w:sz w:val="1"/>
                <w:szCs w:val="1"/>
                <w:color w:val="auto"/>
              </w:rPr>
            </w:pPr>
          </w:p>
        </w:tc>
      </w:tr>
      <w:tr>
        <w:trPr>
          <w:trHeight w:val="19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Accrued property and equipment purchases</w:t>
            </w:r>
          </w:p>
        </w:tc>
        <w:tc>
          <w:tcPr>
            <w:tcW w:w="1100" w:type="dxa"/>
            <w:vAlign w:val="bottom"/>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 and Basis of Presentation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interim unaudited consolidated financial statements include the accounts of OraSure Technologies, Inc. (“OraSure”) and its wholly-owned subsidiaries, DNA Genotek Inc. (“DNAG”), Diversigen, Inc. (“Diversigen”), Novosanis NV (“Novosanis”), and Sherlock Biosciences, Inc. ("Sherlock"). All intercompany transactions and balances have been eliminated. References herein to “we,” “us,” “our,” or the “Company” mean OraSure and its consolidated subsidiaries, unless otherwise indicated. The unaudited financial statements, in the opinion of management, include all adjustments (consisting only of normal and recurring adjustments) necessary for a fair presentation of the Company's financial position and results of operations for these interim periods. These financial statements should be read in conjunction with the financial statements and notes thereto included in the Company's Annual Report on Form 10-K for the fiscal year ended December 31, 2024. Results of operations for the three and six months ended June 30, 2025 are not necessarily indicative of the results of operations expected for the full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Significant Accounting Policies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described in its Annual Report on Form 10-K for the fiscal year ended December 31, 2024 that have had a material impact on the consolidated financial statements and related notes except as discussed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1, 2025, the Company changed its methodology for valuing certain inventories to the average cost method from the first-in, first-out ("FIFO") cost method. The change was applicable to all inventories. The Company concluded that the average cost basis of accounting is preferable as it results in greater precision in the calculation of acquisition cost of inventory on the balance sheet. The effect of this change in accounting principle was immaterial. Therefore, retroactive application was not determined to be necessary and a cumulative adjustment of $.08 million was recorded in the statement of operations for the six months ended June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&amp; Short-Term Investments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investments in debt securities to be available-for-sale securities. These securities consist of guaranteed investment certificates purchased with maturities greater than ninety days. Securities with maturities ninety days or less are considered cash equivalents. Available-for-sale securities are carried at fair value, based upon quoted market prices, with unrealized gains and losses, if any, reported in stockholders’ equity as a component of accumulated other comprehensive loss.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allowance for credit loss for the Company's available-for-sale securities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available-for-sale securities as of June 30, 2025 and December 31,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cash balances in the United States in excess of the federally insured limits. The Company periodically evaluates financial institutions and believe the risk of loss to be remote due to this evaluation.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carrying values of cash and cash equivalents, accounts receivable, accounts payable, and accrued expenses approximate their respective fair values based on their short-term nature.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measurements of all financial assets and liabilities that are being measured and reported on a fair value basis are required to be classified and disclosed in one of the following three categories:</w:t>
      </w:r>
    </w:p>
    <w:p>
      <w:pPr>
        <w:spacing w:after="0" w:line="162" w:lineRule="exact"/>
        <w:rPr>
          <w:sz w:val="20"/>
          <w:szCs w:val="20"/>
          <w:color w:val="auto"/>
        </w:r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162" w:lineRule="exact"/>
        <w:rPr>
          <w:sz w:val="20"/>
          <w:szCs w:val="20"/>
          <w:color w:val="auto"/>
        </w:rPr>
      </w:pPr>
    </w:p>
    <w:p>
      <w:pPr>
        <w:ind w:left="1140" w:right="20"/>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and</w:t>
      </w:r>
    </w:p>
    <w:p>
      <w:pPr>
        <w:spacing w:after="0" w:line="162" w:lineRule="exact"/>
        <w:rPr>
          <w:sz w:val="20"/>
          <w:szCs w:val="20"/>
          <w:color w:val="auto"/>
        </w:r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unobservable in the market, determining fair value requires more judgment. Because of the inherent uncertainty of valuation, estimated values may be materially higher or lower than the values that would have been used had a ready market for the investments existed. Therefore, the degree of judgment exercised in determining fair value is greatest for assets or liabilities categorized in Level 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594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5940" w:type="dxa"/>
            <w:vAlign w:val="bottom"/>
            <w:tcBorders>
              <w:bottom w:val="single" w:sz="8" w:color="CCEEFF"/>
            </w:tcBorders>
          </w:tcPr>
          <w:p>
            <w:pPr>
              <w:spacing w:after="0"/>
              <w:rPr>
                <w:sz w:val="16"/>
                <w:szCs w:val="16"/>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0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66,584</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Long-term portion</w:t>
            </w:r>
          </w:p>
        </w:tc>
        <w:tc>
          <w:tcPr>
            <w:tcW w:w="1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22,910</w:t>
            </w:r>
          </w:p>
        </w:tc>
      </w:tr>
      <w:tr>
        <w:trPr>
          <w:trHeight w:val="248"/>
        </w:trPr>
        <w:tc>
          <w:tcPr>
            <w:tcW w:w="59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22,910</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guaranteed investment certificates are measured as Level 1 instruments as of June 30,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cash and cash equivalents at June 30, 2025 and December 31, 2024 was $68.4 million and $66.6 million, respectively, of guaranteed investment certificates.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included in cash and cash equivalents at June 30, 2025 and December 31, 2024 was $121.1 million and $118.5 million, respectively, invested in money market funds. These money market funds have investments in U.S. government securities and are measured as Level 1 instruments.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offers a nonqualified deferred compensation plan for certain eligible employees and members of its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and company stock. The fair value of the plan assets as of June 30, 2025 and December 31, 2024 was $0.5 million and $0.7 million, respectively, and was calculated using the quoted market prices of the assets as of those dates. All investments in the plan are classified as trading securities and measured as Level 1 financial instruments. The fair value of plan assets is included in both current assets and noncurrent assets with the same amount included in accrued expenses and other noncurrent liabilities in the accompanying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further discussed in Note 11, Business Combinations, the Company has identified its contingent consideration obligations as Level 3 liabilities due to significant inputs that are required to measure the fair value of these obligations. The contingent consideration is comprised of two different tranches: milestone payments and royalty payments. The significant quantitative unobservable inputs for the milestone payments are the discount rate and probability achievement of a milestone of a regulatory approval.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methodology for royalty payments is based on a discounted cash flow model. Significant quantitative unobservable inputs are internally developed future expected cash flows, discount rate and probability achievement of a milestone of a regulatory approval. The royalty payments represent a mid-single digit percentage of the net sales through 2034 associated with the acquired in-process and research developed intangible asset.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an increase of $1.2 million in the fair value of the Company's contingent consideration from date of acquisition to June 30,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Investee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January 2024, the Company lead the Series B financing and entered into wide-ranging strategic distribution agreements with KKR Sapphiros L.P. ("Sapphiros"), a privately held consumer diagnostic portfolio company, and certain of its related entities. Through this relationship, the Company expects to be able to offer a more comprehensive range of low-cost diagnostic tests and molecular sample management solutions to the Company's customers globally. As of June 30, 2025, the Company had funded $30.0 million for its interest in Sapphiros. The Company recorded the investment using the equity method in accordance with Accounting Standards Codification ("ASC") Topic 323, </w:t>
      </w:r>
      <w:r>
        <w:rPr>
          <w:rFonts w:ascii="Times New Roman" w:cs="Times New Roman" w:eastAsia="Times New Roman" w:hAnsi="Times New Roman"/>
          <w:sz w:val="18"/>
          <w:szCs w:val="18"/>
          <w:i w:val="1"/>
          <w:iCs w:val="1"/>
          <w:color w:val="auto"/>
        </w:rPr>
        <w:t>Investments—Equity Method and Joint Ventures—Overall.</w:t>
      </w:r>
      <w:r>
        <w:rPr>
          <w:rFonts w:ascii="Times New Roman" w:cs="Times New Roman" w:eastAsia="Times New Roman" w:hAnsi="Times New Roman"/>
          <w:sz w:val="18"/>
          <w:szCs w:val="18"/>
          <w:color w:val="auto"/>
        </w:rPr>
        <w:t xml:space="preserve"> In accordance with the equity method, the Company's equity investment is presented net of its share of any gains or losses of the investee. The Company has elected as its accounting policy to recognize its share of any income or loss in Sapphiros on a three-month lag. The investment in Sapphiros of $27.0 million as of June 30, 2025 is included in the investment in equity method investee line of the Company's balance sheet and is measured as a Level 3 investment. The Company has no unconditional obligations or guarantees to, or in support of, its equity method investee and its operations. In conjunction with the preparation of the Company's June 30, 2025 financial statements, the Company considered whether the carrying value of the investment in Sapphiros was impaired and concluded that no such impairment existed. The Company's investment in Sapphiros was valued at $28.3 million as of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foreign exchange gains (losses) resulting from foreign currency transactions that are included in other income in the Company's consolidated statements of operations were $(0.9) million and $0.1 million for the three months ended June 30, 2025 and 2024,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foreign exchange gains (losses) resulting from foreign currency transactions for the six months ended June 30, 2025 and 2024 were $(1.3) million and $0.3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accumulated other comprehensive loss by component is listed below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400" w:type="dxa"/>
            <w:vAlign w:val="bottom"/>
          </w:tcPr>
          <w:p>
            <w:pPr>
              <w:spacing w:after="0"/>
              <w:rPr>
                <w:sz w:val="16"/>
                <w:szCs w:val="16"/>
                <w:color w:val="auto"/>
              </w:rPr>
            </w:pPr>
          </w:p>
        </w:tc>
        <w:tc>
          <w:tcPr>
            <w:tcW w:w="13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6,989</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Assets and liabilities are established for uncertain tax positions taken or positions expected to be taken in income tax returns when such positions fail to meet the "more likely than not" threshold based on the technical merits of the positions. We assess whether previously unrecognized tax benefits may be recognized when tax positions is (1) more likely than not of being sustained based on its technical merits, (2) effectively settled through examination, negotiation or litigation, or (3) settled through actual expiration of the relevant tax statures. The assessment of an uncertain tax position requires significant judgement.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purpose of the update was to address investor requests for more transparency about income tax information through improvements to income tax disclosures primarily related to the rate reconciliation and income taxes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paid information. The amendments in this ASU are effective for annual periods beginning after December 15, 2024. The amendments may be applied prospectively or retrospectively, and early adoption is permitted. Management determined the annual disclosures required under the new guidance will have a significant impact on the Company's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 Update ("ASU") No. 2024-03, </w:t>
      </w:r>
      <w:r>
        <w:rPr>
          <w:rFonts w:ascii="Times New Roman" w:cs="Times New Roman" w:eastAsia="Times New Roman" w:hAnsi="Times New Roman"/>
          <w:sz w:val="18"/>
          <w:szCs w:val="18"/>
          <w:i w:val="1"/>
          <w:iCs w:val="1"/>
          <w:color w:val="auto"/>
        </w:rPr>
        <w:t>Income Statement—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Reporting Comprehensive Income—Expense Disaggregation Disclosures (Subtopic 220-40), Disaggregation of Income Statement Expenses</w:t>
      </w:r>
      <w:r>
        <w:rPr>
          <w:rFonts w:ascii="Times New Roman" w:cs="Times New Roman" w:eastAsia="Times New Roman" w:hAnsi="Times New Roman"/>
          <w:sz w:val="18"/>
          <w:szCs w:val="18"/>
          <w:color w:val="auto"/>
        </w:rPr>
        <w:t>. The purpose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update was to require disclosure, in the notes to financial statements, of specified information about certain costs and expenses on a disaggregated basis. The amendments in the ASU are effective for all public business entities for annual periods beginning after December 15, 2026, and interim periods beginning after December 15, 2027, with early adoption permitted. The amendments are to be applied either prospectively to financial statements issued for reporting periods after the effective date of the update or retrospectively to any or all prior periods presented in the financial statements. Management is evaluating the impact on the Company's consolidated financial statements.</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March 2024, the FASB issued ASU No. 2024-01, </w:t>
      </w:r>
      <w:r>
        <w:rPr>
          <w:rFonts w:ascii="Times New Roman" w:cs="Times New Roman" w:eastAsia="Times New Roman" w:hAnsi="Times New Roman"/>
          <w:sz w:val="18"/>
          <w:szCs w:val="18"/>
          <w:i w:val="1"/>
          <w:iCs w:val="1"/>
          <w:color w:val="auto"/>
        </w:rPr>
        <w:t>Compensation—Stock Compensation (Topic 718), Scope Application of Profits Interest and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purpose of this update was to provide illustrative examples to demonstrate how an entity should apply guidance to determine whether profits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and similar awards should be accounted for in accordance with Topic 718. For public business entities, the amendments in this ASU are effective for fiscal years beginning after December 15, 2024, and interim periods within those fiscal periods. The amendments may be applied prospectively or retrospectively, and early adoption is permitted. Management does not expect an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Inventories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6"/>
                <w:szCs w:val="16"/>
                <w:color w:val="auto"/>
              </w:rPr>
            </w:pPr>
          </w:p>
        </w:tc>
        <w:tc>
          <w:tcPr>
            <w:tcW w:w="144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17,002</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3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16,775</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33,375</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34,197</w:t>
            </w:r>
          </w:p>
        </w:tc>
        <w:tc>
          <w:tcPr>
            <w:tcW w:w="0" w:type="dxa"/>
            <w:vAlign w:val="bottom"/>
          </w:tcPr>
          <w:p>
            <w:pPr>
              <w:spacing w:after="0"/>
              <w:rPr>
                <w:sz w:val="1"/>
                <w:szCs w:val="1"/>
                <w:color w:val="auto"/>
              </w:rPr>
            </w:pPr>
          </w:p>
        </w:tc>
      </w:tr>
      <w:tr>
        <w:trPr>
          <w:trHeight w:val="21"/>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Property, Plant and Equipment, net (in thousands)</w:t>
            </w:r>
          </w:p>
        </w:tc>
        <w:tc>
          <w:tcPr>
            <w:tcW w:w="2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36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24"/>
                <w:szCs w:val="24"/>
                <w:color w:val="auto"/>
              </w:rPr>
            </w:pPr>
          </w:p>
        </w:tc>
        <w:tc>
          <w:tcPr>
            <w:tcW w:w="144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51,015</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111,023</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(65,918)</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Accrued Expenses and Other Current Liabilities (in thousands)</w:t>
            </w:r>
          </w:p>
        </w:tc>
        <w:tc>
          <w:tcPr>
            <w:tcW w:w="2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4"/>
        </w:trPr>
        <w:tc>
          <w:tcPr>
            <w:tcW w:w="536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24"/>
                <w:szCs w:val="24"/>
                <w:color w:val="auto"/>
              </w:rPr>
            </w:pPr>
          </w:p>
        </w:tc>
        <w:tc>
          <w:tcPr>
            <w:tcW w:w="144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2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2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3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Termination Benefits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Q1 2024 Reduction in Workforce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first quarter of 2024, the Company executed a reduction in workforce largely affecting its COVID-19 manufacturing workforce. This was accounted for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The charges for termination benefits included in the Company's consolidated statements of operations are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76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190"/>
        </w:trPr>
        <w:tc>
          <w:tcPr>
            <w:tcW w:w="76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tcPr>
          <w:p>
            <w:pPr>
              <w:jc w:val="right"/>
              <w:ind w:right="1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shd w:val="clear" w:color="auto" w:fill="CCEEFF"/>
          </w:tcPr>
          <w:p>
            <w:pPr>
              <w:spacing w:after="0"/>
              <w:rPr>
                <w:sz w:val="19"/>
                <w:szCs w:val="19"/>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7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fully paid the $0.4 million related to the reduction in workforce. This reduction in workforce was completed by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Q2 2024 Reduction in Workforce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second quarter of 2024, the Company executed an additional reduction in workforce as the Company notified employees of its intention to consolidate its Novosanis site in Belgium into other locations by the end of December 31, 2024, discontinue the Diversigen molecular services line of business by the end of June 30, 2024, and consolidate facilities by bringing third-party manufacturing activities into its Pennsylvania facilities by the end of the third quarter of 2025. This was accounted for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76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190"/>
        </w:trPr>
        <w:tc>
          <w:tcPr>
            <w:tcW w:w="76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tcPr>
          <w:p>
            <w:pPr>
              <w:jc w:val="right"/>
              <w:ind w:right="1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shd w:val="clear" w:color="auto" w:fill="CCEEFF"/>
          </w:tcPr>
          <w:p>
            <w:pPr>
              <w:spacing w:after="0"/>
              <w:rPr>
                <w:sz w:val="19"/>
                <w:szCs w:val="19"/>
                <w:color w:val="auto"/>
              </w:rPr>
            </w:pP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48"/>
        </w:trPr>
        <w:tc>
          <w:tcPr>
            <w:tcW w:w="7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$0.3 million accrued and had paid $1.4 million related to the reduction in workforce. No additional expense was incurred during the six months ended June 30, 2025. The Company expects this plan to be completed by September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Q3 2024 Reduction in Workforce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third quarter of 2024, the Company executed a reduction in workforce largely as the Company notified certain employees of its intention to discontinue its risk assessment business. Additional employees were notified in the fourth quarter of 2024 and additional severance costs will be incurred. This was accounted for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$0.5 million accrued and had paid $0.7 million related to the reduction in workforce. No additional expense was incurred during the six months ended June 30, 2025. The Company expects this plan to be completed by the third quarter of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by Product Line</w:t>
      </w:r>
      <w:r>
        <w:rPr>
          <w:rFonts w:ascii="Times New Roman" w:cs="Times New Roman" w:eastAsia="Times New Roman" w:hAnsi="Times New Roman"/>
          <w:sz w:val="18"/>
          <w:szCs w:val="18"/>
          <w:color w:val="auto"/>
        </w:rPr>
        <w:t>. The following table represents total net revenues by product line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56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80" w:type="dxa"/>
            <w:vAlign w:val="bottom"/>
          </w:tcPr>
          <w:p>
            <w:pPr>
              <w:spacing w:after="0"/>
              <w:rPr>
                <w:sz w:val="16"/>
                <w:szCs w:val="16"/>
                <w:color w:val="auto"/>
              </w:rPr>
            </w:pPr>
          </w:p>
        </w:tc>
        <w:tc>
          <w:tcPr>
            <w:tcW w:w="312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41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HIV</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27,032</w:t>
            </w:r>
          </w:p>
        </w:tc>
      </w:tr>
      <w:tr>
        <w:trPr>
          <w:trHeight w:val="229"/>
        </w:trPr>
        <w:tc>
          <w:tcPr>
            <w:tcW w:w="4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Sample Management Solutions </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23,431</w:t>
            </w: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HCV</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w:t>
            </w:r>
          </w:p>
        </w:tc>
      </w:tr>
      <w:tr>
        <w:trPr>
          <w:trHeight w:val="230"/>
        </w:trPr>
        <w:tc>
          <w:tcPr>
            <w:tcW w:w="4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 Assessment Testing </w:t>
            </w:r>
            <w:r>
              <w:rPr>
                <w:rFonts w:ascii="Times New Roman" w:cs="Times New Roman" w:eastAsia="Times New Roman" w:hAnsi="Times New Roman"/>
                <w:sz w:val="23"/>
                <w:szCs w:val="23"/>
                <w:color w:val="auto"/>
                <w:vertAlign w:val="superscript"/>
              </w:rPr>
              <w:t>(2)</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w:t>
            </w:r>
          </w:p>
        </w:tc>
      </w:tr>
      <w:tr>
        <w:trPr>
          <w:trHeight w:val="229"/>
        </w:trPr>
        <w:tc>
          <w:tcPr>
            <w:tcW w:w="4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product and services revenues </w:t>
            </w:r>
            <w:r>
              <w:rPr>
                <w:rFonts w:ascii="Times New Roman" w:cs="Times New Roman" w:eastAsia="Times New Roman" w:hAnsi="Times New Roman"/>
                <w:sz w:val="23"/>
                <w:szCs w:val="23"/>
                <w:color w:val="auto"/>
                <w:vertAlign w:val="superscript"/>
              </w:rPr>
              <w:t>(3)</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29"/>
        </w:trPr>
        <w:tc>
          <w:tcPr>
            <w:tcW w:w="4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COVID-19 </w:t>
            </w:r>
            <w:r>
              <w:rPr>
                <w:rFonts w:ascii="Times New Roman" w:cs="Times New Roman" w:eastAsia="Times New Roman" w:hAnsi="Times New Roman"/>
                <w:sz w:val="23"/>
                <w:szCs w:val="23"/>
                <w:color w:val="auto"/>
                <w:vertAlign w:val="superscript"/>
              </w:rPr>
              <w:t>(4)</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42,067</w:t>
            </w: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10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23"/>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1060" w:type="dxa"/>
            <w:vAlign w:val="bottom"/>
            <w:tcBorders>
              <w:top w:val="single" w:sz="8" w:color="auto"/>
            </w:tcBorders>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29,847</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53,949</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58,844</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107,728</w:t>
            </w:r>
          </w:p>
        </w:tc>
      </w:tr>
      <w:tr>
        <w:trPr>
          <w:trHeight w:val="230"/>
        </w:trPr>
        <w:tc>
          <w:tcPr>
            <w:tcW w:w="41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(5)</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23"/>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revenues</w:t>
            </w:r>
          </w:p>
        </w:tc>
        <w:tc>
          <w:tcPr>
            <w:tcW w:w="106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61,173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108,467</w:t>
            </w:r>
          </w:p>
        </w:tc>
      </w:tr>
      <w:tr>
        <w:trPr>
          <w:trHeight w:val="21"/>
        </w:trPr>
        <w:tc>
          <w:tcPr>
            <w:tcW w:w="4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Genomics, Microbiome and Colli-Pee</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product revenues.</w:t>
      </w:r>
    </w:p>
    <w:p>
      <w:pPr>
        <w:ind w:left="240" w:hanging="232"/>
        <w:spacing w:after="0"/>
        <w:tabs>
          <w:tab w:leader="none" w:pos="24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substance abuse testing product revenues.</w:t>
      </w:r>
    </w:p>
    <w:p>
      <w:pPr>
        <w:spacing w:after="0" w:line="11" w:lineRule="exact"/>
        <w:rPr>
          <w:rFonts w:ascii="Times New Roman" w:cs="Times New Roman" w:eastAsia="Times New Roman" w:hAnsi="Times New Roman"/>
          <w:sz w:val="9"/>
          <w:szCs w:val="9"/>
          <w:color w:val="auto"/>
        </w:rPr>
      </w:pPr>
    </w:p>
    <w:p>
      <w:pPr>
        <w:ind w:left="240" w:hanging="232"/>
        <w:spacing w:after="0"/>
        <w:tabs>
          <w:tab w:leader="none" w:pos="24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Syphilis revenues.</w:t>
      </w:r>
    </w:p>
    <w:p>
      <w:pPr>
        <w:spacing w:after="0" w:line="14" w:lineRule="exact"/>
        <w:rPr>
          <w:rFonts w:ascii="Times New Roman" w:cs="Times New Roman" w:eastAsia="Times New Roman" w:hAnsi="Times New Roman"/>
          <w:sz w:val="9"/>
          <w:szCs w:val="9"/>
          <w:color w:val="auto"/>
        </w:rPr>
      </w:pPr>
    </w:p>
    <w:p>
      <w:pPr>
        <w:ind w:left="240" w:hanging="232"/>
        <w:spacing w:after="0" w:line="192" w:lineRule="auto"/>
        <w:tabs>
          <w:tab w:leader="none" w:pos="24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COVID-19 Diagnostics and COVID-19 Sample Management Solutions revenues.</w:t>
      </w:r>
    </w:p>
    <w:p>
      <w:pPr>
        <w:spacing w:after="0" w:line="3" w:lineRule="exact"/>
        <w:rPr>
          <w:rFonts w:ascii="Times New Roman" w:cs="Times New Roman" w:eastAsia="Times New Roman" w:hAnsi="Times New Roman"/>
          <w:sz w:val="19"/>
          <w:szCs w:val="19"/>
          <w:color w:val="auto"/>
          <w:vertAlign w:val="superscript"/>
        </w:rPr>
      </w:pPr>
    </w:p>
    <w:p>
      <w:pPr>
        <w:ind w:left="240" w:hanging="232"/>
        <w:spacing w:after="0" w:line="189" w:lineRule="auto"/>
        <w:tabs>
          <w:tab w:leader="none" w:pos="24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funded research and development contracts, royalty income and grant revenues.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by Geographic Area</w:t>
      </w:r>
      <w:r>
        <w:rPr>
          <w:rFonts w:ascii="Times New Roman" w:cs="Times New Roman" w:eastAsia="Times New Roman" w:hAnsi="Times New Roman"/>
          <w:sz w:val="18"/>
          <w:szCs w:val="18"/>
          <w:color w:val="auto"/>
        </w:rPr>
        <w:t>. The following table represents total net revenues by geographic area, based on the location of the customer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56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80" w:type="dxa"/>
            <w:vAlign w:val="bottom"/>
          </w:tcPr>
          <w:p>
            <w:pPr>
              <w:spacing w:after="0"/>
              <w:rPr>
                <w:sz w:val="16"/>
                <w:szCs w:val="16"/>
                <w:color w:val="auto"/>
              </w:rPr>
            </w:pPr>
          </w:p>
        </w:tc>
        <w:tc>
          <w:tcPr>
            <w:tcW w:w="312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41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89,597</w:t>
            </w: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Africa</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w:t>
            </w:r>
          </w:p>
        </w:tc>
      </w:tr>
      <w:tr>
        <w:trPr>
          <w:trHeight w:val="23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r>
      <w:tr>
        <w:trPr>
          <w:trHeight w:val="248"/>
        </w:trPr>
        <w:tc>
          <w:tcPr>
            <w:tcW w:w="4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108,467</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Concentration</w:t>
      </w:r>
      <w:r>
        <w:rPr>
          <w:rFonts w:ascii="Times New Roman" w:cs="Times New Roman" w:eastAsia="Times New Roman" w:hAnsi="Times New Roman"/>
          <w:sz w:val="18"/>
          <w:szCs w:val="18"/>
          <w:color w:val="auto"/>
        </w:rPr>
        <w:t>. The following table represents customer concentration risk:</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5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14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5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5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Revenues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Non-commercial customer</w:t>
            </w:r>
          </w:p>
        </w:tc>
        <w:tc>
          <w:tcPr>
            <w:tcW w:w="17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w:t>
            </w:r>
          </w:p>
        </w:tc>
      </w:tr>
      <w:tr>
        <w:trPr>
          <w:trHeight w:val="270"/>
        </w:trPr>
        <w:tc>
          <w:tcPr>
            <w:tcW w:w="45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196"/>
        </w:trPr>
        <w:tc>
          <w:tcPr>
            <w:tcW w:w="4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2"/>
        </w:trPr>
        <w:tc>
          <w:tcPr>
            <w:tcW w:w="454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Accounts Receivable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customer</w:t>
            </w: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Vendor Concentration.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currently purchases certain products and critical components of its products from sole-supply vendors. If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vendors are unable or unwilling to supply the required components and products, the Company could be subject to increased costs and substantial delays in the delivery of its products to its customers. Third-party suppliers also manufacture certain products. The Company's inability to have a timely supply of any of these components and products could have a material adverse effect on its business, as well as its financial condition and results of operations.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Deferred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records deferred revenue when funds are received prior to the recognition of the associated revenue. Deferred revenue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June 30, 2025 and December 31, 2024 was comprised of customer prepayments of $2.4 million and $3.0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deferred revenue recognized: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020" w:type="dxa"/>
            <w:vAlign w:val="bottom"/>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Deferred Revenue Recognized</w:t>
            </w: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vMerge w:val="continue"/>
          </w:tcPr>
          <w:p>
            <w:pPr>
              <w:spacing w:after="0"/>
              <w:rPr>
                <w:sz w:val="18"/>
                <w:szCs w:val="18"/>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at beginning of period</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expense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30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3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3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expense</w:t>
            </w: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expense (benefit)</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 (benefit) expense</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23"/>
        </w:trPr>
        <w:tc>
          <w:tcPr>
            <w:tcW w:w="4380" w:type="dxa"/>
            <w:vAlign w:val="bottom"/>
          </w:tcPr>
          <w:p>
            <w:pPr>
              <w:spacing w:after="0"/>
              <w:rPr>
                <w:sz w:val="19"/>
                <w:szCs w:val="19"/>
                <w:color w:val="auto"/>
              </w:rPr>
            </w:pPr>
          </w:p>
        </w:tc>
        <w:tc>
          <w:tcPr>
            <w:tcW w:w="110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0"/>
        </w:trPr>
        <w:tc>
          <w:tcPr>
            <w:tcW w:w="4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recorded income tax expense of $2.0 million and $0.4 million, respectively. During the six months ended June 30, 2025 and 2024, the Company recorded income tax expense of $1.5 million and $0.4 million, respectively. The net tax expense increase in both periods is largely due to recording an uncertain tax position for certain tax matters, including penalties and interest.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Income tax expense reflects taxes due to the taxing authorities and the tax effects of temporary differences between the basis of assets and liabilities recognized for financial reporting and tax purposes, and net operating loss and tax credit carryforwards. The significant components of the Company's total deferred tax asset as of June 30, 2025 and at December 31, 2024 relate to the tax effects of the basis difference of acquired intangible assets.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valuation allowance is recorded to the extent it is more likely than not that some portion or all of the deferred tax assets will not be realized. A full valuation allowance was recorded on the Company’s U.S. and U.K. deferred tax assets as of June 30, 2025 and December 31,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and June 30, 2025, uncertain tax positions were approximately $0.0 million and $2.5 million. The Company’s uncertain tax position relates to U.S. federal and other jurisdictions. Due to various factors, including the inherent complexities and uncertainties of the judicial, administrative, and regulatory processes in certain jurisdictions, the timing of the resolution of income tax controversies is highly uncertain, and the amounts ultimately paid, if any, upon resolution of the issues raised by the taxing authorities may differ from the amounts accrued. Any assessments or settlements could result in changes to our contingencies related to positions on prior years’ tax filings.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4, 2025, Congress enacted the One Big Beautiful Bill Act (“OBBBA”), which includes several changes to the Internal Revenue Code which may result in changes to the Company’s income tax expense. The Company is currently evaluating the impacts of the OBBBA but does not believe that changes in tax law will materially affect the Company’s operating performance or financial position.</w:t>
      </w:r>
    </w:p>
    <w:p>
      <w:pPr>
        <w:spacing w:after="0" w:line="2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Income (Loss) Per Share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 during the reporting period. Basic and dilutive computations of net loss per share are the same in periods in which a net loss exists as the dilutive effects of excluded items would be anti-dilutive.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and 2024, outstanding common stock options, unvested restricted stock, and unvested performance stock units representing 581 shares and 1,010 shares, respectively, were excluded from the computation of diluted loss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2024, outstanding common stock options, unvested restricted stock, and unvested performance stock units representing 618 shares and 1,333 shares, respectively, were excluded from the computation of diluted loss per share.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00" w:hanging="292"/>
        <w:spacing w:after="0"/>
        <w:tabs>
          <w:tab w:leader="none" w:pos="30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2025, the Company's Board of Directors authorized a stock repurchase program (the "Repurchase Program") effective March 21, 2025, whereby the Company may purchase up to $40.0 million in shares of its common stock over a period of up to two years. The amount and timing of share repurchases under the Repurchase Program may be carried out at the discretion of the Company's management through various methods in compliance with applicable state and federal securities laws. The Company repurchased 1.8 million shares of its common stock under the Repurchase Program during the six months ended June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changes in stockholders' equity for the three and six months ended June 30, 2025 and 2024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100" w:type="dxa"/>
            <w:vAlign w:val="bottom"/>
          </w:tcPr>
          <w:p>
            <w:pPr>
              <w:spacing w:after="0"/>
              <w:rPr>
                <w:sz w:val="16"/>
                <w:szCs w:val="16"/>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538,129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(103,431)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410,338</w:t>
            </w:r>
          </w:p>
        </w:tc>
        <w:tc>
          <w:tcPr>
            <w:tcW w:w="0" w:type="dxa"/>
            <w:vAlign w:val="bottom"/>
          </w:tcPr>
          <w:p>
            <w:pPr>
              <w:spacing w:after="0"/>
              <w:rPr>
                <w:sz w:val="1"/>
                <w:szCs w:val="1"/>
                <w:color w:val="auto"/>
              </w:rPr>
            </w:pPr>
          </w:p>
        </w:tc>
      </w:tr>
      <w:tr>
        <w:trPr>
          <w:trHeight w:val="226"/>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Vesting of restricted stock and performance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and retirement of common shares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0" w:type="dxa"/>
            <w:vAlign w:val="bottom"/>
          </w:tcPr>
          <w:p>
            <w:pPr>
              <w:spacing w:after="0"/>
              <w:rPr>
                <w:sz w:val="1"/>
                <w:szCs w:val="1"/>
                <w:color w:val="auto"/>
              </w:rPr>
            </w:pPr>
          </w:p>
        </w:tc>
      </w:tr>
      <w:tr>
        <w:trPr>
          <w:trHeight w:val="226"/>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2,687</w:t>
            </w: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(16,040)</w:t>
            </w:r>
          </w:p>
        </w:tc>
        <w:tc>
          <w:tcPr>
            <w:tcW w:w="0" w:type="dxa"/>
            <w:vAlign w:val="bottom"/>
          </w:tcPr>
          <w:p>
            <w:pPr>
              <w:spacing w:after="0"/>
              <w:rPr>
                <w:sz w:val="1"/>
                <w:szCs w:val="1"/>
                <w:color w:val="auto"/>
              </w:rPr>
            </w:pPr>
          </w:p>
        </w:tc>
      </w:tr>
      <w:tr>
        <w:trPr>
          <w:trHeight w:val="226"/>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227"/>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539,875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(119,471)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396,282</w:t>
            </w:r>
          </w:p>
        </w:tc>
        <w:tc>
          <w:tcPr>
            <w:tcW w:w="0" w:type="dxa"/>
            <w:vAlign w:val="bottom"/>
          </w:tcPr>
          <w:p>
            <w:pPr>
              <w:spacing w:after="0"/>
              <w:rPr>
                <w:sz w:val="1"/>
                <w:szCs w:val="1"/>
                <w:color w:val="auto"/>
              </w:rPr>
            </w:pPr>
          </w:p>
        </w:tc>
      </w:tr>
      <w:tr>
        <w:trPr>
          <w:trHeight w:val="226"/>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Vesting of restricted stock and performance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and retirement of common shares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0" w:type="dxa"/>
            <w:vAlign w:val="bottom"/>
          </w:tcPr>
          <w:p>
            <w:pPr>
              <w:spacing w:after="0"/>
              <w:rPr>
                <w:sz w:val="1"/>
                <w:szCs w:val="1"/>
                <w:color w:val="auto"/>
              </w:rPr>
            </w:pPr>
          </w:p>
        </w:tc>
      </w:tr>
      <w:tr>
        <w:trPr>
          <w:trHeight w:val="226"/>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3,165</w:t>
            </w: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26"/>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(19,693)</w:t>
            </w: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6,751</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30, 2025</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73,735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537,256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(17,371)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(139,164)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380,721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100" w:type="dxa"/>
            <w:vAlign w:val="bottom"/>
          </w:tcPr>
          <w:p>
            <w:pPr>
              <w:spacing w:after="0"/>
              <w:rPr>
                <w:sz w:val="16"/>
                <w:szCs w:val="16"/>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529,543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(83,931)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430,671</w:t>
            </w:r>
          </w:p>
        </w:tc>
        <w:tc>
          <w:tcPr>
            <w:tcW w:w="0" w:type="dxa"/>
            <w:vAlign w:val="bottom"/>
          </w:tcPr>
          <w:p>
            <w:pPr>
              <w:spacing w:after="0"/>
              <w:rPr>
                <w:sz w:val="1"/>
                <w:szCs w:val="1"/>
                <w:color w:val="auto"/>
              </w:rPr>
            </w:pPr>
          </w:p>
        </w:tc>
      </w:tr>
      <w:tr>
        <w:trPr>
          <w:trHeight w:val="226"/>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stock issued upon exercise of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Vesting of restricted stock and performance stock units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and retirement of common 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w:t>
            </w: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2,968</w:t>
            </w:r>
          </w:p>
        </w:tc>
        <w:tc>
          <w:tcPr>
            <w:tcW w:w="0" w:type="dxa"/>
            <w:vAlign w:val="bottom"/>
          </w:tcPr>
          <w:p>
            <w:pPr>
              <w:spacing w:after="0"/>
              <w:rPr>
                <w:sz w:val="1"/>
                <w:szCs w:val="1"/>
                <w:color w:val="auto"/>
              </w:rPr>
            </w:pPr>
          </w:p>
        </w:tc>
      </w:tr>
      <w:tr>
        <w:trPr>
          <w:trHeight w:val="226"/>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(3,584)</w:t>
            </w: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(2,556)</w:t>
            </w:r>
          </w:p>
        </w:tc>
        <w:tc>
          <w:tcPr>
            <w:tcW w:w="0" w:type="dxa"/>
            <w:vAlign w:val="bottom"/>
          </w:tcPr>
          <w:p>
            <w:pPr>
              <w:spacing w:after="0"/>
              <w:rPr>
                <w:sz w:val="1"/>
                <w:szCs w:val="1"/>
                <w:color w:val="auto"/>
              </w:rPr>
            </w:pPr>
          </w:p>
        </w:tc>
      </w:tr>
      <w:tr>
        <w:trPr>
          <w:trHeight w:val="219"/>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2024</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73,959</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531,263</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(17,497)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(87,515)</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426,251</w:t>
            </w: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Vesting of restricted stock and performance stock units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and retirement of common 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(1,984)</w:t>
            </w: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3,322</w:t>
            </w:r>
          </w:p>
        </w:tc>
        <w:tc>
          <w:tcPr>
            <w:tcW w:w="0" w:type="dxa"/>
            <w:vAlign w:val="bottom"/>
          </w:tcPr>
          <w:p>
            <w:pPr>
              <w:spacing w:after="0"/>
              <w:rPr>
                <w:sz w:val="1"/>
                <w:szCs w:val="1"/>
                <w:color w:val="auto"/>
              </w:rPr>
            </w:pPr>
          </w:p>
        </w:tc>
      </w:tr>
      <w:tr>
        <w:trPr>
          <w:trHeight w:val="226"/>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30, 2024</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74,568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532,601</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(18,631)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(88,130)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425,840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10.</w:t>
        <w:tab/>
        <w:t>Business Segment Information</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reportable segment derives its revenues from the sale of diagnostics products and sample management solutions, as described in Note 1 Summary of Significant Accounting Policies. As the Company has only one reportable segment, there are no inter-segment sales or transfers.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The CODM uses consolidated net income (loss) as reported in the consolidated statement of operations as the primary measure of the reportable segment's profit or loss. The CODM uses consolidated net income (loss) to assess the performance of the segment and make decisions about resource allocation. Consolidated gross profit and consolidated operating income (loss), as reported in the consolidated statement of operations, are also used by the CODM as measures of segment profit or loss. The CODM uses gross profit to assess the impact of the Company's efforts to achieve manufacturing efficiencies and consolidate its production activities. The CODM uses operating income (loss) to assess the impact of the Company's recent restructurings, reduction in workforce, and efforts to streamline its operations to achieve cost savings. The CODM uses consolidated total assets as the measure of segment assets, as reported on the consolidated balance sheet.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Company's reportable segment are the same as those described in Note 1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total long-lived assets by geographic area: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7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40,286</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12,849</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8"/>
        </w:trPr>
        <w:tc>
          <w:tcPr>
            <w:tcW w:w="7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reported segment revenues, segment loss, and significant segment expenses: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29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7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10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31,242</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54,335</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61,173</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108,467</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Cost of products and services sold </w:t>
            </w:r>
            <w:r>
              <w:rPr>
                <w:rFonts w:ascii="Times New Roman" w:cs="Times New Roman" w:eastAsia="Times New Roman" w:hAnsi="Times New Roman"/>
                <w:sz w:val="22"/>
                <w:szCs w:val="22"/>
                <w:color w:val="auto"/>
                <w:vertAlign w:val="superscript"/>
              </w:rPr>
              <w:t>(2)</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18,083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29,646</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35,715</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59,713</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24,689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25,458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48,754</w:t>
            </w: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Research and development </w:t>
            </w:r>
            <w:r>
              <w:rPr>
                <w:rFonts w:ascii="Times New Roman" w:cs="Times New Roman" w:eastAsia="Times New Roman" w:hAnsi="Times New Roman"/>
                <w:sz w:val="22"/>
                <w:szCs w:val="22"/>
                <w:color w:val="auto"/>
                <w:vertAlign w:val="superscript"/>
              </w:rPr>
              <w:t>(2)</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6,599</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21,004</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14,337</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Sales and marketing </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16,379</w:t>
            </w:r>
          </w:p>
        </w:tc>
        <w:tc>
          <w:tcPr>
            <w:tcW w:w="0" w:type="dxa"/>
            <w:vAlign w:val="bottom"/>
          </w:tcPr>
          <w:p>
            <w:pPr>
              <w:spacing w:after="0"/>
              <w:rPr>
                <w:sz w:val="1"/>
                <w:szCs w:val="1"/>
                <w:color w:val="auto"/>
              </w:rPr>
            </w:pPr>
          </w:p>
        </w:tc>
      </w:tr>
      <w:tr>
        <w:trPr>
          <w:trHeight w:val="229"/>
        </w:trPr>
        <w:tc>
          <w:tcPr>
            <w:tcW w:w="4180" w:type="dxa"/>
            <w:vAlign w:val="bottom"/>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General and administrative </w:t>
            </w:r>
            <w:r>
              <w:rPr>
                <w:rFonts w:ascii="Times New Roman" w:cs="Times New Roman" w:eastAsia="Times New Roman" w:hAnsi="Times New Roman"/>
                <w:sz w:val="22"/>
                <w:szCs w:val="22"/>
                <w:color w:val="auto"/>
                <w:vertAlign w:val="superscript"/>
              </w:rPr>
              <w:t>(2)</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11,845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26,778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23,479</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Loss on impairments</w:t>
            </w:r>
          </w:p>
        </w:tc>
        <w:tc>
          <w:tcPr>
            <w:tcW w:w="104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130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4,392</w:t>
            </w:r>
          </w:p>
        </w:tc>
        <w:tc>
          <w:tcPr>
            <w:tcW w:w="0" w:type="dxa"/>
            <w:vAlign w:val="bottom"/>
          </w:tcPr>
          <w:p>
            <w:pPr>
              <w:spacing w:after="0"/>
              <w:rPr>
                <w:sz w:val="1"/>
                <w:szCs w:val="1"/>
                <w:color w:val="auto"/>
              </w:rPr>
            </w:pPr>
          </w:p>
        </w:tc>
      </w:tr>
      <w:tr>
        <w:trPr>
          <w:trHeight w:val="167"/>
        </w:trPr>
        <w:tc>
          <w:tcPr>
            <w:tcW w:w="418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Change in the estimated fair value of acquisition-related</w:t>
            </w:r>
          </w:p>
        </w:tc>
        <w:tc>
          <w:tcPr>
            <w:tcW w:w="10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1,211</w:t>
            </w:r>
          </w:p>
        </w:tc>
        <w:tc>
          <w:tcPr>
            <w:tcW w:w="10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contingent consideration</w:t>
            </w:r>
          </w:p>
        </w:tc>
        <w:tc>
          <w:tcPr>
            <w:tcW w:w="10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Gain on sale of assets</w:t>
            </w:r>
          </w:p>
        </w:tc>
        <w:tc>
          <w:tcPr>
            <w:tcW w:w="104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jc w:val="right"/>
              <w:ind w:right="130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(loss) income</w:t>
            </w:r>
          </w:p>
        </w:tc>
        <w:tc>
          <w:tcPr>
            <w:tcW w:w="10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(18,026)</w:t>
            </w: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(2,740)</w:t>
            </w:r>
          </w:p>
        </w:tc>
        <w:tc>
          <w:tcPr>
            <w:tcW w:w="10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(35,776)</w:t>
            </w:r>
          </w:p>
        </w:tc>
        <w:tc>
          <w:tcPr>
            <w:tcW w:w="10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58,587</w:t>
            </w:r>
          </w:p>
        </w:tc>
        <w:tc>
          <w:tcPr>
            <w:tcW w:w="0" w:type="dxa"/>
            <w:vAlign w:val="bottom"/>
          </w:tcPr>
          <w:p>
            <w:pPr>
              <w:spacing w:after="0"/>
              <w:rPr>
                <w:sz w:val="1"/>
                <w:szCs w:val="1"/>
                <w:color w:val="auto"/>
              </w:rPr>
            </w:pPr>
          </w:p>
        </w:tc>
      </w:tr>
      <w:tr>
        <w:trPr>
          <w:trHeight w:val="233"/>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 income</w:t>
            </w:r>
          </w:p>
        </w:tc>
        <w:tc>
          <w:tcPr>
            <w:tcW w:w="104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jc w:val="right"/>
              <w:ind w:right="130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26"/>
        </w:trPr>
        <w:tc>
          <w:tcPr>
            <w:tcW w:w="4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revenue</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6,052</w:t>
            </w:r>
          </w:p>
        </w:tc>
        <w:tc>
          <w:tcPr>
            <w:tcW w:w="0" w:type="dxa"/>
            <w:vAlign w:val="bottom"/>
          </w:tcPr>
          <w:p>
            <w:pPr>
              <w:spacing w:after="0"/>
              <w:rPr>
                <w:sz w:val="1"/>
                <w:szCs w:val="1"/>
                <w:color w:val="auto"/>
              </w:rPr>
            </w:pPr>
          </w:p>
        </w:tc>
      </w:tr>
      <w:tr>
        <w:trPr>
          <w:trHeight w:val="233"/>
        </w:trPr>
        <w:tc>
          <w:tcPr>
            <w:tcW w:w="4180" w:type="dxa"/>
            <w:vAlign w:val="bottom"/>
            <w:shd w:val="clear" w:color="auto" w:fill="CCEEFF"/>
          </w:tcPr>
          <w:p>
            <w:pPr>
              <w:ind w:left="140"/>
              <w:spacing w:after="0" w:line="233"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00" w:type="dxa"/>
            <w:vAlign w:val="bottom"/>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w:t>
            </w:r>
          </w:p>
        </w:tc>
        <w:tc>
          <w:tcPr>
            <w:tcW w:w="100" w:type="dxa"/>
            <w:vAlign w:val="bottom"/>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(16,891)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(32,863)</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(3,276)</w:t>
            </w:r>
          </w:p>
        </w:tc>
        <w:tc>
          <w:tcPr>
            <w:tcW w:w="0" w:type="dxa"/>
            <w:vAlign w:val="bottom"/>
          </w:tcPr>
          <w:p>
            <w:pPr>
              <w:spacing w:after="0"/>
              <w:rPr>
                <w:sz w:val="1"/>
                <w:szCs w:val="1"/>
                <w:color w:val="auto"/>
              </w:rPr>
            </w:pPr>
          </w:p>
        </w:tc>
      </w:tr>
      <w:tr>
        <w:trPr>
          <w:trHeight w:val="233"/>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expense</w:t>
            </w:r>
          </w:p>
        </w:tc>
        <w:tc>
          <w:tcPr>
            <w:tcW w:w="10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0" w:type="dxa"/>
            <w:vAlign w:val="bottom"/>
          </w:tcPr>
          <w:p>
            <w:pPr>
              <w:spacing w:after="0"/>
              <w:rPr>
                <w:sz w:val="1"/>
                <w:szCs w:val="1"/>
                <w:color w:val="auto"/>
              </w:rPr>
            </w:pPr>
          </w:p>
        </w:tc>
      </w:tr>
      <w:tr>
        <w:trPr>
          <w:trHeight w:val="226"/>
        </w:trPr>
        <w:tc>
          <w:tcPr>
            <w:tcW w:w="4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Loss on equity investment</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(1,326)</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0" w:type="dxa"/>
            <w:vAlign w:val="bottom"/>
          </w:tcPr>
          <w:p>
            <w:pPr>
              <w:spacing w:after="0"/>
              <w:rPr>
                <w:sz w:val="1"/>
                <w:szCs w:val="1"/>
                <w:color w:val="auto"/>
              </w:rPr>
            </w:pPr>
          </w:p>
        </w:tc>
      </w:tr>
      <w:tr>
        <w:trPr>
          <w:trHeight w:val="252"/>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(35,733)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140" w:hanging="132"/>
        <w:spacing w:after="0"/>
        <w:tabs>
          <w:tab w:leader="none" w:pos="14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interest expense and foreign currency gains (losses).</w:t>
      </w:r>
    </w:p>
    <w:p>
      <w:pPr>
        <w:ind w:left="140" w:hanging="132"/>
        <w:spacing w:after="0"/>
        <w:tabs>
          <w:tab w:leader="none" w:pos="14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following tables represent additional significant segment expense categories: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8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42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Stock-based Compensation</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9"/>
                <w:szCs w:val="19"/>
                <w:color w:val="auto"/>
              </w:rPr>
            </w:pPr>
          </w:p>
        </w:tc>
        <w:tc>
          <w:tcPr>
            <w:tcW w:w="116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r>
      <w:tr>
        <w:trPr>
          <w:trHeight w:val="223"/>
        </w:trPr>
        <w:tc>
          <w:tcPr>
            <w:tcW w:w="4260" w:type="dxa"/>
            <w:vAlign w:val="bottom"/>
          </w:tcPr>
          <w:p>
            <w:pPr>
              <w:spacing w:after="0"/>
              <w:rPr>
                <w:sz w:val="19"/>
                <w:szCs w:val="19"/>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w:t>
            </w:r>
          </w:p>
        </w:tc>
      </w:tr>
      <w:tr>
        <w:trPr>
          <w:trHeight w:val="524"/>
        </w:trPr>
        <w:tc>
          <w:tcPr>
            <w:tcW w:w="4260" w:type="dxa"/>
            <w:vAlign w:val="bottom"/>
          </w:tcPr>
          <w:p>
            <w:pPr>
              <w:spacing w:after="0"/>
              <w:rPr>
                <w:sz w:val="24"/>
                <w:szCs w:val="24"/>
                <w:color w:val="auto"/>
              </w:rPr>
            </w:pP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8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42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tcPr>
          <w:p>
            <w:pPr>
              <w:spacing w:after="0"/>
              <w:rPr>
                <w:sz w:val="19"/>
                <w:szCs w:val="19"/>
                <w:color w:val="auto"/>
              </w:rPr>
            </w:pPr>
          </w:p>
        </w:tc>
        <w:tc>
          <w:tcPr>
            <w:tcW w:w="116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23"/>
        </w:trPr>
        <w:tc>
          <w:tcPr>
            <w:tcW w:w="4260" w:type="dxa"/>
            <w:vAlign w:val="bottom"/>
          </w:tcPr>
          <w:p>
            <w:pPr>
              <w:spacing w:after="0"/>
              <w:rPr>
                <w:sz w:val="19"/>
                <w:szCs w:val="19"/>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w:t>
            </w:r>
          </w:p>
        </w:tc>
      </w:tr>
      <w:tr>
        <w:trPr>
          <w:trHeight w:val="898"/>
        </w:trPr>
        <w:tc>
          <w:tcPr>
            <w:tcW w:w="4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Combinations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Sherlock Biosciences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19, 2024, the Company acquired all of the outstanding stock of Sherlock, pursuant to the terms of a merger agreement (the "Merger Agreement"). The Company began operating this entity as of the December 19, 2024 closing date.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reason for the acquisition was Sherlock's first test for Chlamydia Trachomatis (CT) and Neisseria Gonorrhoeae (NG), which is in clinical studies and is expected to be submitted to the FDA for approval by the end of 2025. Subject to regulatory approvals, this test is expected to expand the Company's portfolio for rapid diagnostics for sexually transmitted infections.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The initial aggregate purchase price of this transaction was funded with cash on hand as shown in the table below:</w:t>
            </w: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3"/>
        </w:trPr>
        <w:tc>
          <w:tcPr>
            <w:tcW w:w="9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contingent consideration</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based contingent consideration</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Sherlock</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expenses</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policy expense</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aggregate purchase price</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28,349</w:t>
            </w:r>
          </w:p>
        </w:tc>
      </w:tr>
      <w:tr>
        <w:trPr>
          <w:trHeight w:val="20"/>
        </w:trPr>
        <w:tc>
          <w:tcPr>
            <w:tcW w:w="9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the Company agreed to pay up to $20.0 million of contingent consideration based on the achievement of a regulatory milestone on or before December 31, 2026 as defined in the Merger Agreement. The fair value of the milestone contingent consideration was $15.9 million. The range of outcome for the milestone contingent consideration is zero to $20.0 million. There is also a mid-single digits quarterly royalty fee based on future sales until 2034 as defined in the Merger Agreement, the fair value of which was determined as part of the contingent consideration. The estimated acquisition-date fair value of the royalty fee acquisition-related contingent consideration was $7.0 million. The range of outcome for the royalty payment cannot be determined due to the fact it is based on future sales associated with the acquired in-process research and development technology through 2034 and thus does not have an upper limit.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incurred a total of $1.0 million of acquisition related costs, including accounting, legal, and other professional fees, all of which were expensed and reported as a component of general and administrative expenses in the consolidated statement of operations for the year ended December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as of the acquisition date:</w:t>
            </w: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9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30"/>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w:t>
            </w:r>
          </w:p>
        </w:tc>
      </w:tr>
      <w:tr>
        <w:trPr>
          <w:trHeight w:val="229"/>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 technology intangible asset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r>
      <w:tr>
        <w:trPr>
          <w:trHeight w:val="223"/>
        </w:trPr>
        <w:tc>
          <w:tcPr>
            <w:tcW w:w="9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39,738</w:t>
            </w:r>
          </w:p>
        </w:tc>
      </w:tr>
      <w:tr>
        <w:trPr>
          <w:trHeight w:val="20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30"/>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r>
      <w:tr>
        <w:trPr>
          <w:trHeight w:val="229"/>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30"/>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r>
      <w:tr>
        <w:trPr>
          <w:trHeight w:val="223"/>
        </w:trPr>
        <w:tc>
          <w:tcPr>
            <w:tcW w:w="9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11,791</w:t>
            </w: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27,947</w:t>
            </w:r>
          </w:p>
        </w:tc>
      </w:tr>
      <w:tr>
        <w:trPr>
          <w:trHeight w:val="229"/>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Estimated fair value of contingent consideration</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(22,910)</w:t>
            </w:r>
          </w:p>
        </w:tc>
      </w:tr>
      <w:tr>
        <w:trPr>
          <w:trHeight w:val="24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Paid (net of cash acquired of ($402)</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was allocated to the tangible assets and identifiable intangible assets acquired and liabilities assumed based on their acquisition-date estimate fair values. The identifiable intangible assets included in-process research and development technology ("IPR&amp;D Technology"), which is an indefinite lived asset.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with the assistance of an independent valuation specialist, assessed the fair value of the assets and contingent consideration of Sherlock. The income approach was used to value the acquired intangibles and the fair value measurements were primarily based on significant inputs that are not observable in the market and are considered Level 3 fair value measurements. The income approach estimates fair value for an asset based on the present value of cash flows projected to be generated by the asset. Projected cash flows are discounted at a required rate of return that reflects the relative risk of achieving the cash flows and the time value of money.</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regulatory milestone scenario based model was used to value the assumed milestone contingent consideration, were primarily based on significant unobservable inputs and are considered Level 3 fair value measurements. The regulatory milestone scenario based model estimates fair value for contingent consideration based on the probability of on the achievement of a certain milestone as defined under the agreements and the discount rate.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income approach was used to value the royalty based contingent consideration, were primarily based on significant unobservable inputs and are considered Level 3 fair value measurements. The fair value of contingent payments approach were primarily based on projected cash flows, probability of on the achievement of a regulatory milestone as defined under the agreements, and discount rate.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calculated as the difference between the acquisition date fair value of the consideration transferred and the fair value of the net assets acquired, and represents the future economic benefits that we expect to achieve as a result of the acquisition. The Company believes the goodwill related to the acquisition was a result of Sherlock providing a product offering that will enable the Company to leverage those products with existing and new customers. The goodwill is not deductible for income tax purposes.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evaluate the fair value of certain assets acquired and liabilities assumed. Additional information, which existed as of the acquisition date, but was at that time unknown to the Company, may become known during the remainder of the measurement period. Changes to amounts recorded as a result of the final determination may result in a corresponding adjustment to these assets and liabilities, including goodwill. The determination of the estimated fair values of all assets acquired is expected to be completed within one year from the date of acquisition.</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from Sherlock primarily consist of grant revenues for research and development purposes. Effective as of December 19, 2024, the financial results of Sherlock are included in the consolidated financial results of the Company.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Unaudited Pro Forma Financial Information</w:t>
      </w:r>
    </w:p>
    <w:p>
      <w:pPr>
        <w:spacing w:after="0" w:line="2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unaudited pro forma results presented below include the results of the Sherlock acquisition as if it had been consummated as of January 1, 2024. The unaudited pro forma results include depreciation of the acquired property plant and equipment and the estimated tax effect of adjustments to income before income taxes but do not include changes in the fair value of the Company's contingent consideration obligations. Material nonrecurring charges, directly attributable to the transactions, including direct acquisition costs, are also excluded. In addition, the unaudited pro forma results do not include any expected benefits of the acquisitions. Accordingly, the unaudited pro forma results are not necessarily indicative of either future results of operations or results that might have been achieved had the acquisition been consummated as of January 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33655</wp:posOffset>
            </wp:positionV>
            <wp:extent cx="19373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3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33655</wp:posOffset>
            </wp:positionV>
            <wp:extent cx="1800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33" w:lineRule="exact"/>
        <w:rPr>
          <w:sz w:val="20"/>
          <w:szCs w:val="20"/>
          <w:color w:val="auto"/>
        </w:rPr>
      </w:pPr>
    </w:p>
    <w:p>
      <w:pPr>
        <w:sectPr>
          <w:pgSz w:w="11900" w:h="16838" w:orient="portrait"/>
          <w:cols w:equalWidth="0" w:num="2">
            <w:col w:w="8020" w:space="720"/>
            <w:col w:w="25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top w:val="single" w:sz="8" w:color="auto"/>
            </w:tcBorders>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54,575</w:t>
            </w:r>
          </w:p>
        </w:tc>
        <w:tc>
          <w:tcPr>
            <w:tcW w:w="8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109,038</w:t>
            </w: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(9,865)</w:t>
            </w:r>
          </w:p>
        </w:tc>
        <w:tc>
          <w:tcPr>
            <w:tcW w:w="80" w:type="dxa"/>
            <w:vAlign w:val="bottom"/>
          </w:tcPr>
          <w:p>
            <w:pPr>
              <w:spacing w:after="0"/>
              <w:rPr>
                <w:sz w:val="20"/>
                <w:szCs w:val="20"/>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(24,203)</w:t>
            </w:r>
          </w:p>
        </w:tc>
      </w:tr>
      <w:tr>
        <w:trPr>
          <w:trHeight w:val="900"/>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legal actions arising in the ordinary course of business. In management’s opinion, the outcomes of such actions, either individually or in the aggregate, are not expected to have a material adverse effect on the Company's future financial position or results of operations.</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November 14, 2024 the Company filed a complaint against NowDiagnostics, Inc. ("NowDx"), Jody Berry ("Berry") and Janean Young ("Young") in the United States District Court for the Eastern District of Pennsylvania alleging misappropriation and misuse of the Company's proprietary information and trade secrets by NowDx, Berry and Young in violation of the Federal Defend Trade Secrets Act and the Pennsylvania Uniform Trade Secrets Act. The complaint also alleges breach of contract and duty of loyalty by Young, unfair competition by NowDx, and tortious interference with contractual relations by Berry and NowDx. NowDx filed Counterclaims against the Company on January 13, 2025 and the Company filed its Answer to the Counterclaims on February 3, 2025. Young filed a Motion to Dismiss the claims against her, which was denied by the court on February 4, 2025. NowDx, Berry, and Young agreed to a preliminary injunction which the Court entered on February 27, 2025. The trial is scheduled for March 9, 2026.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Company's financial condition and results of operations should be read in conjunction with (i) the Company's unaudited condensed consolidated financial statements and related notes appearing elsewhere in this Quarterly Report on Form 10-Q and (ii) the Company's audited consolidated financial statements and related notes and management’s discussion and analysis of financial condition and results of operations included in the Company's Annual Report on Form 10-K for the year ended December 31, 2024 filed with the Securities and Exchange Commission on March 7, 2025. Some of the information contained in this discussion and analysis or set forth elsewhere in this Quarterly Report on Form 10-Q, including information with respect to the Company's plans and strategy for its business and impact and potential impacts on its business, includes forward-looking statements that involve risks and uncertainties. As a result of many factors, including, without limitation, those factors set forth in the “Risk Factors” section of the Company's Annual Report on Form 10-K for the year ended December 31, 2024 and the “Risk Factors” section of subsequent Quarterly Reports on Form 10-Q, the Company's actual results or timing of certain events could differ materially from the results or timing described in, or implied by, these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 consists of the development, manufacture, marketing and sale of simple, easy to use diagnostic products and specimen collection devices using the Company's proprietary technologies, as well as other diagnostic products including immunoassays and other in vitro diagnostic tests that are used on other specimen types. These products include tests for diseases including HIV, Hepatitis C, Syphilis, and COVID-19 that are performed on a rapid basis at the point of care.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HIV and COVID-19 products are also sold in a consumer-friendly format in the over-the-counter (“OTC”) market in the U.S. and, in the case of the HIV product, as a self-test to individuals in a number of other countries, including as an oral swab in-home test for HIV-1 and HIV-2 in Europe.</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business also includes sample management solutions and services that are used by clinical laboratories, direct-to-consumer laboratories, researchers, pharmaceutical companies, and animal health service and product providers. The revenues from sample management solutions are derived from product sales to commercial customers and sales into the academic and research markets. Customers span the disease risk management, diagnostics, pharmaceutical, biotech, companion animal and environmental markets.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This product is in its early stages, and initial sales are occurring primarily through distributors and collaborations in the liquid biopsy and sexually transmitted disease markets.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Assessment Testing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third quarter of 2024, the Company announced the discontinuance of sales of its risk assessment product line which was completed in the second quarter of 2025. Sales of its risk assessment products contributed $0.4 million and $2.3 million to revenues during the three months ended June 30, 2025 and 2024, respectively. Sales of its risk assessment products contributed $1.9 million and $4.4 million to revenues during the six months ended June 30, 2025 and 2024, respectively. During the first quarter of 2025, the Company sold certain assets that made up the risk assessment product line including certain intellectual property, contracts, permits, and equipment.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2025 compared to June 30, 2024.</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CONSOLIDATED NET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total consolidated net revenues (dollars in thousands) for the three months ended June 30, 2025 and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560" w:type="dxa"/>
            <w:vAlign w:val="bottom"/>
          </w:tcPr>
          <w:p>
            <w:pPr>
              <w:spacing w:after="0"/>
              <w:rPr>
                <w:sz w:val="16"/>
                <w:szCs w:val="16"/>
                <w:color w:val="auto"/>
              </w:rPr>
            </w:pPr>
          </w:p>
        </w:tc>
      </w:tr>
      <w:tr>
        <w:trPr>
          <w:trHeight w:val="23"/>
        </w:trPr>
        <w:tc>
          <w:tcPr>
            <w:tcW w:w="3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3"/>
          </w:tcPr>
          <w:p>
            <w:pPr>
              <w:spacing w:after="0"/>
              <w:rPr>
                <w:sz w:val="2"/>
                <w:szCs w:val="2"/>
                <w:color w:val="auto"/>
              </w:rPr>
            </w:pPr>
          </w:p>
        </w:tc>
      </w:tr>
      <w:tr>
        <w:trPr>
          <w:trHeight w:val="190"/>
        </w:trPr>
        <w:tc>
          <w:tcPr>
            <w:tcW w:w="3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Percentage of Total Net Revenues</w:t>
            </w:r>
          </w:p>
        </w:tc>
      </w:tr>
      <w:tr>
        <w:trPr>
          <w:trHeight w:val="196"/>
        </w:trPr>
        <w:tc>
          <w:tcPr>
            <w:tcW w:w="3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396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Diagnostics </w:t>
            </w:r>
            <w:r>
              <w:rPr>
                <w:rFonts w:ascii="Times New Roman" w:cs="Times New Roman" w:eastAsia="Times New Roman" w:hAnsi="Times New Roman"/>
                <w:sz w:val="23"/>
                <w:szCs w:val="23"/>
                <w:color w:val="auto"/>
                <w:vertAlign w:val="superscript"/>
              </w:rPr>
              <w:t>(1)</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18,746</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3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Sample Management Solutions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12,609</w:t>
            </w:r>
          </w:p>
        </w:tc>
        <w:tc>
          <w:tcPr>
            <w:tcW w:w="10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3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 Assessment Testing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3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products and services </w:t>
            </w:r>
            <w:r>
              <w:rPr>
                <w:rFonts w:ascii="Times New Roman" w:cs="Times New Roman" w:eastAsia="Times New Roman" w:hAnsi="Times New Roman"/>
                <w:sz w:val="23"/>
                <w:szCs w:val="23"/>
                <w:color w:val="auto"/>
                <w:vertAlign w:val="superscript"/>
              </w:rPr>
              <w:t>(4)</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Diagnostics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10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9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53,949</w:t>
            </w:r>
          </w:p>
        </w:tc>
        <w:tc>
          <w:tcPr>
            <w:tcW w:w="1040" w:type="dxa"/>
            <w:vAlign w:val="bottom"/>
            <w:tcBorders>
              <w:top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39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40" w:type="dxa"/>
            <w:vAlign w:val="bottom"/>
            <w:tcBorders>
              <w:bottom w:val="single" w:sz="8" w:color="CCEEFF"/>
            </w:tcBorders>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3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HIV, HCV, Syphilis, and SureQuick</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product revenues.</w:t>
      </w:r>
    </w:p>
    <w:p>
      <w:pPr>
        <w:spacing w:after="0" w:line="1" w:lineRule="exact"/>
        <w:rPr>
          <w:rFonts w:ascii="Times New Roman" w:cs="Times New Roman" w:eastAsia="Times New Roman" w:hAnsi="Times New Roman"/>
          <w:sz w:val="19"/>
          <w:szCs w:val="19"/>
          <w:color w:val="auto"/>
          <w:vertAlign w:val="superscript"/>
        </w:rPr>
      </w:pPr>
    </w:p>
    <w:p>
      <w:pPr>
        <w:ind w:left="240" w:hanging="232"/>
        <w:spacing w:after="0"/>
        <w:tabs>
          <w:tab w:leader="none" w:pos="2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Genomics, Microbiome, and Colli-Pee</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product revenues.</w:t>
      </w:r>
    </w:p>
    <w:p>
      <w:pPr>
        <w:spacing w:after="0" w:line="12" w:lineRule="exact"/>
        <w:rPr>
          <w:rFonts w:ascii="Times New Roman" w:cs="Times New Roman" w:eastAsia="Times New Roman" w:hAnsi="Times New Roman"/>
          <w:sz w:val="9"/>
          <w:szCs w:val="9"/>
          <w:color w:val="auto"/>
        </w:rPr>
      </w:pPr>
    </w:p>
    <w:p>
      <w:pPr>
        <w:ind w:left="240" w:hanging="232"/>
        <w:spacing w:after="0"/>
        <w:tabs>
          <w:tab w:leader="none" w:pos="2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substance abuse testing product revenues.</w:t>
      </w:r>
    </w:p>
    <w:p>
      <w:pPr>
        <w:spacing w:after="0" w:line="12" w:lineRule="exact"/>
        <w:rPr>
          <w:rFonts w:ascii="Times New Roman" w:cs="Times New Roman" w:eastAsia="Times New Roman" w:hAnsi="Times New Roman"/>
          <w:sz w:val="9"/>
          <w:szCs w:val="9"/>
          <w:color w:val="auto"/>
        </w:rPr>
      </w:pPr>
    </w:p>
    <w:p>
      <w:pPr>
        <w:ind w:left="240" w:hanging="232"/>
        <w:spacing w:after="0" w:line="192" w:lineRule="auto"/>
        <w:tabs>
          <w:tab w:leader="none" w:pos="24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COVID-19 Sample Management Solutions product revenues.</w:t>
      </w:r>
    </w:p>
    <w:p>
      <w:pPr>
        <w:spacing w:after="0" w:line="3" w:lineRule="exact"/>
        <w:rPr>
          <w:rFonts w:ascii="Times New Roman" w:cs="Times New Roman" w:eastAsia="Times New Roman" w:hAnsi="Times New Roman"/>
          <w:sz w:val="19"/>
          <w:szCs w:val="19"/>
          <w:color w:val="auto"/>
          <w:vertAlign w:val="superscript"/>
        </w:rPr>
      </w:pPr>
    </w:p>
    <w:p>
      <w:pPr>
        <w:ind w:left="240" w:hanging="232"/>
        <w:spacing w:after="0" w:line="189" w:lineRule="auto"/>
        <w:tabs>
          <w:tab w:leader="none" w:pos="24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funded research and development contracts, royalty income and grant revenues.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Services Revenues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net revenues decreased 43% to $31.2 million for the three months ended June 30, 2025 from $54.3 million for the three months ended June 30,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the Company's Diagnostics products increased 3% to $19.2 million for the three months ended June 30, 2025 from $18.7 million for the three months ended June 30, 2024. This increase in revenues is largely due to higher international HIV revenues of approximately $1.3 million primarily driven by customer ordering patterns. Sales of a syphilis product, which were first sold in the second quarter of 2024 are also partially responsible for the increase. This increase in revenues was partially offset by decrease in domestic revenues of the Company's HIV product and a decline in international HCV revenues.</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Sample Management Solutions revenues decreased 22% to $9.9 million for the three months ended June 30, 2025 from $12.6 million for the three months ended June 30, 2024. Sales of the Company's genomics products are being impacted by a large customer's bankruptcy proceedings.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Risk assessment revenue decreased 81% to $0.4 million for the three months ended June 30, 2025 from $2.3 million for the three months ended June 30, 2024. The Company discontinued this line of business at the end of 2024 and business is winding down in early 2025.</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COVID-19 Diagnostics revenues decreased 100% to $0.03 million for the three months ended June 30, 2025 compared to $18.9 million for the three months ended June 30, 2024 due to decreased sales of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through its U.S. government procurement contracts. We expect this level of revenue to continue throughout the remainder of 2025 and for the foreseeable future due to the fulfillment of these contracts and lower overall demand for COVID-19 testing.</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Molecular Services revenues, which are derived from the Company's microbiome molecular sequencing services, were zero during the three months ended June 30, 2025 compared to $0.8 million during the three months ended June 30, 2024. The decrease in services revenues was due to the Company's decision to exit this line of business in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Non-Product and Services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Non-product and services revenues increased 261% to $1.4 million for the three months ended June 30, 2025 from $0.4 million for the three months ended June 30, 2024 primarily due to the recognition of revenue under funded R&amp;D contracts that were assumed by the Company as a result of the Sherlock acquisition at the end of 2024.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Consolidated gross profit margin decreased to 42.1% for the three months ended June 30, 2025 from 45.4% for the three months ended June 30, 2024. The largest driver of the margin decline was a negative product mix driven by lower InteliSwab® sales that generate higher gross margins, lower genomics sales that also generate higher gross margins, and higher international product sales which generate lower margins. The termination of the microbiome molecular sequencing services business which historically dragged down the gross margin rate helped to improve the gross margin rate during the quarter. Higher scrap expense also contributed to the lower margins in the quarter but was partially offset by improved overhead absorption as the Company brings more production in-house to its Opus Way facility.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operating loss for the three months ended June 30, 2025 was $18.0 million, a $15.3 million increase from the operating loss reported for the three months ended June 30, 2024. The increase in the operating loss reported in the second quarter of 2025 was largely a result of the lower revenues and lower gross margins generated on sales of the Company's products during the three months ended June 30, 2025 coupled with the increase spend on clinical trials. Results for the three months ended June 30, 2025 included change in the estimated fair value of acquisition-related contingent consideration of $0.7 million.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73% to $11.4 million for the three months ended June 30, 2025 from $6.6 million for the three months ended June 30, 2024 largely due to higher spend incurred for clinical trials associated with the Chlamydia Trachomatis (CT) and Neisseria Gonorrhoeae (NG) device and additional R&amp;D expense layered in from the newly acquired Sherlock companies.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20% to $6.4 million for the three months ended June 30, 2025 from $7.9 million for the three months ended June 30, 2024 due to decreased bad debt expense, lower employee costs associated with a decrease in headcount and a decrease in consulting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7% to $12.7 million for the three months ended June 30, 2025 from $11.8 million for the three months ended June 30, 2024 largely due an increase in legal fees and severance expense associated with an executive's departure.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the Company recorded a non-cash adjustment of $0.7 million, reflecting the change in the estimated fair value of the Sherlock acquisition-related contingent consideration. The Sherlock acquisition was completed in December 2024 and there is no comparable amount in the first quarter of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above contributed to the Company's operating loss of $18.0 million for the three months ended June 30, 2025, which included non-cash charges of $3.2 million for stock-based compensation, $2.5 million for depreciation and amortization, and $0.7 million of change in the estimated fair value of acquisition-related contingent consideration. The Company's operating loss of $2.7 million for the three months ended June 30, 2024 included a non-cash impairment charge of $1.1 million, non-cash charges of $2.6 million for depreciation and amortization, and $3.3 million for stock-based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for the three months ended June 30, 2025 was $1.1 million compared to $3.1 million for the three months ended June 30, 2024 due to lower interest income and higher foreign currency losses.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believe the full valuation allowance established against its total U.S. deferred tax asset is appropriate as the facts and circumstances necessitating the allowance have not changed. For the three months ended June 30, 2025 and 2024, the Company recorded income tax expense of $2.0 million and $0.4 million, respectively. The increase in the income tax expense is largely due to recording an uncertain tax position for certain tax matters, including penalties and interest.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 compared to June 30, 2024.</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CONSOLIDATED NET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an outline of total consolidated net revenues (dollars in thousands) for the six months ended June 30, 2025 and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2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560" w:type="dxa"/>
            <w:vAlign w:val="bottom"/>
          </w:tcPr>
          <w:p>
            <w:pPr>
              <w:spacing w:after="0"/>
              <w:rPr>
                <w:sz w:val="16"/>
                <w:szCs w:val="16"/>
                <w:color w:val="auto"/>
              </w:rPr>
            </w:pPr>
          </w:p>
        </w:tc>
      </w:tr>
      <w:tr>
        <w:trPr>
          <w:trHeight w:val="23"/>
        </w:trPr>
        <w:tc>
          <w:tcPr>
            <w:tcW w:w="3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3"/>
          </w:tcPr>
          <w:p>
            <w:pPr>
              <w:spacing w:after="0"/>
              <w:rPr>
                <w:sz w:val="2"/>
                <w:szCs w:val="2"/>
                <w:color w:val="auto"/>
              </w:rPr>
            </w:pPr>
          </w:p>
        </w:tc>
      </w:tr>
      <w:tr>
        <w:trPr>
          <w:trHeight w:val="190"/>
        </w:trPr>
        <w:tc>
          <w:tcPr>
            <w:tcW w:w="3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3"/>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Percentage of Total Net Revenues</w:t>
            </w:r>
          </w:p>
        </w:tc>
      </w:tr>
      <w:tr>
        <w:trPr>
          <w:trHeight w:val="196"/>
        </w:trPr>
        <w:tc>
          <w:tcPr>
            <w:tcW w:w="3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396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Diagnostics </w:t>
            </w:r>
            <w:r>
              <w:rPr>
                <w:rFonts w:ascii="Times New Roman" w:cs="Times New Roman" w:eastAsia="Times New Roman" w:hAnsi="Times New Roman"/>
                <w:sz w:val="23"/>
                <w:szCs w:val="23"/>
                <w:color w:val="auto"/>
                <w:vertAlign w:val="superscript"/>
              </w:rPr>
              <w:t>(1)</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35,139</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0"/>
        </w:trPr>
        <w:tc>
          <w:tcPr>
            <w:tcW w:w="3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Sample Management Solutions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3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 Assessment Testing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3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products and services </w:t>
            </w:r>
            <w:r>
              <w:rPr>
                <w:rFonts w:ascii="Times New Roman" w:cs="Times New Roman" w:eastAsia="Times New Roman" w:hAnsi="Times New Roman"/>
                <w:sz w:val="23"/>
                <w:szCs w:val="23"/>
                <w:color w:val="auto"/>
                <w:vertAlign w:val="superscript"/>
              </w:rPr>
              <w:t>(4)</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Diagnostics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42,031</w:t>
            </w: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9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107,728</w:t>
            </w:r>
          </w:p>
        </w:tc>
        <w:tc>
          <w:tcPr>
            <w:tcW w:w="1040" w:type="dxa"/>
            <w:vAlign w:val="bottom"/>
            <w:tcBorders>
              <w:top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39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40" w:type="dxa"/>
            <w:vAlign w:val="bottom"/>
            <w:tcBorders>
              <w:bottom w:val="single" w:sz="8" w:color="CCEEFF"/>
            </w:tcBorders>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3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108,467</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240" w:hanging="232"/>
        <w:spacing w:after="0"/>
        <w:tabs>
          <w:tab w:leader="none" w:pos="24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HIV, HCV, Syphilis, and SureQuick</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product revenues.</w:t>
      </w:r>
    </w:p>
    <w:p>
      <w:pPr>
        <w:spacing w:after="0" w:line="1" w:lineRule="exact"/>
        <w:rPr>
          <w:rFonts w:ascii="Times New Roman" w:cs="Times New Roman" w:eastAsia="Times New Roman" w:hAnsi="Times New Roman"/>
          <w:sz w:val="19"/>
          <w:szCs w:val="19"/>
          <w:color w:val="auto"/>
          <w:vertAlign w:val="superscript"/>
        </w:rPr>
      </w:pPr>
    </w:p>
    <w:p>
      <w:pPr>
        <w:ind w:left="240" w:hanging="232"/>
        <w:spacing w:after="0"/>
        <w:tabs>
          <w:tab w:leader="none" w:pos="24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Genomics, Microbiome and Colli-Pee</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product revenues.</w:t>
      </w:r>
    </w:p>
    <w:p>
      <w:pPr>
        <w:spacing w:after="0" w:line="12" w:lineRule="exact"/>
        <w:rPr>
          <w:rFonts w:ascii="Times New Roman" w:cs="Times New Roman" w:eastAsia="Times New Roman" w:hAnsi="Times New Roman"/>
          <w:sz w:val="9"/>
          <w:szCs w:val="9"/>
          <w:color w:val="auto"/>
        </w:rPr>
      </w:pPr>
    </w:p>
    <w:p>
      <w:pPr>
        <w:ind w:left="240" w:hanging="232"/>
        <w:spacing w:after="0"/>
        <w:tabs>
          <w:tab w:leader="none" w:pos="24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substance abuse testing product revenues.</w:t>
      </w:r>
    </w:p>
    <w:p>
      <w:pPr>
        <w:spacing w:after="0" w:line="12" w:lineRule="exact"/>
        <w:rPr>
          <w:rFonts w:ascii="Times New Roman" w:cs="Times New Roman" w:eastAsia="Times New Roman" w:hAnsi="Times New Roman"/>
          <w:sz w:val="9"/>
          <w:szCs w:val="9"/>
          <w:color w:val="auto"/>
        </w:rPr>
      </w:pPr>
    </w:p>
    <w:p>
      <w:pPr>
        <w:ind w:left="240" w:hanging="232"/>
        <w:spacing w:after="0" w:line="192" w:lineRule="auto"/>
        <w:tabs>
          <w:tab w:leader="none" w:pos="24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COVID-19 Sample Management Solutions product revenues.</w:t>
      </w:r>
    </w:p>
    <w:p>
      <w:pPr>
        <w:spacing w:after="0" w:line="3" w:lineRule="exact"/>
        <w:rPr>
          <w:rFonts w:ascii="Times New Roman" w:cs="Times New Roman" w:eastAsia="Times New Roman" w:hAnsi="Times New Roman"/>
          <w:sz w:val="19"/>
          <w:szCs w:val="19"/>
          <w:color w:val="auto"/>
          <w:vertAlign w:val="superscript"/>
        </w:rPr>
      </w:pPr>
    </w:p>
    <w:p>
      <w:pPr>
        <w:ind w:left="240" w:hanging="232"/>
        <w:spacing w:after="0" w:line="189" w:lineRule="auto"/>
        <w:tabs>
          <w:tab w:leader="none" w:pos="24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funded research and development contracts, royalty income and grant revenues.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Services Revenues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net product and services revenues decreased 45% to $58.8 million for the six months ended June 30, 2025 from $107.7 million for the six months ended June 30, 2024.</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the Company's Diagnostics products increased 5% to $36.9 million for the six months ended June 30, 2025 from $35.1 million for the six months ended June 30, 2024. This increase in revenue was primarily driven by higher HIV and HCV revenues in international markets of $1.9 million as a result of customer ordering patterns. Also contributing to the diagnostic revenue increase is a combined increase in HCV domestic and Syphilis revenues of $0.9 million. A decline in our HIV domestic revenue resulting from funding delays or reductions in funding for HIV products and customer order patterns partially offset the increased revenues from the other product lines.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Sample Management Solutions revenues decreased 19% to $19.0 million for the six months ended June 30, 2025 from $23.4 million for the six months ended June 30, 2024. Sales of the Company's Sample Management Solutions Products are being impacted by customer bankruptcy and economic pressures.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Risk assessment revenues decreased 57% to $1.9 million for the six months ended June 30, 2025, compared to $4.4 million for the six months ended June 30, 2024. The Company discontinued this line of business at the end of 2024 and business is winding down in early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COVID-19 Diagnostics revenues decreased 99% to $0.5 million for the six months ended June 30, 2025 compared to $42.0 million for the six months ended June 30, 2024 due to decreased sales of the Company's InteliSwab® tests through its U.S. government procurement contracts. We expect this level of revenue to continue for the remainder of 2025 and for the foreseeable future due to the fulfillment of these contracts and lower overall demand for COVID-19 testing.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Molecular Services revenues, which were largely derived from the Company's laboratory services, were zero for six months ended June 30, 2025 compared to $1.7 million for the six months ended June 30, 2024. The decrease in service revenues was due to the Company's decision to exit this line of business in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Non-Product and Services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Non-product and services revenues increased 215% to $2.3 million for the six months ended June 30, 2025 from $0.7 million for the six months ended June 30, 2024 primarily due to the recognition of revenue under funded R&amp;D contracts that were assumed by the Company as a result of the Sherlock acquisition at the of 2024. The increase is also due to funded R&amp;D contracts with BARDA which did not commence until after the first half of 2024.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Consolidated gross profit margin decreased to 41.6% for the six months ended June 30, 2025 from 44.9% for the six months ended June 30, 2024. The largest driver of the margin decline was a negative product mix driven by lower InteliSwab® sales that generate higher gross margins, lower genomics sales that also generate higher gross margins, and higher international product sales which generate lower margins. The termination of the microbiome molecular sequencing services business which historically dragged down the gross margin rate helped to improve the gross margin rate during the period along with the higher non-product revenues which contribute 100% to gross margin. Lastly, improved overhead absorption helped to offset the negative impact to margins as the Company brings more production in-house to its Opus Way facility.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operating loss for the six months ended June 30, 2025 was $35.8 million, compared to $9.8 million operating loss reported for the six months ended June 30, 2024. Results for the six months ended June 30, 2025 were negatively impacted by the decrease in revenues and lower gross margins generated on sales of the Company's products coupled with higher clinical trial spend. Results for the six months ended June 30, 2025 included change in the estimated fair value of acquisition-related contingent consideration of $1.2 million offset by gain on sale of assets of $1.0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47% to $21.0 million for the six months ended June 30, 2025 from $14.3 million for the six months ended June 30, 2024, largely due to higher spend incurred for clinical trials for the Chlamydia Trachomatis (CT) and Neisseria Gonorrhoeae (NG) device and additional R&amp;D expense layered in from the newly acquired Sherlock companies.</w:t>
      </w:r>
    </w:p>
    <w:p>
      <w:pPr>
        <w:spacing w:after="0" w:line="17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Sales and marketing expenses decreased 19% to $13.2 million for the six months ended June 30, 2025 from $16.4 million for the six months ended June 30, 2024 primarily due to decreased employee costs associated with the reduction in headcount, lower consulting spend, and a decrease in bad debt expense.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increased 14% to $26.8 million for the six months ended June 30, 2025 from $23.5 million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largely due an increase in legal and accounting fees and the additional general and administrative costs associated with the newly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Sherlock companies.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 above contributed to the Company's operating loss of $35.8 million for the six months ended June 30, 2025, which included non-cash charges $5.9 million for stock-based compensation, $5.3 million for depreciation and amortization, and $1.2 million for change in the estimated fair value of acquisition-related contingent consideration. The Company's operating loss of $9.8 million for the six months ended June 30, 2024 included a non-cash impairment charge of $4.4 million, non-cash charges of $6.3 million for stock-based compensation and non-cash charges of $5.3 million for depreciation and amortization.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for the six months ended June 30, 2025 was $2.9 million compared to $6.6 million for the six months ended June 30, 2024. This decrease is largely due to lower interest income and higher foreign currency losses.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TAXES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continues to believe the full valuation allowance established against its total U.S. deferred tax asset is appropriate as the facts and circumstances necessitating the allowance have not changed. For the six months ended June 30, 2025 and 2024, the Company recorded income expense of $1.5 million and $0.4 million, respectively. The increase in the income tax expense is largely due to recording an uncertain tax position for certain tax matters, including penalties and interest.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6"/>
                <w:szCs w:val="16"/>
                <w:color w:val="auto"/>
              </w:rPr>
            </w:pPr>
          </w:p>
        </w:tc>
        <w:tc>
          <w:tcPr>
            <w:tcW w:w="15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3"/>
          </w:tcPr>
          <w:p>
            <w:pPr>
              <w:spacing w:after="0"/>
              <w:rPr>
                <w:sz w:val="2"/>
                <w:szCs w:val="2"/>
                <w:color w:val="auto"/>
              </w:rPr>
            </w:pPr>
          </w:p>
        </w:tc>
      </w:tr>
      <w:tr>
        <w:trPr>
          <w:trHeight w:val="190"/>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80" w:type="dxa"/>
            <w:vAlign w:val="bottom"/>
            <w:gridSpan w:val="3"/>
          </w:tcPr>
          <w:p>
            <w:pPr>
              <w:jc w:val="right"/>
              <w:ind w:right="125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234,578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267,763</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259,088</w:t>
            </w: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299,737</w:t>
            </w:r>
          </w:p>
        </w:tc>
      </w:tr>
    </w:tbl>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decreased to $234.6 million at June 30, 2025 from $267.8 million at December 31, 2024. The Company's Canadian subsidiary, DNAG, held $85.1 million or 36% of the $234.6 million in cash and cash equivalents.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working capital decreased to $259.1 million at June 30, 2025 from $299.7 million at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Analysis of the Company's Cash Flows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2025, net cash used in operating activities was $30.0 million. Cash flows from operations can be significantly impacted by factors such as timing of receipt from customers, inventory purchases, and payments to vendors. The Company's net loss of $35.7 million included non-cash charges of stock-based compensation expense of $5.9 million and depreciation and amortization expense of $5.3 million, and other net non-cash losses of $1.0 million mostly consisting of the non-cash adjustment to the contingent consideration liabilities and the loss on equity investment. Cash used by the working capital accounts included a decrease in accrued expenses of $3.1 million largely consisting of the payment of year-end bonuses in March 2025, an increase in accounts receivable of $1.6 million largely due to timing of shipments at the end of the quarter, and a decrease in accounts payable of $1.5 million. Cash provided by working capital accounts included a decrease in inventory of $1.0 million due to the lower revenues.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$1.6 million for the six months ended June 30, 2025, associated with proceeds from sale of property and equipment offset by the acquisition of new property and equipment.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$6.8 million for the six months ended June 30, 2025, which was largely comprised of $5.0 million of repurchase of common stock and $1.7 million used for the repurchase of common stock to satisfy withholding taxes related to the vesting of restricted shares awarded to the Company's employees.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Resources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expects existing cash and cash equivalents will be sufficient to fund its operating expenses and capital expenditure requirements over the next twelve months. The Company's cash requirements, however, may vary materially from those now planned due to many factors, including, but not limited to, the scope and timing of future strategic acquisitions, the progress of its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the Company's obligations to make future payments under contracts existing at December 31, 2024 is included in Item 7, Management’s Discussion and Analysis of Financial Condition and Results of Operations, of its Annual Report on Form 10-K for the year ended December 31, 2024. As of June 30, 2025, there were no significant changes to this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more detailed review of the Company's critical accounting policies is contained in its Annual Report on Form 10-K for the year ended December 31, 2024 filed with the SEC. No material changes have been made to such critical accounting policies during the six months ended June 30, 2025.</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Company's assessment of its sensitivity to market risk since its presentation set forth in Item 7A, "Quantitative and Qualitative Disclosures About Market Risk," in its Annual Report on Form 10-K for the year ended December 31, 2024.</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21" w:lineRule="exact"/>
        <w:rPr>
          <w:sz w:val="20"/>
          <w:szCs w:val="20"/>
          <w:color w:val="auto"/>
        </w:rPr>
      </w:pPr>
    </w:p>
    <w:p>
      <w:pPr>
        <w:jc w:val="both"/>
        <w:ind w:firstLine="8"/>
        <w:spacing w:after="0" w:line="255" w:lineRule="auto"/>
        <w:tabs>
          <w:tab w:leader="none" w:pos="2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The Company’s management, with the participation of the Company’s Chief Executive Officer and Chief Financial Officer, evaluated the effectiveness of the Company’s disclosure controls and procedures (as defined in Rules 13a-15(e) and 15d-15(e) of the Securities Exchange Act of 1934) as of June 30, 2025. Based on that evaluation, the Company’s management, including such officers, concluded that the Company’s disclosure controls and procedures were effective as of June 30, 2025 to provide reasonable assurance that material information required to be disclosed by the Company in the reports that it files or submits under the Securities Exchange Act of 1934 was accumulated and communicated to the Company’s management, including the Chief Executive Officer and Chief Financial Officer, to allow timely decisions regarding required disclosure and was recorded, processed, summarized, and reported within the time periods specified in the rules and forms of the Securities and Exchange Commission.</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 There was no change in the Company’s internal control over financial reporting that occurred during the three months ended June 30, 2025 that has materially affected, or is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NowDiagnostics Litigation</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November 14, 2024 the Company filed a complaint against NowDiagnostics, Inc. ("NowDx"), Jody Berry ("Berry") and Janean Young ("Young") in the United States District Court for the Eastern District of Pennsylvania alleging misappropriation and misuse of the Company's proprietary information and trade secrets by NowDx, Berry and Young in violation of the Federal Defend Trade Secrets Act and the Pennsylvania Uniform Trade Secrets Act. The complaint also alleges breach of contract and duty of loyalty by Young, unfair competition by NowDx, and tortious interference with contractual relations by Berry and NowDx. NowDx filed Counterclaims against the Company on January 13, 2025 and the Company filed its Answer to the Counterclaims on February 3, 2025. Young filed a Motion to Dismiss the claims against her, which was denied by the court on February 4, 2025. NowDx, Berry, and Young agreed to a preliminary injunction which the Court entered on February 27, 2025. The trial is scheduled for March 9, 2026.</w:t>
      </w:r>
    </w:p>
    <w:p>
      <w:pPr>
        <w:spacing w:after="0" w:line="28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entitled “Risk Factors,” in the Company's Annual Report on Form 10-K for the year ended December 31, 2024 filed with the SEC on March 7, 2025, other than as set forth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Adding the following new risk factor: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or in their implementation or interpretation may adversely affect us or our investors.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including with respect to net operating losses and research and development tax credits, could adversely affect us or holders of our common stock. In recent years, many changes have been made and changes are likely to continue to occur in the future. For example, recent legislation that was signed into law on July 4, 2025 made significant changes to U.S. federal tax law.</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51"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96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6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960" w:type="dxa"/>
            <w:vAlign w:val="bottom"/>
          </w:tcPr>
          <w:p>
            <w:pPr>
              <w:jc w:val="center"/>
              <w:ind w:left="128"/>
              <w:spacing w:after="0" w:line="146"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37"/>
        </w:trPr>
        <w:tc>
          <w:tcPr>
            <w:tcW w:w="1500" w:type="dxa"/>
            <w:vAlign w:val="bottom"/>
          </w:tcPr>
          <w:p>
            <w:pPr>
              <w:spacing w:after="0"/>
              <w:rPr>
                <w:sz w:val="11"/>
                <w:szCs w:val="11"/>
                <w:color w:val="auto"/>
              </w:rPr>
            </w:pPr>
          </w:p>
        </w:tc>
        <w:tc>
          <w:tcPr>
            <w:tcW w:w="2580" w:type="dxa"/>
            <w:vAlign w:val="bottom"/>
            <w:vMerge w:val="restart"/>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60" w:type="dxa"/>
            <w:vAlign w:val="bottom"/>
          </w:tcPr>
          <w:p>
            <w:pPr>
              <w:jc w:val="center"/>
              <w:ind w:left="68"/>
              <w:spacing w:after="0" w:line="137"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960" w:type="dxa"/>
            <w:vAlign w:val="bottom"/>
          </w:tcPr>
          <w:p>
            <w:pPr>
              <w:jc w:val="center"/>
              <w:ind w:left="128"/>
              <w:spacing w:after="0" w:line="137"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6"/>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58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60" w:type="dxa"/>
            <w:vAlign w:val="bottom"/>
          </w:tcPr>
          <w:p>
            <w:pPr>
              <w:jc w:val="center"/>
              <w:ind w:left="6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960" w:type="dxa"/>
            <w:vAlign w:val="bottom"/>
          </w:tcPr>
          <w:p>
            <w:pPr>
              <w:jc w:val="center"/>
              <w:ind w:left="128"/>
              <w:spacing w:after="0" w:line="146" w:lineRule="exact"/>
              <w:rPr>
                <w:sz w:val="20"/>
                <w:szCs w:val="20"/>
                <w:color w:val="auto"/>
              </w:rPr>
            </w:pPr>
            <w:r>
              <w:rPr>
                <w:rFonts w:ascii="Times New Roman" w:cs="Times New Roman" w:eastAsia="Times New Roman" w:hAnsi="Times New Roman"/>
                <w:sz w:val="14"/>
                <w:szCs w:val="14"/>
                <w:b w:val="1"/>
                <w:bCs w:val="1"/>
                <w:color w:val="auto"/>
              </w:rPr>
              <w:t>repurchased under the plans</w:t>
            </w:r>
          </w:p>
        </w:tc>
        <w:tc>
          <w:tcPr>
            <w:tcW w:w="0" w:type="dxa"/>
            <w:vAlign w:val="bottom"/>
          </w:tcPr>
          <w:p>
            <w:pPr>
              <w:spacing w:after="0"/>
              <w:rPr>
                <w:sz w:val="1"/>
                <w:szCs w:val="1"/>
                <w:color w:val="auto"/>
              </w:rPr>
            </w:pPr>
          </w:p>
        </w:tc>
      </w:tr>
      <w:tr>
        <w:trPr>
          <w:trHeight w:val="203"/>
        </w:trPr>
        <w:tc>
          <w:tcPr>
            <w:tcW w:w="1500" w:type="dxa"/>
            <w:vAlign w:val="bottom"/>
            <w:vMerge w:val="continue"/>
          </w:tcPr>
          <w:p>
            <w:pPr>
              <w:spacing w:after="0"/>
              <w:rPr>
                <w:sz w:val="17"/>
                <w:szCs w:val="17"/>
                <w:color w:val="auto"/>
              </w:rPr>
            </w:pPr>
          </w:p>
        </w:tc>
        <w:tc>
          <w:tcPr>
            <w:tcW w:w="258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6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960" w:type="dxa"/>
            <w:vAlign w:val="bottom"/>
          </w:tcPr>
          <w:p>
            <w:pPr>
              <w:jc w:val="center"/>
              <w:ind w:left="128"/>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or programs </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18"/>
        </w:trPr>
        <w:tc>
          <w:tcPr>
            <w:tcW w:w="4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10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2025 - May 31, 2025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1,217,912</w:t>
            </w:r>
          </w:p>
        </w:tc>
      </w:tr>
      <w:tr>
        <w:trPr>
          <w:trHeight w:val="234"/>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 2025 - June 30, 2025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874,180</w:t>
            </w:r>
          </w:p>
        </w:tc>
      </w:tr>
      <w:tr>
        <w:trPr>
          <w:trHeight w:val="223"/>
        </w:trPr>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2,092,092</w:t>
            </w:r>
          </w:p>
        </w:tc>
      </w:tr>
      <w:tr>
        <w:trPr>
          <w:trHeight w:val="21"/>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(2)</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40,000,000</w:t>
            </w:r>
          </w:p>
        </w:tc>
      </w:tr>
      <w:tr>
        <w:trPr>
          <w:trHeight w:val="229"/>
        </w:trPr>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1,187,456</w:t>
            </w:r>
          </w:p>
        </w:tc>
        <w:tc>
          <w:tcPr>
            <w:tcW w:w="6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38,000,000</w:t>
            </w:r>
          </w:p>
        </w:tc>
      </w:tr>
      <w:tr>
        <w:trPr>
          <w:trHeight w:val="234"/>
        </w:trPr>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2.93</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633,300</w:t>
            </w:r>
          </w:p>
        </w:tc>
        <w:tc>
          <w:tcPr>
            <w:tcW w:w="6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35,000,000</w:t>
            </w:r>
          </w:p>
        </w:tc>
      </w:tr>
      <w:tr>
        <w:trPr>
          <w:trHeight w:val="223"/>
        </w:trPr>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1,820,756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3">
            <w:col w:w="5700" w:space="0"/>
            <w:col w:w="140" w:space="140"/>
            <w:col w:w="5260"/>
          </w:cols>
          <w:pgMar w:left="320" w:top="121" w:right="339" w:bottom="1440" w:gutter="0" w:footer="0" w:header="0"/>
          <w:type w:val="continuous"/>
        </w:sectPr>
      </w:pPr>
    </w:p>
    <w:p>
      <w:pPr>
        <w:jc w:val="both"/>
        <w:ind w:left="980" w:hanging="972"/>
        <w:spacing w:after="0"/>
        <w:tabs>
          <w:tab w:leader="none" w:pos="9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the Company's board of directors authorized a stock repurchase program (the “Repurchase Program”) effective March 21, 2025, whereby the Company may purchase up to $40.0 million in shares of its common stock over a period of up to two years. The amount and timing of share repurchases under the Repurchase Program may be carried out at the discretion of management through various methods in compliance with applicable state and federal securities laws.</w:t>
      </w:r>
    </w:p>
    <w:p>
      <w:pPr>
        <w:ind w:left="980" w:hanging="972"/>
        <w:spacing w:after="0" w:line="260" w:lineRule="auto"/>
        <w:tabs>
          <w:tab w:leader="none" w:pos="9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retired to satisfy minimum tax withholdings, in connection with the vesting of restricted and performance shares, pursuant to the OraSure Technologies, Inc. Stock Award Plan.</w:t>
      </w:r>
    </w:p>
    <w:p>
      <w:pPr>
        <w:spacing w:after="0" w:line="2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5, 2025, our Board approved and adopted the Company’s Third Amended and Restated Bylaws (the “Bylaws”), which became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The Bylaws supersede and replace in their entirety the Company’s Second Amended and Restated Bylaws in effect immediately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effectiveness of the Bylaws.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Bylaws, among other things:</w:t>
      </w:r>
    </w:p>
    <w:p>
      <w:pPr>
        <w:spacing w:after="0" w:line="234" w:lineRule="exact"/>
        <w:rPr>
          <w:sz w:val="20"/>
          <w:szCs w:val="20"/>
          <w:color w:val="auto"/>
        </w:rPr>
      </w:pPr>
    </w:p>
    <w:p>
      <w:pPr>
        <w:jc w:val="both"/>
        <w:ind w:left="660" w:hanging="328"/>
        <w:spacing w:after="0" w:line="25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advanced notice provisions of the Bylaws by changing the existing deadline for the submission of notices of director nominations and business proposals submitted by stockholders to provide that submissions must be made between 120 and 90 days before the anniversary date of the previous year’s annual meeting, subject to limited exceptions;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that stockholder proposals and nominations shall only be considered for annual meetings of stockholders and not special meetings of stockholders; and</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certain other administrative, technical, clarifying and conforming changes.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changes to the advance notice provisions discussed herein and reflected in the Bylaws, any stockholder who wishes to submit a matter (other than a stockholder proposal brought in accordance with SEC Rule 14a-8) for consideration at the 2026 annual meeting of stockholders, including any stockholder proposal or director nomination, must submit the matter to the Company, in writing, to be received by the Secretary of the Company no later than 5:00 p.m. Eastern Time on February 13, 2026 and no earlier than 5:00 p.m. Eastern Time on January 14, 2026. The notice of such matter must contain the information and adhere to the procedures required by the Bylaws. This updated window for submissions amends the deadlines for stockholder proposals and director nominations previously disclosed in the Company’s 2025 proxy statement filed on April 4, 2025 and made available or mailed to stockholders on that date.</w:t>
      </w:r>
    </w:p>
    <w:p>
      <w:pPr>
        <w:spacing w:after="0" w:line="20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qualified in its entirety by reference to the full text of the Bylaws, a copy of which is attached hereto as Exhibit 3.1 and is incorporated herein by reference.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Part II - Item 2 above is incorporated herein by reference.</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none of our directors or officers adopted, amended, or terminated a “Rule 10b5-1 trading arrangement” or “non-Rule 10b5-1 trading arrangement,” as each term is defined in Item 408(a) of Regulation S-K.</w:t>
      </w:r>
    </w:p>
    <w:p>
      <w:pPr>
        <w:spacing w:after="0" w:line="2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5280" w:type="dxa"/>
            <w:vAlign w:val="bottom"/>
            <w:gridSpan w:val="9"/>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5"/>
        </w:trPr>
        <w:tc>
          <w:tcPr>
            <w:tcW w:w="13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tcPr>
          <w:p>
            <w:pPr>
              <w:spacing w:after="0"/>
              <w:rPr>
                <w:sz w:val="16"/>
                <w:szCs w:val="16"/>
                <w:color w:val="auto"/>
              </w:rPr>
            </w:pPr>
          </w:p>
        </w:tc>
        <w:tc>
          <w:tcPr>
            <w:tcW w:w="528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1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6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Third Amended and Restated Bylaws of OraSure Technologies, Inc. as of August 5, 2025.</w:t>
            </w:r>
          </w:p>
        </w:tc>
        <w:tc>
          <w:tcPr>
            <w:tcW w:w="3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9900" w:type="dxa"/>
            <w:vAlign w:val="bottom"/>
            <w:gridSpan w:val="11"/>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Amended and Restated OraSure Technologies, Inc. 2000 Stock Award Plan is incorporated by reference to Exhibit 10.1 to the</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Company's Current Report on Form 8-K filed on May 14, 2025.</w:t>
              </w:r>
            </w:hyperlink>
          </w:p>
        </w:tc>
        <w:tc>
          <w:tcPr>
            <w:tcW w:w="4440" w:type="dxa"/>
            <w:vAlign w:val="bottom"/>
            <w:tcBorders>
              <w:top w:val="single" w:sz="8" w:color="0000FF"/>
            </w:tcBorders>
            <w:gridSpan w:val="4"/>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1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99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Carrie Eglinton-Manner required by Rule 13a-14(a) or Rule 15d-14(a) under the Securities Exchange Act of 1934, as</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60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99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Kenneth J. McGrath required by Rule 13a-14(a) or Rule 15d-14(a) under the Securities Exchange Act of 1934, as</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32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99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Carrie Eglinton-Manner required by Rule 13a-14(b) or Rule 15d-14(b) under the Securities Exchange Act of 1934, as</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802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and 18 U.S.C. Section 1350, as Adopted Pursuant to Section 906 of the Sarbanes-Oxley Act of 2002.</w:t>
            </w:r>
          </w:p>
        </w:tc>
        <w:tc>
          <w:tcPr>
            <w:tcW w:w="1600" w:type="dxa"/>
            <w:vAlign w:val="bottom"/>
            <w:tcBorders>
              <w:top w:val="single" w:sz="8" w:color="0000FF"/>
            </w:tcBorders>
            <w:gridSpan w:val="5"/>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99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Kenneth J. McGrath required by Rule 13a-14(b) or Rule 15d-14(b) under the Securities Exchange Act of 1934, as</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934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amended, and 18 U.S.C. Section 1350, as Adopted Pursuant to Section 906 of the Sarbanes-Oxley Act of 2002</w:t>
            </w:r>
            <w:r>
              <w:rPr>
                <w:rFonts w:ascii="Times New Roman" w:cs="Times New Roman" w:eastAsia="Times New Roman" w:hAnsi="Times New Roman"/>
                <w:sz w:val="18"/>
                <w:szCs w:val="18"/>
                <w:color w:val="000000"/>
              </w:rPr>
              <w:t>.</w:t>
            </w:r>
          </w:p>
        </w:tc>
        <w:tc>
          <w:tcPr>
            <w:tcW w:w="5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980" w:type="dxa"/>
            <w:vAlign w:val="bottom"/>
            <w:gridSpan w:val="4"/>
            <w:shd w:val="clear" w:color="auto" w:fill="0000FF"/>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9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45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45"/>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45"/>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45"/>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445"/>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340" w:right="80" w:hanging="1314"/>
        <w:spacing w:after="0" w:line="237"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from Interactive Data File (formatted as inline XBRL with applicable taxonomy extension information contained in exhibits 101).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63" w:lineRule="exact"/>
        <w:rPr>
          <w:sz w:val="20"/>
          <w:szCs w:val="20"/>
          <w:color w:val="auto"/>
        </w:rPr>
      </w:pPr>
    </w:p>
    <w:p>
      <w:pPr>
        <w:ind w:left="180" w:hanging="172"/>
        <w:spacing w:after="0" w:line="282" w:lineRule="auto"/>
        <w:tabs>
          <w:tab w:leader="none" w:pos="1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29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18415</wp:posOffset>
            </wp:positionV>
            <wp:extent cx="3514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8"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7"/>
          <w:szCs w:val="17"/>
          <w:color w:val="auto"/>
        </w:rPr>
        <w:t>Kenneth J. McGrath</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8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/s/Michele M.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18415</wp:posOffset>
            </wp:positionV>
            <wp:extent cx="3514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8"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Michele M. Anthony</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Senior Vice President, Controller and Chief Accounting Officer</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BYLAWS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as of August [5],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Location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Name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Corporation shall be the name set forth in the Certificate of Incorporation.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Principal Office.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office of the Corporation is located at 220 East First Street, Bethlehem, Pennsylvania 18015-1360.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Additional Offices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Other offices for the transaction of business of the Corporation may be located at such place or places as the Board of Directors may from time to time determine.</w:t>
      </w:r>
    </w:p>
    <w:p>
      <w:pPr>
        <w:spacing w:after="0" w:line="37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Shares of Stock.</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shares of the capital stock of the Corporation shall be represented by a certificate, unless and until the Board of Directors of the Corporation adopts a resolution permitting shares to be uncertificated. Notwithstanding the adoption of any such resolution providing for uncertificated shares, every holder of capital stock of the Corporation theretofore represented by certificates shall be entitled to continue to hold such certificates until surrender to the Corporation, and, upon written request to the transfer agent or registrar of the Corporation, every holder of uncertificated shares shall be entitled to receive and hold a certificate for shares of capital stock of the Corporation signed by, or in the name of, the Corporation, by (a) the Chairman of the Board of Directors, the Chief Executive Officer, the President or any Vice President of the Corporation, and (b) the Treasurer or an Assistant Treasurer or the Secretary or an Assistant Secretary of the Corporation, certifying the number of shares owned by such stockholder in the Corporation and sealed with the corporate seal.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Stock Transfers.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Stock of the Corporation shall be transferable in the manner prescribed by applicable law and in these Bylaws. Transfers of stock shall be made on the books of the Corporation, and (a) in the case of certificated shares of stock, only by the person named in the certificate or by such person’s attorney lawfully constituted in writing and upon the surrender of the certificate therefor, properly endorsed for transfer and payment of all necessary transfer taxes; or (b)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provided, however, that such surrender and endorsement, payment of taxes or compliance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w:t>
      </w:r>
    </w:p>
    <w:p>
      <w:pPr>
        <w:sectPr>
          <w:pgSz w:w="11900" w:h="16838" w:orient="portrait"/>
          <w:cols w:equalWidth="0" w:num="1">
            <w:col w:w="11240"/>
          </w:cols>
          <w:pgMar w:left="320" w:top="1413" w:right="339" w:bottom="1440" w:gutter="0" w:footer="0" w:header="0"/>
        </w:sectPr>
      </w:pPr>
    </w:p>
    <w:bookmarkStart w:id="39" w:name="page40"/>
    <w:bookmarkEnd w:id="39"/>
    <w:p>
      <w:pPr>
        <w:spacing w:after="0" w:line="8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of stock shall be valid as against the Corporation for any purpose until it shall have been entered in the stock records of the Corporation by an entry showing from and to whom transferred.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Lost or Destroyed Stock Certificates.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new certificate of stock may be issued in the place of any certificate theretofore issued, alleged to have been lost or destroyed, and the Corporation may, in its discretion, require the owner of the lost or destroyed certificate, or its legal representative, to give a bond sufficient to indemnify the Corporation against any claim that may be made against it on account of the alleged loss of any certificate; provided, however, that if such shares have ceased to be certificated, a new certificate shall be issued only upon written request by the owner to the transfer agent or registrar of the Corporation.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Preemptive Rights Denied.</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 holder of shares of any class of the Corporation, or holder of any securities or obligations convertible into shares of any class of the Corporation, shall have any preemptive right whatsoever to subscribe for, purchase or otherwise acquire shares of the Corporation of any class, whether now or hereafter authorized; provided, however, that nothing in this Section 4 shall prohibit the Corporation from granting, contractually or otherwise, to any such holder, the right to purchase additional securities of the Corporation.</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Annual Meeting.</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annual meeting of the stockholders of the Corporation shall be held, either within or without the State of Delaware, on such date and at such time as may from time to time be determined by the Board of Directors. At such meeting the stockholders shall elect directors in the manner provided in the Certificate of Incorporation of the Corporation. The stockholders may transact such other business at such annual meetings as may properly come before the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Special Meeting.</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special meeting of the holders of any one or more classes of the capital stock of the Corporation entitled to vote as a class or classes with respect to any matter, as required by law or as provided by the Certificate of Incorporation, may be called at any time and place, either within or without the state of Delaware, only by the Chairman of the Board, the Chief Executive Officer, the President or the Board of Directors. Only those matters set forth in the notice of the special meeting may be considered or acted upon at a special meeting of stockholders of the Corporation. The Board of Directors may postpone or reschedule any previously scheduled special meeting of stockholders.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which case such special meeting in lieu thereof shall be deemed an annual meeting for purposes of these Bylaws and the provisions of Section 4 of ARTICLE III of these Bylaws shall govern such special meeting.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Notice.</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Notice of the time and place of all annual meetings and of the time, place and purpose of all special meetings shall be mailed by the Secretary to each stockholder at his or her last known post office address as it appears on the records of the Corporation at least ten (10) days before the date set for such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Nomination of Directors.</w:t>
      </w:r>
    </w:p>
    <w:p>
      <w:pPr>
        <w:sectPr>
          <w:pgSz w:w="11900" w:h="16838" w:orient="portrait"/>
          <w:cols w:equalWidth="0" w:num="1">
            <w:col w:w="11120"/>
          </w:cols>
          <w:pgMar w:left="320" w:top="1440" w:right="459" w:bottom="1440" w:gutter="0" w:footer="0" w:header="0"/>
        </w:sectPr>
      </w:pPr>
    </w:p>
    <w:bookmarkStart w:id="40" w:name="page41"/>
    <w:bookmarkEnd w:id="40"/>
    <w:p>
      <w:pPr>
        <w:spacing w:after="0" w:line="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Nomination of persons for election to the Board of Directors of the Corporation at a meeting of the stockholders may be made by or at the direction of the Board of Directors or may be made at a meeting of stockholders by any stockholder of the Corporation who is a stockholder of record at the time of giving of notice provided for in this Section 4 and at the time of the meeting is entitled to vote for the election of Directors at the meeting and complies with the notice procedures set forth in this Section 4 of ARTICLE III. Such nomination, other than those made by or at the direction of the Board of Directors, shall be made pursuant to timely notice in writing to the Secretary of the Corporation. To be timely, a stockholder’s notice shall be delivered to or mailed and received at the principal executive offices of the Corporation not later than 5:00 p.m. Eastern time on the ninetieth (90th) day nor earlier than 5:00 p.m. Eastern Time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was held in the preceding year, notice by the stockholder to be timely must be received by the Secretary of the Corporation not later than 5:00 p.m. Eastern time on the later of the ninetieth (90th) day prior to the scheduled date of such meeting or the tenth (10th) day following the day on which public announcement of the date of such meeting is first made. In no event shall any adjournment or postponement of an annual meeting or the announcement thereof commence a new time period for the giving of a stockholder’s notice as described above.</w:t>
      </w:r>
    </w:p>
    <w:p>
      <w:pPr>
        <w:spacing w:after="0" w:line="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Such stockholder’s notice to the Secretary shall set forth: (a) as to each person whom the stockholder proposes to nominate for election or re- election as a Director, (i) the name, age, business address and residence address of the person, (ii) the principal occupation or employment of the person, (iii) the class and number of shares of capital stock of the Corporation which are beneficially owned or owned of record by the person, and (iv) any other information relating to the person that is required to be disclosed in solicitations for proxies for election of Directors pursuant to Regulation 14A under the Securities Exchange Act of 1934, as amended (the “Exchange Act”) (including such person’s written consent to being named in the proxy statement as a nominee and to serving as a Director, if elected); and (b) as to the stockholder giving the notice and the beneficial owner, if any, on whose behalf the nomination is made:</w:t>
      </w:r>
    </w:p>
    <w:p>
      <w:pPr>
        <w:spacing w:after="0" w:line="5" w:lineRule="exact"/>
        <w:rPr>
          <w:sz w:val="20"/>
          <w:szCs w:val="20"/>
          <w:color w:val="auto"/>
        </w:rPr>
      </w:pPr>
    </w:p>
    <w:p>
      <w:pPr>
        <w:ind w:right="20" w:firstLine="8"/>
        <w:spacing w:after="0" w:line="250" w:lineRule="auto"/>
        <w:tabs>
          <w:tab w:leader="none" w:pos="2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stockholder, as they appear in the Corporation’s books and records, and of such beneficial owner; (ii) the class and number of shares of capital stock of the Corporation which are held of record or beneficially owned by such stockholder and such beneficial owner and any other direct or indirect pecuniary or economic interest in any capital stock of the Corporation of such stockholder and such beneficial owner, including without limitation, any derivative instrument, swap, option, warrant, short interest, hedge, profit sharing arrangement or borrowed or loaned shares; (iii) a description of any arrangements or understandings between such stockholder and each proposed nominee and any other person (including their names) pursuant to which the nomination(s) are to be made by such stockholder and such beneficial owner or with respect to actions to be proposed or taken by such nominee if elected as a Director; (iv) a representation that such stockholder intends to appear in person or by proxy at the meeting to nominate the persons named in its notice; (v) a statement whether either such stockholder and/or the other Proposing Person(s) (as defined below), if any, intends to (a) deliver a proxy statement and form of proxy to holders of, in the case of a proposal, at least the percentage of the voting power of all of the shares of capital stock of the Corporation required under applicable law to carry the proposal or, in the case of a nomination or nominations, at least 67 percent of the voting power of all of the shares of capital stock of the Corporation entitled to vote on the election of directors or (b) otherwise solicit proxies in support of director nominees other than the Corporation’s director nominees in accordance with Rule 14a-19 promulgated under the Exchange Act. Notwithstanding the foregoing, if a Proposing Person or Nominating Person no longer plans to solicit proxies in accordance with its representation pursuant to this Section 4 of ARTICLE III, such Proposing Person or Nominating Person shall inform the Corporation of this change by delivering a written notice to the Secretary at the principal executive offices of the Corporation no later than two (2) business days after making the determination not to proceed with a solicitation of proxies. The term “Nominating Person” shall mean (a) the stockholder providing the notice of nomination proposed to be made at the meeting, (b) the beneficial owner or beneficial owners, if different, on whose behalf the notice of the nomination proposed to be made at the meeting is made, and (c) any other participant in such solicitation. The term “Proposing Person” shall mean (a) the stockholder providing the notice of business proposed to be brought before an annual meeting, (b) the beneficial owner or beneficial owners, if different, on whose behalf the notice of the business proposed to be brought before the annual meeting is made, and (c) any other participant in such solicitation and (vi) any other information relating to such stockholder and such beneficial owner that would be required to be disclosed in a proxy statement or other filings required to be made in connection with solicitations of proxies for election of Directors, or may otherwise be</w:t>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required, in each case pursuant to Section 14 of the Exchange Act and the rules and regulations promulgated thereunder.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at a meeting of the stockholders unless such person has been nominated in accordance with the procedures set forth herein. If the facts warrant, the Chairman of the meeting shall determine and declare to the meeting that a nomination does not satisfy the requirements set forth in the preceding sentence and the defective nomination shall be disregarded, notwithstanding that proxies in respect of such nomination may have been received by the Corporation. If the facts warrant, the Chairman of the meeting shall determine and declare to the meeting that a nomination fails to comply with any applicable requirements of the Exchange Act, including, but not limited to, Rule 14a-19 promulgated thereunder, such stockholder’s proposed nomination shall be deemed to have not been made in compliance with these Bylaws and shall be disregarded. The requirements of this Section 4 of ARTICLE III shall apply to any nomination of a person for election as a Director, whether such nominee is to be included in the Corporation’s proxy statement pursuant to Rule 14a-8 (or any successor provision) of the Exchange Act or presented to stockholders by means of an independently financed proxy solicitation. Further notwithstanding the foregoing provisions of these Bylaws, unless otherwise required by law, if any Nominating Person (A) provides notice pursuant to Rule 14a-19(b) promulgated under the Exchange Act,</w:t>
      </w:r>
    </w:p>
    <w:p>
      <w:pPr>
        <w:spacing w:after="0" w:line="2" w:lineRule="exact"/>
        <w:rPr>
          <w:sz w:val="20"/>
          <w:szCs w:val="20"/>
          <w:color w:val="auto"/>
        </w:rPr>
      </w:pPr>
    </w:p>
    <w:p>
      <w:pPr>
        <w:ind w:right="20" w:firstLine="8"/>
        <w:spacing w:after="0" w:line="251" w:lineRule="auto"/>
        <w:tabs>
          <w:tab w:leader="none" w:pos="2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fails to comply with the requirements of Rule 14a-19(a)(2) or Rule 14a-19(a)(3) promulgated under the Exchange Act, including the provision to the Corporation of notices required thereunder with timely notice, and (C) no other Nominating Person has 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Nominating Person provides notice pursuant to Rule 14a-19(b) promulgated under the Exchange Act, such Nominating Person shall deliver to the Corporation, no later than five (5) business days prior to the applicable meeting date, reasonable evidence that it has met the requirements of Rule 14a-19(a)(3) promulgated under the Exchange Act. Nothing in this Section 4 shall be deemed to affect any right of a stockholder to request inclusion of a proposal in, nor the right of the Corporation to omit a proposal from, the Corporation’s proxy statement pursuant to Rule 14a-8 (or any successor provision) under the Exchange Act. Nothing in this Section 4 shall be construed to affect the requirements for proxy statements of the Corporation under Regulation 14A of the Exchange Act.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Presentation of Business at Stockholders’ Meetings.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any meeting of the stockholders, only such business shall be conducted as shall have been properly brought before the meeting. To be properly brought before a meeting, business must be: (a) specified in the notice of meeting (or any supplement thereto) given by or at the direction of the Board of Directors,</w:t>
      </w:r>
    </w:p>
    <w:p>
      <w:pPr>
        <w:ind w:firstLine="8"/>
        <w:spacing w:after="0" w:line="251"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the meeting by or at the direction of the Board of Directors, or (c) otherwise properly brought before the meeting by a stockholder who is a stockholder of record at the time of giving the notice provided for in this Section 5 and at the time of the meeting is entitled to vote at such meeting and complies with the notice procedures set forth in this Section 5 of ARTICLE III. For business to be properly brought before a meeting by such a stockholder, the stockholder must have given timely notice thereof in writing to the Secretary of the Corporation. To be timely, a stockholder’s notice shall be delivered to or mailed and received at the principal executive offices of the Corporation not later than 5:00 p.m. Eastern time on the ninetieth (90th) day nor earlier than 5:00 p.m. Eastern Time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was held in the preceding year, notice by the stockholder to be timely must be received by the Secretary of the Corporation not later than 5:00 p.m. Eastern time on the later of the ninetieth (90th) day prior to the scheduled date of such annual meeting or the tenth (10th) day following the day on which public announcement of the date of such meeting is first made. In no event shall any adjournment or postponement of a meeting or the announcement thereof commence a new time period for the giving of a stockholder’s notice as described above. Such stockholder’s notice to the Secretary shall set forth: (a) as to each matter the stockholder proposes to bring before the meeting, a brief description of the business desired to be brought before the meeting and the reasons for conducting such business at the meeting, and (b) as to the stockholder giving the notice and the beneficial owner, if any, on whose behalf notice of the proposed business is made: (i) the name</w:t>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and address of the stockholder, as they appear in the Corporation’s books and records, and of such beneficial owner; (ii) any material interest of such stockholder and such beneficial holder in such business; (iii) the class and number of shares of capital stock of the Corporation which are held of record or beneficially owned by the stockholder and such beneficial owner and any other direct or indirect pecuniary or economic interest in any capital stock of the Corporation of such stockholder and such beneficial owner, including without limitation, any derivative instrument, swap, option, warrant, short interest, hedge, profit sharing arrangement or borrowed or loaned shares; (iv) a representation that such stockholder intends to appear in person or by proxy at the meeting to propose the business described in its notice; and (v) any other information relating to such business matter that would be required to be disclosed in a proxy statement or other filings required to be made in connection with solicitations of proxies pursuant to Section 14 of the Exchange Act and the rules and regulations promulgated thereunder. Notwithstanding the foregoing provisions of this Section 5 of ARTICLE III, a stockholder shall also comply with all applicable requirements of state law and of the Exchange Act and the rules and regulations thereunder with respect to the matters set forth in this Section 5. Notwithstanding anything in these Bylaws to the contrary, no business shall be conducted at a meeting of the stockholders unless proposed in accordance with the procedures set forth herein. The Chairman of the meeting shall, if the facts warrant, determine and declare to the meeting that business was not properly brought before the meeting in accordance with the foregoing procedure and such business shall not be transacted, notwithstanding that proxies in respect of such business may have been received by the Corporation. The requirements of this Section 5 of ARTICLE III shall apply to any business to be brought before a meeting by a stockholder (other than the nomination of a person for election as a Director, which is governed by Section 4 of ARTICLE III) whether such business is to be included in the Corporation’s proxy statement pursuant to Rule 14a-8 (or any successor provision) of the Exchange Act or presented to stockholders by means of an independently financed proxy solicitation. Nothing in this Section 5 shall be deemed to affect any right of a stockholder to request inclusion of a proposal in, nor the right of the Corporation to omit a proposal from, the Corporation’s proxy statement pursuant to Rule 14a-8 (or any successor provision) under the Exchange Act. Nothing in these Bylaws shall require the Corporation to include in any notice, proxy statement or other mailing to stockholders any information regarding proposals made by stockholders except as otherwise required by law. To the extent this Section 5 shall be deemed by the Board of Directors or the Securities and Exchange Commission, or finally adjudged by a court of competent jurisdiction, to be inconsistent with the right of stockholders to request inclusion of a proposal in the Corporation’s proxy statement pursuant to Rule 14a-8 promulgated under the Exchange Act, such rule shall prevail.</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Presiding Officials.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Chairman of the Board of Directors, or in his or her absence or inability to act, the Chief Executive Officer, or in his or her absence or inability to act, the President, or in his or her absence or inability to act, any Vice President, shall preside at all stockholders’ meetings.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Voting.</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Certificate of Incorporation of the Corporation, at each meeting of the stockholders, each stockholder shall be entitled to cast one vote for each share of voting stock standing of record on the books of the Corporation, in his or her name, and may cast such vote either in person or by proxy. All proxies shall be in writing and filed with the Secretary of the meeting. Any stockholder directly or indirectly soliciting proxies from other stockholders must use a proxy card color other than white, which shall be reserved for the exclusive use by the Board of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Quorum; Adjournment.</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any meeting held for the purpose of electing directors, the presence in person or by proxy of the holders of at least a majority of the then outstanding voting shares of the Corporation shall be required and be sufficient to constitute a quorum for the election of directors. At a meeting held for any purpose other than the election of directors, shares representing a majority of the votes entitled to be cast on such matter, present in person or represented by proxy, shall constitute a quorum. In the absence of the required quorum at any meeting of stockholders, a majority of such holders present in person or by proxy shall have the power to adjourn the meeting,</w:t>
      </w:r>
    </w:p>
    <w:p>
      <w:pPr>
        <w:sectPr>
          <w:pgSz w:w="11900" w:h="16838" w:orient="portrait"/>
          <w:cols w:equalWidth="0" w:num="1">
            <w:col w:w="11220"/>
          </w:cols>
          <w:pgMar w:left="320" w:top="1440" w:right="359" w:bottom="1440" w:gutter="0" w:footer="0" w:header="0"/>
        </w:sectPr>
      </w:pPr>
    </w:p>
    <w:bookmarkStart w:id="43" w:name="page44"/>
    <w:bookmarkEnd w:id="4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without notice (except as required by law) other than an announcement at the meeting, until a quorum shall be present.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Annual Statement of Business.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At each of the annual stockholders’ meetings, one of the executive officers of the Corporation shall submit a statement of the business done during the preceding year, together with a report of the general financial condition of the Corporation.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Powers of the Board.</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business and property of the Corporation shall be managed by a Board of Directors consisting of such number of Directors as is determined from time to time in accordance with the provisions of the Certificate of Incorporation of the Corporation. The Board of Directors may elect one of their number to act as Chairman of the Board.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Qualification and Election of Directors.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Each Director upon his or her election shall qualify by filing his or her written acceptance with the Secretary or an Assistant Secretary and by fulfilling any prerequisite to qualification that may be set forth in the Certificate of Incorporation of the Corporation.</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At each annual meeting of stockholders, the class of Directors whose term is expiring shall be elected. In an uncontested election of Directors, provided a quorum is present, a nominee for Director shall be elected to the Board of Directors if the votes validly cast “for” such nominee’s election exceed the votes validly cast “against” such nominee’s election in such election (with “abstentions” and “broker nonvotes” not counted as a vote cast either for or against such nominee’s election). In a contested election of Directors, provided a quorum is present, each Director will be elected by the affirmative vote of a plurality of the shares present in person or represented by proxy at any such meeting and entitled to vote on the election of Directors. An election of Directors will be considered “contested” if, as of the record date for the applicable meeting of stockholders, there are more nominees for election than positions on the Board of Directors to be filled by election at such meeting. All other elections of Directors will be considered “uncontested.”</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any uncontested election of Directors, any Director nominee who does not receive the vote of the majority of shares present in person or represented by proxy at the meeting, shall, within ten (10) days following the certification of the election results, tender his or her resignation, and the Board of Directors shall decide, through a process managed by the Board committee responsible for Director nominations, whether to accept or reject the resignation, or whether other action should be taken.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Annual Meetings.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meeting of the Board of Directors shall be held immediately after the adjournment of each annual meeting of the stockholders and in the event a quorum is not present, said meeting shall be held within ten (10) days after adjournment upon proper notice by the Chairman of the Board of Directors, the Chief Executive Officer, the President or a Vice President.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Special Meetings.</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Special meetings of the Board of Directors may be called at any time or place by the Chairman of the Board, the Chief Executive Officer, or by the President, and in the absence or inability of all of them to act, by any Vice</w:t>
      </w:r>
    </w:p>
    <w:p>
      <w:pPr>
        <w:sectPr>
          <w:pgSz w:w="11900" w:h="16838" w:orient="portrait"/>
          <w:cols w:equalWidth="0" w:num="1">
            <w:col w:w="11220"/>
          </w:cols>
          <w:pgMar w:left="320" w:top="1440" w:right="359" w:bottom="1440" w:gutter="0" w:footer="0" w:header="0"/>
        </w:sectPr>
      </w:pPr>
    </w:p>
    <w:bookmarkStart w:id="44" w:name="page45"/>
    <w:bookmarkEnd w:id="44"/>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President, and may also be called by any two members of the Board of Directors. By unanimous consent of the Directors, special meetings of the Board of Directors may be held without notice, at any time and place.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Notice; Telephonic Attendance; Unanimous Consent.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Notice of all regular and special meetings of the Board of Directors or the Executive Committee or any committee established pursuant to this ARTICLE IV (an “Other Committee”) shall be sent to each Director or member of such committee, as the case may be, by the Secretary or any Assistant Secretary, by a means reasonably calculated to be received at least seven (7) days prior to the time fixed for such meeting, or notice of special meetings of the Board of Directors or the Executive Committee or any Other Committee may be given by telephone, telegraph, telefax or telex to each Director or member of such committee, as the case may be, at least twenty-four (24) hours prior to the time fixed for such meeting, or on such shorter notice as the person or persons calling the meeting may reasonably deem necessary or appropriate in the circumstances. To the extent provided in the notice of the meeting or as otherwise determined by the Chairman of the Board or the Board of Directors, Directors may participate in any regular or special meeting by means of conference telephone, videoconference or similar communications equipment which allows all persons participating in such meeting to hear each other, and participation in such meeting by means of such a device shall constitute presence in person at such meeting. Attendance of a director at any meeting shall constitute a waiver of notice of such meeting except where a director attends a meeting for the express purpose of objecting to the transaction of any business because the meeting is not lawfully called or convened.</w:t>
      </w:r>
    </w:p>
    <w:p>
      <w:pPr>
        <w:spacing w:after="0" w:line="19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all the directors shall severally or collectively consent in writing to any action to be taken by the directors, such consents shall have the same force and effect as a unanimous vote of the directors at a meeting duly held. The Secretary shall file such consents with the minutes of the meetings of the Board of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Quorum; Adjournment.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Certificate of Incorporation of the Corporation, a quorum for the transaction of business at any meeting of the directors shall consist of a majority of the members of the Board of Directors, but the directors present, although less than a quorum, shall have the power to adjourn the meeting from time to time or to some future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Election of Officers.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directors shall elect the officers of the Corporation and fix their salaries and other compensation. Such election shall be made at the Directors’ meeting following each annual stockholders’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Advisers to the Board of Directors.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Board of Directors from time to time, as they may deem proper, shall have authority to appoint a general manager, counsel or attorneys and other employees for such length of time and upon such terms and conditions and at such salaries and other compensation as they may deem necessary and/or advisable.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Compensation; Reimbursement of Expenses.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members of the Board of Directors shall receive compensation for their services in such amount as may be reasonable and proper and consistent with the time and service rendered. The members of the Board of Directors shall receive the reasonable expenses necessarily incurred in the attendance of meetings and in the transaction of business for the Corporation.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Indemnification; Insurance.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Indemnification.</w:t>
      </w:r>
    </w:p>
    <w:p>
      <w:pPr>
        <w:sectPr>
          <w:pgSz w:w="11900" w:h="16838" w:orient="portrait"/>
          <w:cols w:equalWidth="0" w:num="1">
            <w:col w:w="11200"/>
          </w:cols>
          <w:pgMar w:left="320" w:top="1440" w:right="379" w:bottom="1440" w:gutter="0" w:footer="0" w:header="0"/>
        </w:sectPr>
      </w:pPr>
    </w:p>
    <w:bookmarkStart w:id="45" w:name="page46"/>
    <w:bookmarkEnd w:id="45"/>
    <w:p>
      <w:pPr>
        <w:spacing w:after="0" w:line="194" w:lineRule="exact"/>
        <w:rPr>
          <w:sz w:val="20"/>
          <w:szCs w:val="20"/>
          <w:color w:val="auto"/>
        </w:rPr>
      </w:pPr>
    </w:p>
    <w:p>
      <w:pPr>
        <w:ind w:left="-8" w:right="20" w:firstLine="8"/>
        <w:spacing w:after="0" w:line="253" w:lineRule="auto"/>
        <w:tabs>
          <w:tab w:leader="none" w:pos="24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Other than Those by or in the Right of the Corporation. To the extent permitted by Delaware law from time to time in effect and subject to the provisions of paragraph (c) of this Section 10,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(or such other corporation or organization),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89" w:lineRule="exact"/>
        <w:rPr>
          <w:rFonts w:ascii="Times New Roman" w:cs="Times New Roman" w:eastAsia="Times New Roman" w:hAnsi="Times New Roman"/>
          <w:sz w:val="18"/>
          <w:szCs w:val="18"/>
          <w:color w:val="auto"/>
        </w:rPr>
      </w:pPr>
    </w:p>
    <w:p>
      <w:pPr>
        <w:ind w:left="-8" w:firstLine="8"/>
        <w:spacing w:after="0" w:line="253" w:lineRule="auto"/>
        <w:tabs>
          <w:tab w:leader="none" w:pos="24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by or in the Right of the Corporation. To the extent permitted by Delaware law from time to time in effect and subject to the provisions of paragraph (c) of this Section 10,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(or such other corporation or organization) and except that no indemnification shall be made in respect of any claim, issue or matter as to which such person shall have been adjudged to be liable to the Corporation (or such other corporation or organization)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such court shall deem proper.</w:t>
      </w:r>
    </w:p>
    <w:p>
      <w:pPr>
        <w:spacing w:after="0" w:line="191" w:lineRule="exact"/>
        <w:rPr>
          <w:rFonts w:ascii="Times New Roman" w:cs="Times New Roman" w:eastAsia="Times New Roman" w:hAnsi="Times New Roman"/>
          <w:sz w:val="18"/>
          <w:szCs w:val="18"/>
          <w:color w:val="auto"/>
        </w:rPr>
      </w:pPr>
    </w:p>
    <w:p>
      <w:pPr>
        <w:ind w:left="-8" w:right="100" w:firstLine="8"/>
        <w:spacing w:after="0" w:line="261" w:lineRule="auto"/>
        <w:tabs>
          <w:tab w:leader="none" w:pos="24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Defense of Action. Notwithstanding, and without limitation of, any other provision of this Section 10, to the extent that a director, officer, employee or agent of the Corporation has been successful on the merits or otherwise in defense of any action, suit or proceeding referred to in sub-paragraph (1) or (2) of this paragraph (a), or in defense of any claim, issue or matter therein, such director, officer, employee or agent shall be indemnified against expenses (including attorneys’ fees) actually and reasonably incurred by such person in connection therewith.</w:t>
      </w:r>
    </w:p>
    <w:p>
      <w:pPr>
        <w:spacing w:after="0" w:line="179" w:lineRule="exact"/>
        <w:rPr>
          <w:rFonts w:ascii="Times New Roman" w:cs="Times New Roman" w:eastAsia="Times New Roman" w:hAnsi="Times New Roman"/>
          <w:sz w:val="18"/>
          <w:szCs w:val="18"/>
          <w:color w:val="auto"/>
        </w:rPr>
      </w:pPr>
    </w:p>
    <w:p>
      <w:pPr>
        <w:ind w:left="-8" w:right="240" w:firstLine="8"/>
        <w:spacing w:after="0" w:line="256" w:lineRule="auto"/>
        <w:tabs>
          <w:tab w:leader="none" w:pos="24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Required. Any indemnification under sub-paragraph (1) or (2) of this paragraph (a) (unless ordered by a court) shall be made by the Corporation only as authorized in the specific case upon a determination that indemnification of the director, officer, employee or agent is proper in the circumstances because such director, officer, employee or agent has met the applicable standard of conduct set forth in said sub-paragraph. Such determination shall be made: (i) by the Board of Directors by a majority vote of a quorum consisting of directors who were not parties to the particular action, suit or proceeding, or (ii) if such a quorum is not obtainable, or, even if obtainable, a quorum of disinterested directors so directs, by independent legal counsel in a written opinion, or (iii) by the stockholders.</w:t>
      </w:r>
    </w:p>
    <w:p>
      <w:pPr>
        <w:spacing w:after="0" w:line="187" w:lineRule="exact"/>
        <w:rPr>
          <w:sz w:val="20"/>
          <w:szCs w:val="20"/>
          <w:color w:val="auto"/>
        </w:rPr>
      </w:pPr>
    </w:p>
    <w:p>
      <w:pPr>
        <w:ind w:left="-8" w:firstLine="8"/>
        <w:spacing w:after="0" w:line="258" w:lineRule="auto"/>
        <w:tabs>
          <w:tab w:leader="none" w:pos="2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The Corporation may, when authorized by the Board of Directors,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him against such liability under the provisions of this Section 10. The risks insured under any insurance</w:t>
      </w:r>
    </w:p>
    <w:p>
      <w:pPr>
        <w:sectPr>
          <w:pgSz w:w="11900" w:h="16838" w:orient="portrait"/>
          <w:cols w:equalWidth="0" w:num="1">
            <w:col w:w="11192"/>
          </w:cols>
          <w:pgMar w:left="328" w:top="1440" w:right="379" w:bottom="1440" w:gutter="0" w:footer="0" w:header="0"/>
        </w:sectPr>
      </w:pPr>
    </w:p>
    <w:bookmarkStart w:id="46" w:name="page47"/>
    <w:bookmarkEnd w:id="46"/>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policies purchased and maintained on behalf of any person as aforesaid or on behalf of the Corporation shall not be limited in any way by the terms of this Section 10 and to the extent compatible with the provisions of such policies, the risks insured shall extend to the fullest extent permitted by law, common or statutory.</w:t>
      </w:r>
    </w:p>
    <w:p>
      <w:pPr>
        <w:spacing w:after="0" w:line="176" w:lineRule="exact"/>
        <w:rPr>
          <w:sz w:val="20"/>
          <w:szCs w:val="20"/>
          <w:color w:val="auto"/>
        </w:rPr>
      </w:pPr>
    </w:p>
    <w:p>
      <w:pPr>
        <w:ind w:right="40" w:firstLine="8"/>
        <w:spacing w:after="0" w:line="253" w:lineRule="auto"/>
        <w:tabs>
          <w:tab w:leader="none" w:pos="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 of Expenses; Nonexclusivity; Duration. Expenses (including attorneys’ fees) incurred by an officer or director in defending any civil, criminal, administrative or investigative action, suit or proceeding shall be paid by the Corporation in advance of the final disposition of such action, suit or proceeding upon receipt of an undertaking by or on behalf of such officer or director to repay such amount if it shall ultimately be determined that such person is not entitled to be indemnified by the Corporation as authorized in this Section 10. Such expenses (including attorneys’ fees) incurred by other employees and agents may be so paid by the Corporation upon such terms and conditions, if any, as the Board of Directors deems appropriate. The indemnifications, advancement of expenses and rights provided by, or granted pursuant to, this Section 10 shall not be deemed exclusive of any other indemnifications, advancement of expenses, rights or limitations of liability to which any person seeking indemnification or advancement of expenses may be entitled under any Bylaw, agreement, vote of stockholders or disinterested directors, or otherwise, either as to action in such person’s official capacity or as to action in another capacity while holding office, and they shall continue although such person has ceased to be a director, officer, employee or agent and shall inure to the benefit of such person’s heirs, executors and administrators. The authorization to purchase and maintain insurance set forth in paragraph (b) shall likewise not be deemed exclusive.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Committees.</w:t>
      </w:r>
    </w:p>
    <w:p>
      <w:pPr>
        <w:spacing w:after="0" w:line="121"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by resolution or resolutions adopted by a majority of the whole Board of Directors, designate one or more committees,</w:t>
      </w:r>
    </w:p>
    <w:p>
      <w:pPr>
        <w:spacing w:after="0" w:line="27" w:lineRule="exact"/>
        <w:rPr>
          <w:rFonts w:ascii="Times New Roman" w:cs="Times New Roman" w:eastAsia="Times New Roman" w:hAnsi="Times New Roman"/>
          <w:sz w:val="18"/>
          <w:szCs w:val="18"/>
          <w:color w:val="auto"/>
        </w:rPr>
      </w:pP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which shall consist of two or more directors of the Corporation. Each such committee, to the extent provided in such resolution or resolutions or in a Charter adopted by the Board of Directors, shall have and may exercise all of the authority of the Board of Directors in the management of the</w:t>
      </w:r>
    </w:p>
    <w:p>
      <w:pPr>
        <w:spacing w:after="0" w:line="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Corporation and may authorize the seal of the Corporation to be affixed to all papers which may require it; provided, however, that the designation of each such committee and the delegation thereto of authority shall not operate to relieve the Board, or any member thereof, of any responsibility imposed upon it or such member by law.</w:t>
      </w:r>
    </w:p>
    <w:p>
      <w:pPr>
        <w:spacing w:after="0" w:line="176" w:lineRule="exact"/>
        <w:rPr>
          <w:sz w:val="20"/>
          <w:szCs w:val="20"/>
          <w:color w:val="auto"/>
        </w:rPr>
      </w:pPr>
    </w:p>
    <w:p>
      <w:pPr>
        <w:ind w:firstLine="8"/>
        <w:spacing w:after="0" w:line="255"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by resolution adopted by a majority of the whole Board of Directors, may designate one or more additional directors as alternate members of any committee to replace any absent or disqualified member at any meeting of that committee, and at any time may change the membership of any committee or amend or rescind the resolution designating the committee or any Charter adopted for such committee. In the absence or disqualification of a member or alternate member of a committee, the member or members thereof present at any meeting and not disqualified from voting, whether or not the member or members constitute a quorum, may unanimously appoint another director to act at the meeting in the place of any such absent or disqualified member, provided that the director so appointed meets any qualifications stated in these Bylaws, the Charter (if any) approved by the Board of Directors for the committee or the resolutions designating the committee or any amendment thereto.</w:t>
      </w:r>
    </w:p>
    <w:p>
      <w:pPr>
        <w:spacing w:after="0" w:line="188" w:lineRule="exact"/>
        <w:rPr>
          <w:rFonts w:ascii="Times New Roman" w:cs="Times New Roman" w:eastAsia="Times New Roman" w:hAnsi="Times New Roman"/>
          <w:sz w:val="18"/>
          <w:szCs w:val="18"/>
          <w:color w:val="auto"/>
        </w:rPr>
      </w:pPr>
    </w:p>
    <w:p>
      <w:pPr>
        <w:ind w:right="40" w:firstLine="8"/>
        <w:spacing w:after="0" w:line="255"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Bylaws, no committee of the Board of Directors shall have the power or authority of the Board of Directors with respect to (i) amending the Certificate of Incorporation, (ii) approving or recommending to stockholders any type or form of “business combination” (as defined in Section 203 of the General Corporation Law of Delaware as in effect on January 1, 1996), (iii) approving or recommending to stockholders an agreement of merger or consolidation or the sale, lease or exchange of all or substantially all of the Corporation’s property or assets, (iv) approving or recommending to the stockholders a dissolution of the Corporation or a revocation of a dissolution, (v) amending these Bylaws, (vi) declaring a dividend or making any other distribution to the stockholders, or (vii) authorizing the issuance of stock otherwise than pursuant to the grant or exercise of a stock option under employee stock options of the Corporation.</w:t>
      </w:r>
    </w:p>
    <w:p>
      <w:pPr>
        <w:spacing w:after="0" w:line="188" w:lineRule="exact"/>
        <w:rPr>
          <w:rFonts w:ascii="Times New Roman" w:cs="Times New Roman" w:eastAsia="Times New Roman" w:hAnsi="Times New Roman"/>
          <w:sz w:val="18"/>
          <w:szCs w:val="18"/>
          <w:color w:val="auto"/>
        </w:rPr>
      </w:pPr>
    </w:p>
    <w:p>
      <w:pPr>
        <w:ind w:right="620" w:firstLine="8"/>
        <w:spacing w:after="0" w:line="282"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committee shall keep regular minutes of its proceedings, which minutes shall be recorded in the minute book of the Corporation. The Secretary or an Assistant Secretary of the Corporation may act as Secretary for each such committee if the committee so requests.</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ind w:right="40" w:firstLine="8"/>
        <w:spacing w:after="0" w:line="266" w:lineRule="auto"/>
        <w:tabs>
          <w:tab w:leader="none" w:pos="2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these Bylaws, or in the resolutions designating any committee or the Charter (if any) approved by the Board of Directors for the committee, any committee may fix its rules or procedures, fix the time and place of its meetings and specify what notice of meetings, if any, shall be given.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Designations.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officers of this Corporation shall be a Chairman of the Board of Directors, a Chief Executive Officer, a President, as many Vice Presidents as the Board of Directors may from time to time deem advisable and one or more of which may be designated Executive Vice President or Senior Vice President, a Secretary, a Treasurer, and such Assistant Secretaries and Assistant Treasurers as the Board of Directors may from time to time deem advisable, and such other officers as the Board of Directors may from time to time deem advisable and designate. The Chairman of the Board of Directors shall be a member of and be elected by the Board of Directors. All other officers shall be elected by the Board of Directors. All officers shall hold office until their respective successors are elected and shall have qualified. Any two offices may be held by one person except the office of President and Vice President.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Chairman of the Board.</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Chairman of the Board of Directors shall preside at all meetings of the Directors and stockholders at which he or she is present and shall have such other duties, power and authority as may be prescribed by the Board of Directors from time to time or elsewhere in these Bylaws.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Chief Executive Officer.</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Chief Executive Officer shall have such general executive powers and duties as are usually vested in the office of the chief executive officer and shall perform such other duties as are authorized by the Board of Directors. Unless the Board of Directors otherwise provides, the Chief Executive Officer, or any person designated in writing by the Chief Executive Officer, shall have full power and authority on behalf of the Corporation to: (i) attend and to vote or take action at any meeting of the holders of securities of corporations in which the Corporation may hold securities, and at such meetings shall possess and may exercise any and all rights and powers incident to being a holder of such securities, and (ii) execute and deliver waivers of notice and proxies for and in the name of this Corporation with respect to securities of any such corporation held by this Corporation.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President.</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President shall have such general executive powers and duties of supervision and management as are usually vested in such office and shall perform such other duties as are authorized by the Board of Directors or the Chief Executive Officer. The Chairman of the Board, the Chief Executive Officer, or the President shall sign contracts, certificates and other instruments of the Corporation as authorized by the Board of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Vice Presidents.</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 Vice President shall have the right and power to perform all duties and exercise all authority of the President, in case of the absence of the President or upon vacancy in the office of President or delegation by the Board of Directors, until the Board of Directors otherwise provides, and shall have all power and authority usually enjoyed by a person holding the office of Vice President.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Secretary and Assistant Secretaries.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Secretary shall issue notices of all directors’ and stockholders’ meetings, and shall attend and keep the minutes of the same; shall have charge of all corporate books, records and papers; shall be custodian of the corporate seal;</w:t>
      </w:r>
    </w:p>
    <w:p>
      <w:pPr>
        <w:sectPr>
          <w:pgSz w:w="11900" w:h="16838" w:orient="portrait"/>
          <w:cols w:equalWidth="0" w:num="1">
            <w:col w:w="11240"/>
          </w:cols>
          <w:pgMar w:left="320" w:top="1440" w:right="339" w:bottom="1440" w:gutter="0" w:footer="0" w:header="0"/>
        </w:sectPr>
      </w:pPr>
    </w:p>
    <w:bookmarkStart w:id="48" w:name="page49"/>
    <w:bookmarkEnd w:id="48"/>
    <w:p>
      <w:pPr>
        <w:spacing w:after="0" w:line="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shall attest with his or her signature, which may be a facsimile signature if authorized by the Board of Directors, and impress with the corporate seal, all stock certificates and written contracts of the Corporation; and shall perform all other duties as are incident to his or her office. Any Assistant Secretary, in the absence or inability of the Secretary, shall perform all duties of the Secretary and such other duties as may be required.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Treasurer and Assistant Treasurers.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Treasurer shall have custody of all money and securities of the Corporation and shall give bond in such sum and with such sureties as the directors may specify, conditioned upon the faithful performance of the duties of his or her office. He or she shall keep regular books of account and shall submit them, together with all of his or her records and other papers, to the directors for their examination and approval annually; and quarterly or as and when directed by the Board of Directors, he or she shall submit to each director a statement of the condition of the business and accounts of the Corporation; and shall perform all such other duties as are incident to his or her office. An Assistant Treasurer, in the absence or inability of the Treasurer, shall perform all the duties of the Treasurer and such other duties as may be required.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Bonding.</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Any officer or employee of the Corporation shall give such bond for the faithful performance of his or her duties in such sum, as and when the Board of Directors may direct.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color w:val="auto"/>
        </w:rPr>
        <w:t>Dividends shall be paid out of the net income or earned surplus of the Corporation, determined after making proper provision for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sinking fund deposits for debt obligations and proper provisions for working capital and such reserves as may be required by good and generally accepted accounting practice, when declared from time to time by resolution of the Board of Directors. No such dividends shall be declared or paid which will impair the capital of the Corporation.</w:t>
      </w:r>
    </w:p>
    <w:p>
      <w:pPr>
        <w:spacing w:after="0" w:line="39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color w:val="auto"/>
        </w:rPr>
        <w:t>Except as otherwise provided in the Certificate of Incorporation of the Corporation, these Bylaws may be amended, altered or repealed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affirmative vote of a majority of the Board of Directors, subject to the power of stockholders to amend, alter or repeal the Bylaws, or as otherwise may from time to time be authorized by the laws of the State of Delaware.</w:t>
      </w:r>
    </w:p>
    <w:p>
      <w:pPr>
        <w:spacing w:after="0" w:line="17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color w:val="auto"/>
        </w:rPr>
        <w:t>The corporate seal of this Corporation shall have inscribed thereon the name of the Corporation and its state of incorporation.</w:t>
      </w:r>
    </w:p>
    <w:p>
      <w:pPr>
        <w:spacing w:after="0" w:line="229"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r>
    </w:p>
    <w:p>
      <w:pPr>
        <w:sectPr>
          <w:pgSz w:w="11900" w:h="16838" w:orient="portrait"/>
          <w:cols w:equalWidth="0" w:num="1">
            <w:col w:w="11220"/>
          </w:cols>
          <w:pgMar w:left="320" w:top="1440" w:right="35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Eglinton Manner, certify that:</w:t>
      </w:r>
    </w:p>
    <w:p>
      <w:pPr>
        <w:spacing w:after="0" w:line="117" w:lineRule="exact"/>
        <w:rPr>
          <w:sz w:val="20"/>
          <w:szCs w:val="20"/>
          <w:color w:val="auto"/>
        </w:rPr>
      </w:pPr>
    </w:p>
    <w:p>
      <w:pPr>
        <w:ind w:left="1140" w:hanging="113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OraSure Technologies, Inc.;</w:t>
      </w:r>
    </w:p>
    <w:p>
      <w:pPr>
        <w:spacing w:after="0" w:line="117"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jc w:val="both"/>
        <w:ind w:left="1140" w:hanging="1132"/>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68"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1138"/>
        <w:spacing w:after="0" w:line="266" w:lineRule="auto"/>
        <w:tabs>
          <w:tab w:leader="none" w:pos="22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140" w:right="720" w:hanging="1132"/>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7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18415</wp:posOffset>
            </wp:positionV>
            <wp:extent cx="28117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11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 Principal Executive Officer )</w:t>
      </w:r>
    </w:p>
    <w:p>
      <w:pPr>
        <w:sectPr>
          <w:pgSz w:w="11900" w:h="16838" w:orient="portrait"/>
          <w:cols w:equalWidth="0" w:num="1">
            <w:col w:w="11240"/>
          </w:cols>
          <w:pgMar w:left="320" w:top="125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J. McGrath, certify that:</w:t>
      </w:r>
    </w:p>
    <w:p>
      <w:pPr>
        <w:spacing w:after="0" w:line="117" w:lineRule="exact"/>
        <w:rPr>
          <w:sz w:val="20"/>
          <w:szCs w:val="20"/>
          <w:color w:val="auto"/>
        </w:rPr>
      </w:pPr>
    </w:p>
    <w:p>
      <w:pPr>
        <w:ind w:left="1140" w:hanging="113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OraSure Technologies, Inc.</w:t>
      </w:r>
    </w:p>
    <w:p>
      <w:pPr>
        <w:spacing w:after="0" w:line="117"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jc w:val="both"/>
        <w:ind w:left="1140" w:hanging="1132"/>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68"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1138"/>
        <w:spacing w:after="0" w:line="266" w:lineRule="auto"/>
        <w:tabs>
          <w:tab w:leader="none" w:pos="226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140" w:right="720" w:hanging="1132"/>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6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7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18415</wp:posOffset>
            </wp:positionV>
            <wp:extent cx="28117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Kenneth J. McGrath</w:t>
      </w:r>
    </w:p>
    <w:p>
      <w:pPr>
        <w:spacing w:after="0" w:line="11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 Principal Financial Officer )</w:t>
      </w:r>
    </w:p>
    <w:p>
      <w:pPr>
        <w:sectPr>
          <w:pgSz w:w="11900" w:h="16838" w:orient="portrait"/>
          <w:cols w:equalWidth="0" w:num="1">
            <w:col w:w="11240"/>
          </w:cols>
          <w:pgMar w:left="320" w:top="125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OraSure Technologies, Inc. (the “Company”) on Form 10-Q for the quarter ended June 30, 2025 as filed with the Securities and Exchange Commission on the date hereof (the “Report”), I, Carrie Eglinton Manner, President and Chief Executive Officer of the Company, certify, pursuant to 18 U.S.C. §1350, as adopted pursuant to Section 906 of the Sarbanes-Oxley Act of 2002, that:</w:t>
      </w:r>
    </w:p>
    <w:p>
      <w:pPr>
        <w:spacing w:after="0" w:line="68" w:lineRule="exact"/>
        <w:rPr>
          <w:sz w:val="20"/>
          <w:szCs w:val="20"/>
          <w:color w:val="auto"/>
        </w:rPr>
      </w:pPr>
    </w:p>
    <w:p>
      <w:pPr>
        <w:ind w:left="1620" w:hanging="316"/>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620" w:right="220" w:hanging="316"/>
        <w:spacing w:after="0" w:line="282" w:lineRule="auto"/>
        <w:tabs>
          <w:tab w:leader="none" w:pos="16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Carrie Eglinton Manner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6, 2025</w:t>
      </w:r>
    </w:p>
    <w:p>
      <w:pPr>
        <w:sectPr>
          <w:pgSz w:w="11900" w:h="16838" w:orient="portrait"/>
          <w:cols w:equalWidth="0" w:num="1">
            <w:col w:w="11240"/>
          </w:cols>
          <w:pgMar w:left="320" w:top="125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18 U.S.C.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OraSure Technologies, Inc. (the “Company”) on Form 10-Q for the quarter ended June 30, 2025 as filed with the Securities and Exchange Commission on the date hereof (the “Report”), I, Kenneth J. McGrath, Chief Financial Officer of the Company, certify, pursuant to 18 U.S.C. §1350, as adopted pursuant to Section 906 of the Sarbanes-Oxley Act of 2002, that:</w:t>
      </w:r>
    </w:p>
    <w:p>
      <w:pPr>
        <w:spacing w:after="0" w:line="68" w:lineRule="exact"/>
        <w:rPr>
          <w:sz w:val="20"/>
          <w:szCs w:val="20"/>
          <w:color w:val="auto"/>
        </w:rPr>
      </w:pPr>
    </w:p>
    <w:p>
      <w:pPr>
        <w:ind w:left="1620" w:hanging="316"/>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620" w:right="220" w:hanging="316"/>
        <w:spacing w:after="0" w:line="282" w:lineRule="auto"/>
        <w:tabs>
          <w:tab w:leader="none" w:pos="16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J. McGrath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6, 2025</w:t>
      </w: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9"/>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04"/>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lowerRoman"/>
      <w:start w:val="1"/>
    </w:lvl>
  </w:abstractNum>
  <w:abstractNum w:abstractNumId="16">
    <w:nsid w:val="2443A858"/>
    <w:multiLevelType w:val="hybridMultilevel"/>
    <w:lvl w:ilvl="0">
      <w:lvlJc w:val="left"/>
      <w:lvlText w:val="(%1)"/>
      <w:numFmt w:val="upperLetter"/>
      <w:start w:val="2"/>
    </w:lvl>
  </w:abstractNum>
  <w:abstractNum w:abstractNumId="17">
    <w:nsid w:val="2D1D5AE9"/>
    <w:multiLevelType w:val="hybridMultilevel"/>
    <w:lvl w:ilvl="0">
      <w:lvlJc w:val="left"/>
      <w:lvlText w:val="(%1)"/>
      <w:numFmt w:val="lowerLetter"/>
      <w:start w:val="2"/>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2"/>
    </w:lvl>
  </w:abstractNum>
  <w:abstractNum w:abstractNumId="20">
    <w:nsid w:val="8EDBDAB"/>
    <w:multiLevelType w:val="hybridMultilevel"/>
    <w:lvl w:ilvl="0">
      <w:lvlJc w:val="left"/>
      <w:lvlText w:val="(%1)"/>
      <w:numFmt w:val="lowerLetter"/>
      <w:start w:val="3"/>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2"/>
    </w:lvl>
  </w:abstractNum>
  <w:abstractNum w:abstractNumId="23">
    <w:nsid w:val="B03E0C6"/>
    <w:multiLevelType w:val="hybridMultilevel"/>
    <w:lvl w:ilvl="0">
      <w:lvlJc w:val="left"/>
      <w:lvlText w:val="(%1)"/>
      <w:numFmt w:val="lowerLetter"/>
      <w:start w:val="5"/>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56" Type="http://schemas.openxmlformats.org/officeDocument/2006/relationships/hyperlink" Target="https://www.sec.gov/Archives/edgar/data/1116463/000162828025025491/exhibit101_otistockawar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2025-08-06T15:42:20Z</dcterms:created>
  <dcterms:modified xsi:type="dcterms:W3CDTF">2025-08-06T15:42:20Z</dcterms:modified>
</cp:coreProperties>
</file>