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quarterly period ended June 30, 2026</w:t>
      </w:r>
      <w:r>
        <w:rPr>
          <w:rFonts w:ascii="Times New Roman;serif" w:hAnsi="Times New Roman;serif"/>
          <w:b w:val="false"/>
          <w:color w:val="000000"/>
          <w:sz w:val="20"/>
        </w:rPr>
        <w: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rFonts w:ascii="Times New Roman;serif" w:hAnsi="Times New Roman;serif"/>
          <w:b w:val="false"/>
          <w:color w:val="000000"/>
          <w:sz w:val="20"/>
        </w:rPr>
        <w:t>_________</w:t>
      </w:r>
      <w:r>
        <w:rPr>
          <w:rFonts w:ascii="Times New Roman;serif" w:hAnsi="Times New Roman;serif"/>
          <w:b/>
          <w:color w:val="000000"/>
          <w:sz w:val="20"/>
        </w:rPr>
        <w:t xml:space="preserve">to </w:t>
      </w:r>
      <w:r>
        <w:rPr>
          <w:rFonts w:ascii="Times New Roman;serif" w:hAnsi="Times New Roman;serif"/>
          <w:b w:val="false"/>
          <w:color w:val="000000"/>
          <w:sz w:val="20"/>
        </w:rPr>
        <w:t xml:space="preserve">_________ </w:t>
      </w:r>
      <w:r>
        <w:rPr>
          <w:rFonts w:ascii="Times New Roman;serif" w:hAnsi="Times New Roman;serif"/>
          <w:b/>
          <w:color w:val="000000"/>
          <w:sz w:val="20"/>
        </w:rPr>
        <w: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001-16537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jc w:val="center"/>
        <w:rPr>
          <w:rFonts w:ascii="Times New Roman;serif" w:hAnsi="Times New Roman;serif"/>
          <w:b/>
          <w:color w:val="000000"/>
          <w:sz w:val="40"/>
        </w:rPr>
      </w:pPr>
      <w:r>
        <w:rPr>
          <w:rFonts w:ascii="Times New Roman;serif" w:hAnsi="Times New Roman;serif"/>
          <w:b/>
          <w:color w:val="000000"/>
          <w:sz w:val="40"/>
        </w:rPr>
        <w:t>ORASURE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tbl>
      <w:tblPr>
        <w:tblW w:w="5039" w:type="dxa"/>
        <w:jc w:val="left"/>
        <w:tblInd w:w="0" w:type="dxa"/>
        <w:tblLayout w:type="fixed"/>
        <w:tblCellMar>
          <w:top w:w="28" w:type="dxa"/>
          <w:left w:w="28" w:type="dxa"/>
          <w:bottom w:w="28" w:type="dxa"/>
          <w:right w:w="28" w:type="dxa"/>
        </w:tblCellMar>
      </w:tblPr>
      <w:tblGrid>
        <w:gridCol w:w="879"/>
        <w:gridCol w:w="771"/>
        <w:gridCol w:w="779"/>
        <w:gridCol w:w="762"/>
        <w:gridCol w:w="762"/>
        <w:gridCol w:w="1086"/>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36-4370966</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949" w:type="dxa"/>
        <w:jc w:val="left"/>
        <w:tblInd w:w="0" w:type="dxa"/>
        <w:tblLayout w:type="fixed"/>
        <w:tblCellMar>
          <w:top w:w="28" w:type="dxa"/>
          <w:left w:w="28" w:type="dxa"/>
          <w:bottom w:w="28" w:type="dxa"/>
          <w:right w:w="28" w:type="dxa"/>
        </w:tblCellMar>
      </w:tblPr>
      <w:tblGrid>
        <w:gridCol w:w="1470"/>
        <w:gridCol w:w="1291"/>
        <w:gridCol w:w="1304"/>
        <w:gridCol w:w="259"/>
        <w:gridCol w:w="259"/>
        <w:gridCol w:w="366"/>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East First Street, Bethlehem, Pennsylvania</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18015</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(610) 882-1820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37" w:type="dxa"/>
        <w:jc w:val="left"/>
        <w:tblInd w:w="0" w:type="dxa"/>
        <w:tblLayout w:type="fixed"/>
        <w:tblCellMar>
          <w:top w:w="28" w:type="dxa"/>
          <w:left w:w="28" w:type="dxa"/>
          <w:bottom w:w="28" w:type="dxa"/>
          <w:right w:w="28" w:type="dxa"/>
        </w:tblCellMar>
      </w:tblPr>
      <w:tblGrid>
        <w:gridCol w:w="1414"/>
        <w:gridCol w:w="1243"/>
        <w:gridCol w:w="1257"/>
        <w:gridCol w:w="109"/>
        <w:gridCol w:w="109"/>
        <w:gridCol w:w="109"/>
        <w:gridCol w:w="314"/>
        <w:gridCol w:w="314"/>
        <w:gridCol w:w="316"/>
        <w:gridCol w:w="109"/>
        <w:gridCol w:w="109"/>
        <w:gridCol w:w="109"/>
        <w:gridCol w:w="1118"/>
        <w:gridCol w:w="1118"/>
        <w:gridCol w:w="1589"/>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$0.000001 par value per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OSUR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ind w:left="0" w:right="0" w:firstLine="12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 w:after="283"/>
        <w:ind w:left="0" w:right="0" w:firstLine="12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 w:after="283"/>
        <w:ind w:left="0" w:right="0" w:firstLine="1260"/>
        <w:jc w:val="left"/>
        <w:rPr/>
      </w:pPr>
      <w:r>
        <w:rPr>
          <w:rFonts w:ascii="Times New Roman;serif" w:hAnsi="Times New Roman;serif"/>
          <w:b w:val="false"/>
          <w:color w:val="000000"/>
          <w:sz w:val="20"/>
        </w:rPr>
        <w:t xml:space="preserve">Indicate by checkmark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2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68,968,627 shares of common stock, $0.000001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12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not guarantees of future performance or results. Known and unknown factors that could cause actual performance or results to be materially different from those expressed or implied in these statements include, but are not limited to: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Market acceptance of, and the Company's ability to develop, commercialize, market and sell, its products and services, whether through its internal direct sales force, distributors or third parties;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Company's ability to obtain and comply with necessary regulatory approvals for new products or new indications or applications for existing products, including timing and associated costs;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Failure of distributors or other customers to meet purchase forecasts, historic purchase levels or minimum purchase requirements for the Company's products;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Significant customer concentrations that exist or may develop in the future;</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The Company's ability to manufacture products in accordance with applicable specifications, performance standards and quality requirements;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Changes in relationships with strategic partners or other parties, including disputes or disagreements and reliance on such parties for the performance of critical activities under collaborative arrangements;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The Company's ability to meet increased demand for its products;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impact of replacing distributors on the Company's business;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The Company's ability to achieve its financial and strategic objectives, including increasing its revenues and gross margins, and its ability to expand international sales;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impact of competitors, competing products and technology changes on the Company's business;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Reduction or deferral of public funding available to customers;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Changes in market acceptance of the Company's products based on product performance or other factors, including changes in testing guidelines, algorithms or other recommendations by the Centers for Disease Control and Prevention (the "CDC") or other agencies;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Company's ability to fund research and development and other products and operations;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availability of raw materials and the Company's reliance on sole supply sources for critical products and components;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impact of contracting with the U.S. government on the Company's business;</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Company's estimates regarding revenues, expenses, capital requirements and needs for additional financing, and the availability and cost of financing;</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The ability to utilize net operating loss carryforwards or other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Volatility of the Company's stock price;</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Uncertainty relating to patent protection, potential patent infringement claims, the availability of licenses to patents or other technology;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Costs of litigation relating to intellectual property, product liability and other types of litigation;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The impact of changes in international funding sources and testing algorithms on international sales;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 xml:space="preserve">Adverse movements in foreign currency exchange rates; </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Company's ability to attract and retain qualified personnel;</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Changes in international, federal or state laws and regulations; and</w:t>
      </w:r>
    </w:p>
    <w:p>
      <w:pPr>
        <w:pStyle w:val="TextBody"/>
        <w:bidi w:val="0"/>
        <w:spacing w:lineRule="auto" w:line="288" w:before="240" w:after="283"/>
        <w:ind w:left="0" w:right="0" w:hanging="270"/>
        <w:jc w:val="both"/>
        <w:rPr/>
      </w:pPr>
      <w:r>
        <w:rPr>
          <w:color w:val="000000"/>
        </w:rPr>
        <w:t>•</w:t>
      </w:r>
      <w:r>
        <w:rPr>
          <w:rFonts w:ascii="Times New Roman;serif" w:hAnsi="Times New Roman;serif"/>
          <w:b w:val="false"/>
          <w:color w:val="000000"/>
          <w:sz w:val="20"/>
        </w:rPr>
        <w:t>The impact of geopolitical and economic conditions on the Company's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2025 filed with the Securities and Exchange Commission (the “SEC”) on March 9, 2026, and in subsequent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67"/>
        <w:gridCol w:w="2692"/>
        <w:gridCol w:w="2692"/>
        <w:gridCol w:w="481"/>
        <w:gridCol w:w="481"/>
        <w:gridCol w:w="692"/>
      </w:tblGrid>
      <w:tr>
        <w:trPr/>
        <w:tc>
          <w:tcPr>
            <w:tcW w:w="316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d144a21a25d24e9d8504d84fba14c8f5_13">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br/>
              <w:t>No.</w:t>
            </w:r>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16">
              <w:r>
                <w:rPr>
                  <w:rStyle w:val="InternetLink"/>
                  <w:rFonts w:ascii="Times New Roman;serif" w:hAnsi="Times New Roman;serif"/>
                  <w:b/>
                  <w:color w:val="0000FF"/>
                  <w:sz w:val="20"/>
                  <w:u w:val="single"/>
                </w:rPr>
                <w:t>Item 1. Financial Statements (Unaudited)</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22">
              <w:r>
                <w:rPr>
                  <w:rStyle w:val="InternetLink"/>
                  <w:rFonts w:ascii="Times New Roman;serif" w:hAnsi="Times New Roman;serif"/>
                  <w:b w:val="false"/>
                  <w:strike w:val="false"/>
                  <w:dstrike w:val="false"/>
                  <w:color w:val="000000"/>
                  <w:sz w:val="20"/>
                  <w:u w:val="none"/>
                  <w:effect w:val="none"/>
                </w:rPr>
                <w:t>3</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22">
              <w:r>
                <w:rPr>
                  <w:rStyle w:val="InternetLink"/>
                  <w:rFonts w:ascii="Times New Roman;serif" w:hAnsi="Times New Roman;serif"/>
                  <w:b w:val="false"/>
                  <w:color w:val="000080"/>
                  <w:sz w:val="20"/>
                  <w:u w:val="single"/>
                </w:rPr>
                <w:t xml:space="preserve">Consolidated Balance Sheets at </w:t>
              </w:r>
            </w:hyperlink>
            <w:hyperlink w:anchor="id144a21a25d24e9d8504d84fba14c8f5_22">
              <w:r>
                <w:rPr>
                  <w:rStyle w:val="InternetLink"/>
                  <w:rFonts w:ascii="Times New Roman;serif" w:hAnsi="Times New Roman;serif"/>
                  <w:b w:val="false"/>
                  <w:color w:val="000080"/>
                  <w:sz w:val="20"/>
                  <w:u w:val="single"/>
                </w:rPr>
                <w:t>June 30</w:t>
              </w:r>
            </w:hyperlink>
            <w:hyperlink w:anchor="id144a21a25d24e9d8504d84fba14c8f5_22">
              <w:r>
                <w:rPr>
                  <w:rStyle w:val="InternetLink"/>
                  <w:rFonts w:ascii="Times New Roman;serif" w:hAnsi="Times New Roman;serif"/>
                  <w:b w:val="false"/>
                  <w:color w:val="000080"/>
                  <w:sz w:val="20"/>
                  <w:u w:val="single"/>
                </w:rPr>
                <w:t>, 2026 and December 31, 2025</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22">
              <w:r>
                <w:rPr>
                  <w:rStyle w:val="InternetLink"/>
                  <w:rFonts w:ascii="Times New Roman;serif" w:hAnsi="Times New Roman;serif"/>
                  <w:b w:val="false"/>
                  <w:strike w:val="false"/>
                  <w:dstrike w:val="false"/>
                  <w:color w:val="000000"/>
                  <w:sz w:val="20"/>
                  <w:u w:val="none"/>
                  <w:effect w:val="none"/>
                </w:rPr>
                <w:t>3</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25">
              <w:r>
                <w:rPr>
                  <w:rStyle w:val="InternetLink"/>
                  <w:rFonts w:ascii="Times New Roman;serif" w:hAnsi="Times New Roman;serif"/>
                  <w:b w:val="false"/>
                  <w:color w:val="000080"/>
                  <w:sz w:val="20"/>
                  <w:u w:val="single"/>
                </w:rPr>
                <w:t>Consolidated Statements of Operations for the Three</w:t>
              </w:r>
            </w:hyperlink>
            <w:hyperlink w:anchor="id144a21a25d24e9d8504d84fba14c8f5_25">
              <w:r>
                <w:rPr>
                  <w:rStyle w:val="InternetLink"/>
                  <w:rFonts w:ascii="Times New Roman;serif" w:hAnsi="Times New Roman;serif"/>
                  <w:b w:val="false"/>
                  <w:color w:val="000080"/>
                  <w:sz w:val="20"/>
                  <w:u w:val="single"/>
                </w:rPr>
                <w:t xml:space="preserve"> and Six</w:t>
              </w:r>
            </w:hyperlink>
            <w:hyperlink w:anchor="id144a21a25d24e9d8504d84fba14c8f5_25">
              <w:r>
                <w:rPr>
                  <w:rStyle w:val="InternetLink"/>
                  <w:rFonts w:ascii="Times New Roman;serif" w:hAnsi="Times New Roman;serif"/>
                  <w:b w:val="false"/>
                  <w:color w:val="000080"/>
                  <w:sz w:val="20"/>
                  <w:u w:val="single"/>
                </w:rPr>
                <w:t xml:space="preserve"> Months Ended </w:t>
              </w:r>
            </w:hyperlink>
            <w:hyperlink w:anchor="id144a21a25d24e9d8504d84fba14c8f5_25">
              <w:r>
                <w:rPr>
                  <w:rStyle w:val="InternetLink"/>
                  <w:rFonts w:ascii="Times New Roman;serif" w:hAnsi="Times New Roman;serif"/>
                  <w:b w:val="false"/>
                  <w:color w:val="000080"/>
                  <w:sz w:val="20"/>
                  <w:u w:val="single"/>
                </w:rPr>
                <w:t>June 30</w:t>
              </w:r>
            </w:hyperlink>
            <w:hyperlink w:anchor="id144a21a25d24e9d8504d84fba14c8f5_25">
              <w:r>
                <w:rPr>
                  <w:rStyle w:val="InternetLink"/>
                  <w:rFonts w:ascii="Times New Roman;serif" w:hAnsi="Times New Roman;serif"/>
                  <w:b w:val="false"/>
                  <w:color w:val="000080"/>
                  <w:sz w:val="20"/>
                  <w:u w:val="single"/>
                </w:rPr>
                <w:t>, 2026 and 2025</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25">
              <w:r>
                <w:rPr>
                  <w:rStyle w:val="InternetLink"/>
                  <w:rFonts w:ascii="Times New Roman;serif" w:hAnsi="Times New Roman;serif"/>
                  <w:b w:val="false"/>
                  <w:strike w:val="false"/>
                  <w:dstrike w:val="false"/>
                  <w:color w:val="000000"/>
                  <w:sz w:val="20"/>
                  <w:u w:val="none"/>
                  <w:effect w:val="none"/>
                </w:rPr>
                <w:t>4</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28">
              <w:r>
                <w:rPr>
                  <w:rStyle w:val="InternetLink"/>
                  <w:rFonts w:ascii="Times New Roman;serif" w:hAnsi="Times New Roman;serif"/>
                  <w:b w:val="false"/>
                  <w:color w:val="000080"/>
                  <w:sz w:val="20"/>
                  <w:u w:val="single"/>
                </w:rPr>
                <w:t xml:space="preserve">Consolidated Statements of Comprehensive </w:t>
              </w:r>
            </w:hyperlink>
            <w:hyperlink w:anchor="id144a21a25d24e9d8504d84fba14c8f5_28">
              <w:r>
                <w:rPr>
                  <w:rStyle w:val="InternetLink"/>
                  <w:rFonts w:ascii="Times New Roman;serif" w:hAnsi="Times New Roman;serif"/>
                  <w:b w:val="false"/>
                  <w:color w:val="000080"/>
                  <w:sz w:val="20"/>
                  <w:u w:val="single"/>
                </w:rPr>
                <w:t>Income (</w:t>
              </w:r>
            </w:hyperlink>
            <w:hyperlink w:anchor="id144a21a25d24e9d8504d84fba14c8f5_28">
              <w:r>
                <w:rPr>
                  <w:rStyle w:val="InternetLink"/>
                  <w:rFonts w:ascii="Times New Roman;serif" w:hAnsi="Times New Roman;serif"/>
                  <w:b w:val="false"/>
                  <w:color w:val="000080"/>
                  <w:sz w:val="20"/>
                  <w:u w:val="single"/>
                </w:rPr>
                <w:t>Loss</w:t>
              </w:r>
            </w:hyperlink>
            <w:hyperlink w:anchor="id144a21a25d24e9d8504d84fba14c8f5_28">
              <w:r>
                <w:rPr>
                  <w:rStyle w:val="InternetLink"/>
                  <w:rFonts w:ascii="Times New Roman;serif" w:hAnsi="Times New Roman;serif"/>
                  <w:b w:val="false"/>
                  <w:color w:val="000080"/>
                  <w:sz w:val="20"/>
                  <w:u w:val="single"/>
                </w:rPr>
                <w:t>)</w:t>
              </w:r>
            </w:hyperlink>
            <w:hyperlink w:anchor="id144a21a25d24e9d8504d84fba14c8f5_28">
              <w:r>
                <w:rPr>
                  <w:rStyle w:val="InternetLink"/>
                  <w:rFonts w:ascii="Times New Roman;serif" w:hAnsi="Times New Roman;serif"/>
                  <w:b w:val="false"/>
                  <w:color w:val="000080"/>
                  <w:sz w:val="20"/>
                  <w:u w:val="single"/>
                </w:rPr>
                <w:t xml:space="preserve"> for the Three </w:t>
              </w:r>
            </w:hyperlink>
            <w:hyperlink w:anchor="id144a21a25d24e9d8504d84fba14c8f5_28">
              <w:r>
                <w:rPr>
                  <w:rStyle w:val="InternetLink"/>
                  <w:rFonts w:ascii="Times New Roman;serif" w:hAnsi="Times New Roman;serif"/>
                  <w:b w:val="false"/>
                  <w:color w:val="000080"/>
                  <w:sz w:val="20"/>
                  <w:u w:val="single"/>
                </w:rPr>
                <w:t xml:space="preserve">and Six </w:t>
              </w:r>
            </w:hyperlink>
            <w:hyperlink w:anchor="id144a21a25d24e9d8504d84fba14c8f5_28">
              <w:r>
                <w:rPr>
                  <w:rStyle w:val="InternetLink"/>
                  <w:rFonts w:ascii="Times New Roman;serif" w:hAnsi="Times New Roman;serif"/>
                  <w:b w:val="false"/>
                  <w:color w:val="000080"/>
                  <w:sz w:val="20"/>
                  <w:u w:val="single"/>
                </w:rPr>
                <w:t xml:space="preserve">Months Ended </w:t>
              </w:r>
            </w:hyperlink>
            <w:hyperlink w:anchor="id144a21a25d24e9d8504d84fba14c8f5_28">
              <w:r>
                <w:rPr>
                  <w:rStyle w:val="InternetLink"/>
                  <w:rFonts w:ascii="Times New Roman;serif" w:hAnsi="Times New Roman;serif"/>
                  <w:b w:val="false"/>
                  <w:color w:val="000080"/>
                  <w:sz w:val="20"/>
                  <w:u w:val="single"/>
                </w:rPr>
                <w:t>June 30</w:t>
              </w:r>
            </w:hyperlink>
            <w:hyperlink w:anchor="id144a21a25d24e9d8504d84fba14c8f5_28">
              <w:r>
                <w:rPr>
                  <w:rStyle w:val="InternetLink"/>
                  <w:rFonts w:ascii="Times New Roman;serif" w:hAnsi="Times New Roman;serif"/>
                  <w:b w:val="false"/>
                  <w:color w:val="000080"/>
                  <w:sz w:val="20"/>
                  <w:u w:val="single"/>
                </w:rPr>
                <w:t>, 2026 and 2025</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28">
              <w:r>
                <w:rPr>
                  <w:rStyle w:val="InternetLink"/>
                  <w:rFonts w:ascii="Times New Roman;serif" w:hAnsi="Times New Roman;serif"/>
                  <w:b w:val="false"/>
                  <w:strike w:val="false"/>
                  <w:dstrike w:val="false"/>
                  <w:color w:val="000000"/>
                  <w:sz w:val="20"/>
                  <w:u w:val="none"/>
                  <w:effect w:val="none"/>
                </w:rPr>
                <w:t>5</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34">
              <w:r>
                <w:rPr>
                  <w:rStyle w:val="InternetLink"/>
                  <w:rFonts w:ascii="Times New Roman;serif" w:hAnsi="Times New Roman;serif"/>
                  <w:b w:val="false"/>
                  <w:color w:val="000080"/>
                  <w:sz w:val="20"/>
                  <w:u w:val="single"/>
                </w:rPr>
                <w:t xml:space="preserve">Consolidated Statements of Cash Flows for the </w:t>
              </w:r>
            </w:hyperlink>
            <w:hyperlink w:anchor="id144a21a25d24e9d8504d84fba14c8f5_34">
              <w:r>
                <w:rPr>
                  <w:rStyle w:val="InternetLink"/>
                  <w:rFonts w:ascii="Times New Roman;serif" w:hAnsi="Times New Roman;serif"/>
                  <w:b w:val="false"/>
                  <w:color w:val="000080"/>
                  <w:sz w:val="20"/>
                  <w:u w:val="single"/>
                </w:rPr>
                <w:t>Six</w:t>
              </w:r>
            </w:hyperlink>
            <w:hyperlink w:anchor="id144a21a25d24e9d8504d84fba14c8f5_34">
              <w:r>
                <w:rPr>
                  <w:rStyle w:val="InternetLink"/>
                  <w:rFonts w:ascii="Times New Roman;serif" w:hAnsi="Times New Roman;serif"/>
                  <w:b w:val="false"/>
                  <w:color w:val="000080"/>
                  <w:sz w:val="20"/>
                  <w:u w:val="single"/>
                </w:rPr>
                <w:t xml:space="preserve"> Months Ended </w:t>
              </w:r>
            </w:hyperlink>
            <w:hyperlink w:anchor="id144a21a25d24e9d8504d84fba14c8f5_34">
              <w:r>
                <w:rPr>
                  <w:rStyle w:val="InternetLink"/>
                  <w:rFonts w:ascii="Times New Roman;serif" w:hAnsi="Times New Roman;serif"/>
                  <w:b w:val="false"/>
                  <w:color w:val="000080"/>
                  <w:sz w:val="20"/>
                  <w:u w:val="single"/>
                </w:rPr>
                <w:t>June 30</w:t>
              </w:r>
            </w:hyperlink>
            <w:hyperlink w:anchor="id144a21a25d24e9d8504d84fba14c8f5_34">
              <w:r>
                <w:rPr>
                  <w:rStyle w:val="InternetLink"/>
                  <w:rFonts w:ascii="Times New Roman;serif" w:hAnsi="Times New Roman;serif"/>
                  <w:b w:val="false"/>
                  <w:color w:val="000080"/>
                  <w:sz w:val="20"/>
                  <w:u w:val="single"/>
                </w:rPr>
                <w:t>, 2026 and 2025</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34">
              <w:r>
                <w:rPr>
                  <w:rStyle w:val="InternetLink"/>
                  <w:rFonts w:ascii="Times New Roman;serif" w:hAnsi="Times New Roman;serif"/>
                  <w:b w:val="false"/>
                  <w:strike w:val="false"/>
                  <w:dstrike w:val="false"/>
                  <w:color w:val="000000"/>
                  <w:sz w:val="20"/>
                  <w:u w:val="none"/>
                  <w:effect w:val="none"/>
                </w:rPr>
                <w:t>6</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37">
              <w:r>
                <w:rPr>
                  <w:rStyle w:val="InternetLink"/>
                  <w:rFonts w:ascii="Times New Roman;serif" w:hAnsi="Times New Roman;serif"/>
                  <w:b w:val="false"/>
                  <w:color w:val="0000FF"/>
                  <w:sz w:val="20"/>
                  <w:u w:val="single"/>
                </w:rPr>
                <w:t>Notes to the Consolidated Financial Statements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37">
              <w:r>
                <w:rPr>
                  <w:rStyle w:val="InternetLink"/>
                  <w:rFonts w:ascii="Times New Roman;serif" w:hAnsi="Times New Roman;serif"/>
                  <w:b w:val="false"/>
                  <w:strike w:val="false"/>
                  <w:dstrike w:val="false"/>
                  <w:color w:val="000000"/>
                  <w:sz w:val="20"/>
                  <w:u w:val="none"/>
                  <w:effect w:val="none"/>
                </w:rPr>
                <w:t>7</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325">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325">
              <w:r>
                <w:rPr>
                  <w:rStyle w:val="InternetLink"/>
                  <w:rFonts w:ascii="Times New Roman;serif" w:hAnsi="Times New Roman;serif"/>
                  <w:b w:val="false"/>
                  <w:strike w:val="false"/>
                  <w:dstrike w:val="false"/>
                  <w:color w:val="000000"/>
                  <w:sz w:val="20"/>
                  <w:u w:val="none"/>
                  <w:effect w:val="none"/>
                </w:rPr>
                <w:t>23</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394">
              <w:r>
                <w:rPr>
                  <w:rStyle w:val="InternetLink"/>
                  <w:rFonts w:ascii="Times New Roman;serif" w:hAnsi="Times New Roman;serif"/>
                  <w:b/>
                  <w:color w:val="0000FF"/>
                  <w:sz w:val="20"/>
                  <w:u w:val="single"/>
                </w:rPr>
                <w:t>Item 3. Quantitative and Qualitative Disclosures About Market Risk</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394">
              <w:r>
                <w:rPr>
                  <w:rStyle w:val="InternetLink"/>
                  <w:rFonts w:ascii="Times New Roman;serif" w:hAnsi="Times New Roman;serif"/>
                  <w:b w:val="false"/>
                  <w:strike w:val="false"/>
                  <w:dstrike w:val="false"/>
                  <w:color w:val="000000"/>
                  <w:sz w:val="20"/>
                  <w:u w:val="none"/>
                  <w:effect w:val="none"/>
                </w:rPr>
                <w:t>30</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397">
              <w:r>
                <w:rPr>
                  <w:rStyle w:val="InternetLink"/>
                  <w:rFonts w:ascii="Times New Roman;serif" w:hAnsi="Times New Roman;serif"/>
                  <w:b/>
                  <w:color w:val="0000FF"/>
                  <w:sz w:val="20"/>
                  <w:u w:val="single"/>
                </w:rPr>
                <w:t>Item 4. Controls and Procedures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397">
              <w:r>
                <w:rPr>
                  <w:rStyle w:val="InternetLink"/>
                  <w:rFonts w:ascii="Times New Roman;serif" w:hAnsi="Times New Roman;serif"/>
                  <w:b w:val="false"/>
                  <w:strike w:val="false"/>
                  <w:dstrike w:val="false"/>
                  <w:color w:val="000000"/>
                  <w:sz w:val="20"/>
                  <w:u w:val="none"/>
                  <w:effect w:val="none"/>
                </w:rPr>
                <w:t>30</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d144a21a25d24e9d8504d84fba14c8f5_400">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03">
              <w:r>
                <w:rPr>
                  <w:rStyle w:val="InternetLink"/>
                  <w:rFonts w:ascii="Times New Roman;serif" w:hAnsi="Times New Roman;serif"/>
                  <w:b/>
                  <w:color w:val="0000FF"/>
                  <w:sz w:val="20"/>
                  <w:u w:val="single"/>
                </w:rPr>
                <w:t>Item 1. Legal Proceedings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03">
              <w:r>
                <w:rPr>
                  <w:rStyle w:val="InternetLink"/>
                  <w:rFonts w:ascii="Times New Roman;serif" w:hAnsi="Times New Roman;serif"/>
                  <w:b w:val="false"/>
                  <w:strike w:val="false"/>
                  <w:dstrike w:val="false"/>
                  <w:color w:val="000000"/>
                  <w:sz w:val="20"/>
                  <w:u w:val="none"/>
                  <w:effect w:val="none"/>
                </w:rPr>
                <w:t>30</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06">
              <w:r>
                <w:rPr>
                  <w:rStyle w:val="InternetLink"/>
                  <w:rFonts w:ascii="Times New Roman;serif" w:hAnsi="Times New Roman;serif"/>
                  <w:b/>
                  <w:color w:val="0000FF"/>
                  <w:sz w:val="20"/>
                  <w:u w:val="single"/>
                </w:rPr>
                <w:t>Item 1A. Risk Factors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06">
              <w:r>
                <w:rPr>
                  <w:rStyle w:val="InternetLink"/>
                  <w:rFonts w:ascii="Times New Roman;serif" w:hAnsi="Times New Roman;serif"/>
                  <w:b w:val="false"/>
                  <w:strike w:val="false"/>
                  <w:dstrike w:val="false"/>
                  <w:color w:val="000000"/>
                  <w:sz w:val="20"/>
                  <w:u w:val="none"/>
                  <w:effect w:val="none"/>
                </w:rPr>
                <w:t>31</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09">
              <w:r>
                <w:rPr>
                  <w:rStyle w:val="InternetLink"/>
                  <w:rFonts w:ascii="Times New Roman;serif" w:hAnsi="Times New Roman;serif"/>
                  <w:b/>
                  <w:color w:val="0000FF"/>
                  <w:sz w:val="20"/>
                  <w:u w:val="single"/>
                </w:rPr>
                <w:t>Item 2. Unregistered Sales of Equity Securities and Use of Proceeds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09">
              <w:r>
                <w:rPr>
                  <w:rStyle w:val="InternetLink"/>
                  <w:rFonts w:ascii="Times New Roman;serif" w:hAnsi="Times New Roman;serif"/>
                  <w:b w:val="false"/>
                  <w:strike w:val="false"/>
                  <w:dstrike w:val="false"/>
                  <w:color w:val="000000"/>
                  <w:sz w:val="20"/>
                  <w:u w:val="none"/>
                  <w:effect w:val="none"/>
                </w:rPr>
                <w:t>31</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12">
              <w:r>
                <w:rPr>
                  <w:rStyle w:val="InternetLink"/>
                  <w:rFonts w:ascii="Times New Roman;serif" w:hAnsi="Times New Roman;serif"/>
                  <w:b/>
                  <w:color w:val="0000FF"/>
                  <w:sz w:val="20"/>
                  <w:u w:val="single"/>
                </w:rPr>
                <w:t>Item 3. Defaults Upon Senior Securities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12">
              <w:r>
                <w:rPr>
                  <w:rStyle w:val="InternetLink"/>
                  <w:rFonts w:ascii="Times New Roman;serif" w:hAnsi="Times New Roman;serif"/>
                  <w:b w:val="false"/>
                  <w:strike w:val="false"/>
                  <w:dstrike w:val="false"/>
                  <w:color w:val="000000"/>
                  <w:sz w:val="20"/>
                  <w:u w:val="none"/>
                  <w:effect w:val="none"/>
                </w:rPr>
                <w:t>31</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15">
              <w:r>
                <w:rPr>
                  <w:rStyle w:val="InternetLink"/>
                  <w:rFonts w:ascii="Times New Roman;serif" w:hAnsi="Times New Roman;serif"/>
                  <w:b/>
                  <w:color w:val="0000FF"/>
                  <w:sz w:val="20"/>
                  <w:u w:val="single"/>
                </w:rPr>
                <w:t>Item 4. Mine Safety Disclosures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15">
              <w:r>
                <w:rPr>
                  <w:rStyle w:val="InternetLink"/>
                  <w:rFonts w:ascii="Times New Roman;serif" w:hAnsi="Times New Roman;serif"/>
                  <w:b w:val="false"/>
                  <w:strike w:val="false"/>
                  <w:dstrike w:val="false"/>
                  <w:color w:val="000000"/>
                  <w:sz w:val="20"/>
                  <w:u w:val="none"/>
                  <w:effect w:val="none"/>
                </w:rPr>
                <w:t>31</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18">
              <w:r>
                <w:rPr>
                  <w:rStyle w:val="InternetLink"/>
                  <w:rFonts w:ascii="Times New Roman;serif" w:hAnsi="Times New Roman;serif"/>
                  <w:b/>
                  <w:color w:val="0000FF"/>
                  <w:sz w:val="20"/>
                  <w:u w:val="single"/>
                </w:rPr>
                <w:t>Item 5. Other Information</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18">
              <w:r>
                <w:rPr>
                  <w:rStyle w:val="InternetLink"/>
                  <w:rFonts w:ascii="Times New Roman;serif" w:hAnsi="Times New Roman;serif"/>
                  <w:b w:val="false"/>
                  <w:strike w:val="false"/>
                  <w:dstrike w:val="false"/>
                  <w:color w:val="000000"/>
                  <w:sz w:val="20"/>
                  <w:u w:val="none"/>
                  <w:effect w:val="none"/>
                </w:rPr>
                <w:t>31</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21">
              <w:r>
                <w:rPr>
                  <w:rStyle w:val="InternetLink"/>
                  <w:rFonts w:ascii="Times New Roman;serif" w:hAnsi="Times New Roman;serif"/>
                  <w:b/>
                  <w:color w:val="0000FF"/>
                  <w:sz w:val="20"/>
                  <w:u w:val="single"/>
                </w:rPr>
                <w:t>Item 6. Exhibits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21">
              <w:r>
                <w:rPr>
                  <w:rStyle w:val="InternetLink"/>
                  <w:rFonts w:ascii="Times New Roman;serif" w:hAnsi="Times New Roman;serif"/>
                  <w:b w:val="false"/>
                  <w:strike w:val="false"/>
                  <w:dstrike w:val="false"/>
                  <w:color w:val="000000"/>
                  <w:sz w:val="20"/>
                  <w:u w:val="none"/>
                  <w:effect w:val="none"/>
                </w:rPr>
                <w:t>32</w:t>
              </w:r>
            </w:hyperlink>
          </w:p>
        </w:tc>
      </w:tr>
      <w:tr>
        <w:trPr/>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44a21a25d24e9d8504d84fba14c8f5_424">
              <w:r>
                <w:rPr>
                  <w:rStyle w:val="InternetLink"/>
                  <w:rFonts w:ascii="Times New Roman;serif" w:hAnsi="Times New Roman;serif"/>
                  <w:b/>
                  <w:color w:val="0000FF"/>
                  <w:sz w:val="20"/>
                  <w:u w:val="single"/>
                </w:rPr>
                <w:t>Signatures</w:t>
              </w:r>
            </w:hyperlink>
          </w:p>
        </w:tc>
        <w:tc>
          <w:tcPr>
            <w:tcW w:w="165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44a21a25d24e9d8504d84fba14c8f5_424">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ORASURE TECHNOLOGIES,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amounts) </w:t>
      </w:r>
    </w:p>
    <w:tbl>
      <w:tblPr>
        <w:tblW w:w="9760" w:type="dxa"/>
        <w:jc w:val="left"/>
        <w:tblInd w:w="0" w:type="dxa"/>
        <w:tblLayout w:type="fixed"/>
        <w:tblCellMar>
          <w:top w:w="28" w:type="dxa"/>
          <w:left w:w="28" w:type="dxa"/>
          <w:bottom w:w="28" w:type="dxa"/>
          <w:right w:w="28" w:type="dxa"/>
        </w:tblCellMar>
      </w:tblPr>
      <w:tblGrid>
        <w:gridCol w:w="2556"/>
        <w:gridCol w:w="2255"/>
        <w:gridCol w:w="2268"/>
        <w:gridCol w:w="191"/>
        <w:gridCol w:w="699"/>
        <w:gridCol w:w="115"/>
        <w:gridCol w:w="109"/>
        <w:gridCol w:w="109"/>
        <w:gridCol w:w="109"/>
        <w:gridCol w:w="245"/>
        <w:gridCol w:w="896"/>
        <w:gridCol w:w="208"/>
      </w:tblGrid>
      <w:tr>
        <w:trPr/>
        <w:tc>
          <w:tcPr>
            <w:tcW w:w="255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Current Assets: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1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160,582 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199,278 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Accounts receivable, net of allowance for doubtful accounts of $445 and $188</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22,203 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Inventories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30,071 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31,060 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5,221 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 receivable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current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222,937 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261,908 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Noncurrent Assets: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Property, plant and equipment, net of accumulated depreciation </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38,577 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39,179 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right-of-use assets,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11,996 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Finance right-of-use assets,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Intangible assets, net of accumulated amortization of $26,627 and $27,180</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18,835 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19,046 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42,717 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43,363 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in equity method investee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24,355 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25,956 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 asset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noncurrent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1,303 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noncurrent assets</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137,615 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141,260 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360,552</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403,168</w:t>
            </w: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LIABILITIES AND STOCKHOLDERS' EQUITY</w:t>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Current Liabilities: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w:t>
            </w:r>
          </w:p>
        </w:tc>
        <w:tc>
          <w:tcPr>
            <w:tcW w:w="1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6,521 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 and other current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13,718 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11,149 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Finance lease liability</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liability</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Acquisition-related contingent consideration obligation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18,380 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liabilities</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25,119 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39,795 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Noncurrent Liabilities: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Finance lease liability</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liability</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10,870 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Acquisition-related contingent consideration obligation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noncurrent liabilities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2,243 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noncurrent liabilities</w:t>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17,656 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22,546 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42,775 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62,341 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Commitments and contingencies (Note 12)</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STOCKHOLDERS' EQUITY</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Preferred stock, par value $0.000001, 25,000 shares authorized, none issued</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Common stock, par value $0.000001, 120,000 shares authorized, 68,968 and 70,391 shares issued and outstanding</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Additional paid-in capital</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527,964 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531,393 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Accumulated other comprehensive loss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(18,404)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Accumulated deficit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(188,290)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(172,162)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stockholders' equity</w:t>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317,777 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340,827 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 AND STOCKHOLDERS' EQUITY</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360,552</w:t>
            </w:r>
            <w:r>
              <w:rPr>
                <w:color w:val="000000"/>
              </w:rPr>
              <w:t>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403,168</w:t>
            </w:r>
            <w:r>
              <w:rPr>
                <w:color w:val="000000"/>
              </w:rPr>
              <w:t>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ORASURE TECHNOLOGIES,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636"/>
        <w:gridCol w:w="1188"/>
        <w:gridCol w:w="1195"/>
        <w:gridCol w:w="225"/>
        <w:gridCol w:w="770"/>
        <w:gridCol w:w="116"/>
        <w:gridCol w:w="116"/>
        <w:gridCol w:w="116"/>
        <w:gridCol w:w="116"/>
        <w:gridCol w:w="225"/>
        <w:gridCol w:w="817"/>
        <w:gridCol w:w="116"/>
        <w:gridCol w:w="109"/>
        <w:gridCol w:w="109"/>
        <w:gridCol w:w="109"/>
        <w:gridCol w:w="214"/>
        <w:gridCol w:w="777"/>
        <w:gridCol w:w="110"/>
        <w:gridCol w:w="110"/>
        <w:gridCol w:w="110"/>
        <w:gridCol w:w="110"/>
        <w:gridCol w:w="214"/>
        <w:gridCol w:w="777"/>
        <w:gridCol w:w="110"/>
        <w:gridCol w:w="109"/>
        <w:gridCol w:w="109"/>
        <w:gridCol w:w="109"/>
        <w:gridCol w:w="109"/>
        <w:gridCol w:w="109"/>
        <w:gridCol w:w="165"/>
      </w:tblGrid>
      <w:tr>
        <w:trPr/>
        <w:tc>
          <w:tcPr>
            <w:tcW w:w="163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acquisition-related contingent consideration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(18,026)</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(35,776)</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investment</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(16,891)</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EQUITY INVESTMENT</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(18,891)</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(34,407)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EQUITY INVESTMENT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(19,693)</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(LOSS) PER SHARE:</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1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70,158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ORASURE TECHNOLOGIES,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1355"/>
        <w:gridCol w:w="1191"/>
        <w:gridCol w:w="1182"/>
        <w:gridCol w:w="249"/>
        <w:gridCol w:w="729"/>
        <w:gridCol w:w="128"/>
        <w:gridCol w:w="128"/>
        <w:gridCol w:w="128"/>
        <w:gridCol w:w="128"/>
        <w:gridCol w:w="249"/>
        <w:gridCol w:w="938"/>
        <w:gridCol w:w="128"/>
        <w:gridCol w:w="109"/>
        <w:gridCol w:w="109"/>
        <w:gridCol w:w="109"/>
        <w:gridCol w:w="217"/>
        <w:gridCol w:w="820"/>
        <w:gridCol w:w="112"/>
        <w:gridCol w:w="112"/>
        <w:gridCol w:w="112"/>
        <w:gridCol w:w="112"/>
        <w:gridCol w:w="217"/>
        <w:gridCol w:w="820"/>
        <w:gridCol w:w="112"/>
        <w:gridCol w:w="109"/>
        <w:gridCol w:w="109"/>
        <w:gridCol w:w="109"/>
        <w:gridCol w:w="109"/>
        <w:gridCol w:w="109"/>
        <w:gridCol w:w="166"/>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(12,942)</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(19,621)</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(28,744)</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ORASURE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br/>
        <w:t>(Unaudited)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098" w:type="dxa"/>
        <w:jc w:val="left"/>
        <w:tblInd w:w="0" w:type="dxa"/>
        <w:tblLayout w:type="fixed"/>
        <w:tblCellMar>
          <w:top w:w="28" w:type="dxa"/>
          <w:left w:w="28" w:type="dxa"/>
          <w:bottom w:w="28" w:type="dxa"/>
          <w:right w:w="28" w:type="dxa"/>
        </w:tblCellMar>
      </w:tblPr>
      <w:tblGrid>
        <w:gridCol w:w="2080"/>
        <w:gridCol w:w="1827"/>
        <w:gridCol w:w="1838"/>
        <w:gridCol w:w="216"/>
        <w:gridCol w:w="811"/>
        <w:gridCol w:w="120"/>
        <w:gridCol w:w="120"/>
        <w:gridCol w:w="120"/>
        <w:gridCol w:w="120"/>
        <w:gridCol w:w="216"/>
        <w:gridCol w:w="811"/>
        <w:gridCol w:w="120"/>
        <w:gridCol w:w="109"/>
        <w:gridCol w:w="109"/>
        <w:gridCol w:w="109"/>
        <w:gridCol w:w="109"/>
        <w:gridCol w:w="109"/>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ACTIVITIES: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(16,128)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(35,733)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non-cash amortization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credit losses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foreign currency loss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 on finance leases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Loss on equity investment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fixed assets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the estimated fair value of acquisition-related contingent consideration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(22,480)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operating activities</w:t>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(23,816)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(29,956)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ACTIVITIES: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assets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(3,321)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ACTIVITIES: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payments for lease liabilities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common stock</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taxes related to net share settlement of equity awards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financing activities</w:t>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(8,529)</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(6,751)</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FOREIGN EXCHANGE RATE CHANGES ON CASH</w:t>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(3,030)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5,088 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DECREASE IN CASH AND CASH EQUIVALENTS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(38,696)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(33,185)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BEGINNING OF PERIOD</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199,278 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267,763 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END OF PERIOD</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160,582 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234,578 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CASH FLOW INFORMATION:</w:t>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(Refund received) cash paid for income taxes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investing and financing activities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7"/>
              </w:rPr>
              <w:t>Accrued property and equipment purchases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ORASURE TECHNOLOGIES, INC. AND SUBSIDIARIES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NOTES TO THE CONSOLIDATED FINANCIAL STATEMENTS </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(all tabular amounts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both"/>
        <w:rPr/>
      </w:pPr>
      <w:r>
        <w:rPr>
          <w:rFonts w:ascii="Times New Roman;serif" w:hAnsi="Times New Roman;serif"/>
          <w:b w:val="false"/>
          <w:i/>
          <w:color w:val="000000"/>
          <w:sz w:val="20"/>
        </w:rPr>
        <w:t>Principles of Consolidation and Basis of Presentation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interim unaudited consolidated financial statements include the accounts of OraSure Technologies, Inc. (“OraSure”) and its wholly-owned subsidiaries, DNA Genotek Inc. (“DNAG”), Diversigen, Inc. (“Diversigen”), Sherlock Biosciences, Inc. and its wholly-owned subsidiary Sense Biodetection Limited (collectively, "Sherlock"), and BioMedomics, Inc. ("BioMedomics"). Novosanis NV ("Novosanis") was a subsidiary of OraSure until it was legally dissolved in June 2025.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2025. Results of operations for the three and six months ended June 30, 2026 are not necessarily indicative of the results of operations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Summary of Significant Accounting Policies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described in its Annual Report on Form 10-K for the fiscal year ended December 31, 2025 that have had a material impact on the consolidated financial statements and related notes except as discussed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Equivalents &amp; Short-Term Investments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its investments in debt securities to be available-for-sale securities. These securities consist of guaranteed investment certificates purchased with maturities greater than ninety days and are considered short-term investments.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cash balances in the United States in excess of the federally insured limits. The Company periodically evaluates financial institutions and believes the risk of loss to be remote due to this 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Fair Value of Financial Instruments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carrying values of cash and cash equivalents, accounts receivable, accounts payable, and accrued expenses approximate their respective fair values based on their short-term nature.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of all financial assets and liabilities that are being measured and reported on a fair value basis are required to be classified and disclosed in one of the following three categories: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2: Quoted prices in markets that are not active, or inputs which are observable, either directly or indirectly, for substantially the full term of the asset or liability;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Level 3: Prices or valuation techniques that require inputs that are both significant to the fair value measurement and unobservable (i.e., supported by little or no market activity).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 The following table provides a summary of the recognized assets and liabilities that are measured at fair value on a recurring basis: </w:t>
      </w:r>
    </w:p>
    <w:tbl>
      <w:tblPr>
        <w:tblW w:w="6254" w:type="dxa"/>
        <w:jc w:val="left"/>
        <w:tblInd w:w="0" w:type="dxa"/>
        <w:tblLayout w:type="fixed"/>
        <w:tblCellMar>
          <w:top w:w="28" w:type="dxa"/>
          <w:left w:w="28" w:type="dxa"/>
          <w:bottom w:w="28" w:type="dxa"/>
          <w:right w:w="28" w:type="dxa"/>
        </w:tblCellMar>
      </w:tblPr>
      <w:tblGrid>
        <w:gridCol w:w="1060"/>
        <w:gridCol w:w="929"/>
        <w:gridCol w:w="935"/>
        <w:gridCol w:w="165"/>
        <w:gridCol w:w="165"/>
        <w:gridCol w:w="166"/>
        <w:gridCol w:w="109"/>
        <w:gridCol w:w="109"/>
        <w:gridCol w:w="109"/>
        <w:gridCol w:w="211"/>
        <w:gridCol w:w="721"/>
        <w:gridCol w:w="109"/>
        <w:gridCol w:w="109"/>
        <w:gridCol w:w="109"/>
        <w:gridCol w:w="109"/>
        <w:gridCol w:w="221"/>
        <w:gridCol w:w="757"/>
        <w:gridCol w:w="161"/>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investment certificates</w:t>
            </w:r>
          </w:p>
        </w:tc>
        <w:tc>
          <w:tcPr>
            <w:tcW w:w="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cash and cash equivalents at June 30, 2026 and December 31, 2025 was $12.8 million and $13.1 million, respectively, invested in guaranteed investment certificates.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Included in cash and cash equivalents at June 30, 2026 and December 31, 2025, was $49.6 million and $68.4 million, respectively, invested in government money market funds. These funds have investments in U.S. government securities and are measured as Level 1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offers a nonqualified deferred compensation plan for certain eligible employees and members of the Company's Board of Directors. The assets of the plan are held in the name of the Company at a third-party financial institution. The Company paused the plan in January 2026 and is no longer allowing new participants to enter the plan. Separate accounts are maintained for each participant to reflect the amounts deferred by the participant and all earnings and losses on those deferred amounts. The assets of the plan are held in mutual funds and Company stock. The fair value of the plan assets as of June 30, 2026 and December 31, 2025 was $0.5 million,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contingent consideration obligations as Level 3 liabilities due to significant inputs that are required to measure the fair value of these obligations. The contingent consideration is comprised of three different tranches: milestone payments, royalty payments, and earnout payments. The significant quantitative unobservable inputs for the milestone payments are the discount rate and probability of achieving regulatory approval milestones. In December 2025, the Company submitted a premarket notification, or 510(k), to the U.S. Food and Drug Administration (the “FDA”) for clearance of its rapid molecular self-test for chlamydia trachomatis and Neisseria gonorrhoeae (“CT/NG”) on the Sherlock platform. Following constructive interactions with the FDA, the Company is updating its submission plan for the CT/NG test on the Sherlock platform to incorporate feedback received from the agency. As part of this process, in July 2026, the Company elected to withdraw its current submission and plans to pursue a future submission based on a new clinical trial. Due to this withdrawal, the Company has concluded that it will not obtain FDA clearance by December 31, 2026 as outlined in the terms of the merger agreement. Accordingly, the Company will not be obligated to pay the milestone contingent payments and the milestone contingent consideration liability was reduced to zero. Furthermore, as a result in the delay in the commercialization of the CT/NG product, the royalty based contingent consideration liability was reduced to reflect the delay in recognizing revenue from the sale of the CT/NG product and increase in discount rate associated with the cash flows. During the three and six months ended June 30, 2026, to reflect these changes in these liabilities, a decrease in the estimated fair value of acquisition-related contingent consideration of $22.6 million and $22.5 million, respectively, was recorded on the Company's consolidated statement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methodology for royalty payments is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and development intangible asset.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methodology for earnout payments is based on a Monte Carlo model. Significant quantitative unobservable inputs are future expected cash flows, discount rate and volatility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a net decrease of $17.9 million in the fair value of the Company's contingent consideration from date of acquisition to June 30, 2026 primarily due to the release of the milestone liability and a reduction in royalty liability as described above. </w:t>
      </w:r>
    </w:p>
    <w:tbl>
      <w:tblPr>
        <w:tblW w:w="3770" w:type="dxa"/>
        <w:jc w:val="left"/>
        <w:tblInd w:w="0" w:type="dxa"/>
        <w:tblLayout w:type="fixed"/>
        <w:tblCellMar>
          <w:top w:w="28" w:type="dxa"/>
          <w:left w:w="28" w:type="dxa"/>
          <w:bottom w:w="28" w:type="dxa"/>
          <w:right w:w="28" w:type="dxa"/>
        </w:tblCellMar>
      </w:tblPr>
      <w:tblGrid>
        <w:gridCol w:w="971"/>
        <w:gridCol w:w="855"/>
        <w:gridCol w:w="858"/>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below table illustrates the discount rate sensitivity to the fair value of the royalty liability when performing the fair value analysis as of June 30, 2026. The fair value analysis as of June 30, 2026, utilized a 20.4% discount rate.</w:t>
      </w:r>
    </w:p>
    <w:tbl>
      <w:tblPr>
        <w:tblW w:w="3477" w:type="dxa"/>
        <w:jc w:val="left"/>
        <w:tblInd w:w="0" w:type="dxa"/>
        <w:tblLayout w:type="fixed"/>
        <w:tblCellMar>
          <w:top w:w="28" w:type="dxa"/>
          <w:left w:w="28" w:type="dxa"/>
          <w:bottom w:w="28" w:type="dxa"/>
          <w:right w:w="28" w:type="dxa"/>
        </w:tblCellMar>
      </w:tblPr>
      <w:tblGrid>
        <w:gridCol w:w="264"/>
        <w:gridCol w:w="232"/>
        <w:gridCol w:w="206"/>
        <w:gridCol w:w="235"/>
        <w:gridCol w:w="235"/>
        <w:gridCol w:w="210"/>
        <w:gridCol w:w="235"/>
        <w:gridCol w:w="235"/>
        <w:gridCol w:w="210"/>
        <w:gridCol w:w="235"/>
        <w:gridCol w:w="235"/>
        <w:gridCol w:w="210"/>
        <w:gridCol w:w="228"/>
        <w:gridCol w:w="228"/>
        <w:gridCol w:w="279"/>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of Royalty Payments</w:t>
            </w:r>
          </w:p>
        </w:tc>
      </w:tr>
      <w:tr>
        <w:trPr/>
        <w:tc>
          <w:tcPr>
            <w:tcW w:w="3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r>
      <w:tr>
        <w:trPr/>
        <w:tc>
          <w:tcPr>
            <w:tcW w:w="7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18.4%</w:t>
            </w:r>
          </w:p>
        </w:tc>
        <w:tc>
          <w:tcPr>
            <w:tcW w:w="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$5,600</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$5,300</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$4,700</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Indefinite-Lived Intangible Asset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Indefinite-lived intangible assets are not amortized but rather tested annually for impairment or more frequently if the Company believes that indicators of impairment exist. Current generally accepted accounting principles permit the Company to make a qualitative evaluation about the likelihood of indefinite-lived intangible asset impairment. If the Company concludes that it is more likely than not that the carrying value of an indefinite-lived intangible asset is greater than its fair value, then the Company would be required to perform a quantitative analysis. The Company would recognize an impairment charge for the amount by which the carrying amount exceeds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submitted a 510(k) to the FDA for clearance of its rapid molecular self-test for CT/NG. Following constructive interactions with the FDA, the Company is updating its submission plan for the CT/NG test on the Sherlock platform to incorporate feedback received from the agency. As part of this process, in July 2026, the Company elected to withdraw its current submission and plans to pursue a future submission. This withdrawal was considered an indicator of impairment, which necessitates review of the facts and circumstances underlying the value of the in-process research and development ("IPR&amp;D") technology intangible asset as of June 30, 2026. The Company performed a quantitative indefinite-lived intangible asset impairment test on the IPR&amp;D technology which concluded that the carrying value of the Company's IPR&amp;D technology was below its fair value indicating there was no impairment as of June 30, 2026. The carrying value was 6% below its fair value. </w:t>
      </w:r>
    </w:p>
    <w:p>
      <w:pPr>
        <w:pStyle w:val="TextBody"/>
        <w:bidi w:val="0"/>
        <w:spacing w:lineRule="auto" w:line="288" w:before="240" w:after="283"/>
        <w:jc w:val="both"/>
        <w:rPr/>
      </w:pPr>
      <w:r>
        <w:rPr>
          <w:rFonts w:ascii="Times New Roman;serif" w:hAnsi="Times New Roman;serif"/>
          <w:b w:val="false"/>
          <w:color w:val="000000"/>
          <w:sz w:val="20"/>
        </w:rPr>
        <w:t>As of June 30, 2026, the IPR&amp;D technology intangible asset was $17.0 million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The impairment analysis used an income approach.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 The revenue and cash flows assumes CT/NG receives regulatory authorization and market competition of future products is low. The revenues assume market growth will accelerate each year. If there are delays to attaining regulatory approval or successfully launching CT/NG, this could have a negative outcome on the indefinite-lived intangible asset impairment analysis.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below table illustrates the discount rate sensitivity to the fair value of the IPR&amp;D technology intangible asset when performing the impairment analysis as of June 30, 2026. In the IPR&amp;D technology intangible asset impairment analysis as of June 30, 2026, the impairment analysis utilized a 40% discount rate.</w:t>
      </w:r>
    </w:p>
    <w:tbl>
      <w:tblPr>
        <w:tblW w:w="3965" w:type="dxa"/>
        <w:jc w:val="left"/>
        <w:tblInd w:w="0" w:type="dxa"/>
        <w:tblLayout w:type="fixed"/>
        <w:tblCellMar>
          <w:top w:w="28" w:type="dxa"/>
          <w:left w:w="28" w:type="dxa"/>
          <w:bottom w:w="28" w:type="dxa"/>
          <w:right w:w="28" w:type="dxa"/>
        </w:tblCellMar>
      </w:tblPr>
      <w:tblGrid>
        <w:gridCol w:w="287"/>
        <w:gridCol w:w="253"/>
        <w:gridCol w:w="256"/>
        <w:gridCol w:w="259"/>
        <w:gridCol w:w="259"/>
        <w:gridCol w:w="263"/>
        <w:gridCol w:w="259"/>
        <w:gridCol w:w="259"/>
        <w:gridCol w:w="263"/>
        <w:gridCol w:w="259"/>
        <w:gridCol w:w="259"/>
        <w:gridCol w:w="263"/>
        <w:gridCol w:w="240"/>
        <w:gridCol w:w="240"/>
        <w:gridCol w:w="346"/>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9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r>
      <w:tr>
        <w:trPr/>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39.0%</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$18,000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$17,000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Equity Method Investee </w:t>
      </w:r>
    </w:p>
    <w:p>
      <w:pPr>
        <w:pStyle w:val="TextBody"/>
        <w:bidi w:val="0"/>
        <w:spacing w:lineRule="auto" w:line="288" w:before="120" w:after="283"/>
        <w:jc w:val="both"/>
        <w:rPr/>
      </w:pPr>
      <w:r>
        <w:rPr>
          <w:rFonts w:ascii="Times New Roman;serif" w:hAnsi="Times New Roman;serif"/>
          <w:b w:val="false"/>
          <w:color w:val="000000"/>
          <w:sz w:val="20"/>
        </w:rPr>
        <w:t xml:space="preserve">In January 2024, the Company led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June 30, 2026, the Company had funded $30.0 million for its interest in Sapphiros. The Company recorded the investment using the equity method in accordance with Accounting Standards Codification ("ASC") Topic 323, </w:t>
      </w:r>
      <w:r>
        <w:rPr>
          <w:rFonts w:ascii="Times New Roman;serif" w:hAnsi="Times New Roman;serif"/>
          <w:b w:val="false"/>
          <w:i/>
          <w:color w:val="000000"/>
          <w:sz w:val="20"/>
        </w:rPr>
        <w:t xml:space="preserve">Investments—Equity Method and Joint Ventures—Overall. </w:t>
      </w:r>
      <w:r>
        <w:rPr>
          <w:rFonts w:ascii="Times New Roman;serif" w:hAnsi="Times New Roman;serif"/>
          <w:b w:val="false"/>
          <w:color w:val="000000"/>
          <w:sz w:val="20"/>
        </w:rPr>
        <w:t>In accordance with the equity method, the Company's equity investment is presented net of its share of any gains or losses of the investee. The Company has elected as its accounting policy to recognize its share of any income or loss in Sapphiros on a three-month lag. The value of the investment in Sapphiros of $24.4 million as of June 30, 2026 is included in the investment in equity method investee line of the Company's balance sheet. The Company has no unconditional obligations or guarantees to, or in support of, its equity method investee and its operations. In conjunction with the preparation of the Company's June 30, 2026 financial statements, the Company evaluated the investment in Sapphiros for impairment and concluded there was no such impairment. The Company's investment in Sapphiros was valued at $26.0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Related Party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loaned Sapphiros $0.3 million during the year ended December 31, 2025. The loan plus interest is due in December 2026. During the year ended December 31, 2025, the Company entered into an agreement with Sapphiros to assist in the development of certain products for Sapphiros. A total of $0.1 million and $0.2 million of products and services revenue was recognized from this agreement for the for the three and six months ended June 30, 2026. No equivalent amounts were recognized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are established for uncertain tax positions taken or positions expected to be taken in income tax returns when such positions fail to meet the "more likely than not" threshold based on the technical merits of the positions. The Company assesses whether previously unrecognized tax benefits may be recognized when tax positions are (1) more likely than not of being sustained based on their technical merits, (2) effectively settled through examination, negotiation or litigation, or (3) settled through actual expiration of the relevant tax statutes. The assessment of an uncertain tax position requires significant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foreign exchange losses resulting from foreign currency transactions that are included in other income in the Company's consolidated statements of operations were $0.1 million and $0.9 million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foreign exchange gains (losses) resulting from foreign currency transactions for the six months ended June 30, 2026 and 2025 were $0.1 million and $(1.3)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Accumulated Other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 in accumulated other comprehensive loss by component is listed below:</w:t>
      </w:r>
    </w:p>
    <w:tbl>
      <w:tblPr>
        <w:tblW w:w="5799" w:type="dxa"/>
        <w:jc w:val="left"/>
        <w:tblInd w:w="0" w:type="dxa"/>
        <w:tblLayout w:type="fixed"/>
        <w:tblCellMar>
          <w:top w:w="28" w:type="dxa"/>
          <w:left w:w="28" w:type="dxa"/>
          <w:bottom w:w="28" w:type="dxa"/>
          <w:right w:w="28" w:type="dxa"/>
        </w:tblCellMar>
      </w:tblPr>
      <w:tblGrid>
        <w:gridCol w:w="971"/>
        <w:gridCol w:w="855"/>
        <w:gridCol w:w="858"/>
        <w:gridCol w:w="266"/>
        <w:gridCol w:w="1006"/>
        <w:gridCol w:w="137"/>
        <w:gridCol w:w="109"/>
        <w:gridCol w:w="109"/>
        <w:gridCol w:w="109"/>
        <w:gridCol w:w="109"/>
        <w:gridCol w:w="109"/>
        <w:gridCol w:w="211"/>
        <w:gridCol w:w="79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(21,897)</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Financial Accounting Standards Board ("FASB") issued Accounting Standard Update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purpose 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rFonts w:ascii="Times New Roman;serif" w:hAnsi="Times New Roman;serif"/>
          <w:b w:val="false"/>
          <w:color w:val="000000"/>
          <w:sz w:val="20"/>
        </w:rPr>
        <w:t xml:space="preserve">. The purpose of this update was to address challenges encountered when applying the guidance in Topic 326, Financial Instruments—Credit Losses, to current accounts receivable and current contract assets arising from transactions accounted for under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For all business entities, the amendments in this ASU are effective for fiscal years beginning after December 15, 2025, and interim periods within those fiscal periods. The amendments are applied prospectively, and early adoption is permitted. Management does not expect a material impact on the Company's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purpose of this update was to modernize the accounting for software costs. For all business entities, the amendments in this ASU are effective for fiscal years beginning after December 15, 2027, and interim periods within those fiscal periods. The amendments can be applied prospectively, a modified transition or retrospectively. Early adoption is permitted as of the beginning of an annual reporting period. Management does not expect a material impact on the Company's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The purpose of this update was to improve US GAAP by establishing authoritative guidance on the accounting for government grants received by business entities. For public business entities, the amendments in this ASU are effective for annual reporting periods beginning after December 15, 2028, and interim reporting periods within those annual reporting periods. Early adoption is permitted in both interim and annual reporting periods in which financial statements have not yet been issued or made available for issuance. The amendments can be applied under a modified prospective approach, a modified retrospective approach, or a retrospective approach. Management is evaluating the impact on the Company's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purpose of this update was to improve the navigability of the required interim disclosures and clarifying when that guidance is applicable. The update also provides additional guidance on what disclosures should be provided in interim periods and adds a principal that requires entities to disclose events since the end of the last annual reporting period that have a material impact on the entity. For public business entities, the amendments in this ASU are effective for interim reporting periods within annual reporting periods beginning after December 15, 2027. Early adoption is permitted. The amendments in this update can be applied either prospectively or retrospectively to any or all prior periods presented in the financial statements. Management is evaluating the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2.    INVENTORIES: </w:t>
      </w:r>
    </w:p>
    <w:tbl>
      <w:tblPr>
        <w:tblW w:w="4728" w:type="dxa"/>
        <w:jc w:val="left"/>
        <w:tblInd w:w="0" w:type="dxa"/>
        <w:tblLayout w:type="fixed"/>
        <w:tblCellMar>
          <w:top w:w="28" w:type="dxa"/>
          <w:left w:w="28" w:type="dxa"/>
          <w:bottom w:w="28" w:type="dxa"/>
          <w:right w:w="28" w:type="dxa"/>
        </w:tblCellMar>
      </w:tblPr>
      <w:tblGrid>
        <w:gridCol w:w="646"/>
        <w:gridCol w:w="567"/>
        <w:gridCol w:w="571"/>
        <w:gridCol w:w="211"/>
        <w:gridCol w:w="721"/>
        <w:gridCol w:w="109"/>
        <w:gridCol w:w="109"/>
        <w:gridCol w:w="109"/>
        <w:gridCol w:w="109"/>
        <w:gridCol w:w="222"/>
        <w:gridCol w:w="759"/>
        <w:gridCol w:w="114"/>
        <w:gridCol w:w="109"/>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Semi-finished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3.    PROPERTY, PLANT, AND EQUIPMENT, NET:</w:t>
      </w:r>
    </w:p>
    <w:tbl>
      <w:tblPr>
        <w:tblW w:w="5854" w:type="dxa"/>
        <w:jc w:val="left"/>
        <w:tblInd w:w="0" w:type="dxa"/>
        <w:tblLayout w:type="fixed"/>
        <w:tblCellMar>
          <w:top w:w="28" w:type="dxa"/>
          <w:left w:w="28" w:type="dxa"/>
          <w:bottom w:w="28" w:type="dxa"/>
          <w:right w:w="28" w:type="dxa"/>
        </w:tblCellMar>
      </w:tblPr>
      <w:tblGrid>
        <w:gridCol w:w="1054"/>
        <w:gridCol w:w="923"/>
        <w:gridCol w:w="933"/>
        <w:gridCol w:w="211"/>
        <w:gridCol w:w="721"/>
        <w:gridCol w:w="109"/>
        <w:gridCol w:w="109"/>
        <w:gridCol w:w="109"/>
        <w:gridCol w:w="109"/>
        <w:gridCol w:w="222"/>
        <w:gridCol w:w="759"/>
        <w:gridCol w:w="114"/>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102,055 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39,179 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4.    ACCRUED EXPENSES AND OTHER CURRENT LIABILITIES: </w:t>
      </w:r>
    </w:p>
    <w:tbl>
      <w:tblPr>
        <w:tblW w:w="5328" w:type="dxa"/>
        <w:jc w:val="left"/>
        <w:tblInd w:w="0" w:type="dxa"/>
        <w:tblLayout w:type="fixed"/>
        <w:tblCellMar>
          <w:top w:w="28" w:type="dxa"/>
          <w:left w:w="28" w:type="dxa"/>
          <w:bottom w:w="28" w:type="dxa"/>
          <w:right w:w="28" w:type="dxa"/>
        </w:tblCellMar>
      </w:tblPr>
      <w:tblGrid>
        <w:gridCol w:w="846"/>
        <w:gridCol w:w="745"/>
        <w:gridCol w:w="748"/>
        <w:gridCol w:w="211"/>
        <w:gridCol w:w="721"/>
        <w:gridCol w:w="109"/>
        <w:gridCol w:w="109"/>
        <w:gridCol w:w="109"/>
        <w:gridCol w:w="109"/>
        <w:gridCol w:w="231"/>
        <w:gridCol w:w="790"/>
        <w:gridCol w:w="119"/>
        <w:gridCol w:w="109"/>
        <w:gridCol w:w="109"/>
        <w:gridCol w:w="109"/>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5.     TERMINATION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Q2 2024 Reduction in Workforce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executed a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paid the full $1.7 million related to the reduction in workforce. This reduction in workforce was completed by March 31, 2026 and no additional charges were incurred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Q3 2024 Reduction in Workforce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executed a reduction in workforce as the Company notified certain employees of its intention to discontinue its risk assessment business. Additional employees were notified in the fourth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$0.1 million accrued and had paid $1.2 million related to this reduction in workforce. No additional charges were incurred during the six months ended June 30, 2026. The Company expects this reduction in workforce to be completed by October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Q1 2026 Reduction in Workforce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executed a reduction in workforce to better align the Company's cost structure. The charges for termination benefits included in the Company's consolidated statements of operations are as follows:</w:t>
      </w:r>
    </w:p>
    <w:p>
      <w:pPr>
        <w:pStyle w:val="TextBody"/>
        <w:bidi w:val="0"/>
        <w:spacing w:before="0" w:after="0"/>
        <w:jc w:val="both"/>
        <w:rPr/>
      </w:pPr>
      <w:r>
        <w:rPr/>
      </w:r>
    </w:p>
    <w:tbl>
      <w:tblPr>
        <w:tblW w:w="5579" w:type="dxa"/>
        <w:jc w:val="left"/>
        <w:tblInd w:w="0" w:type="dxa"/>
        <w:tblLayout w:type="fixed"/>
        <w:tblCellMar>
          <w:top w:w="28" w:type="dxa"/>
          <w:left w:w="28" w:type="dxa"/>
          <w:bottom w:w="28" w:type="dxa"/>
          <w:right w:w="28" w:type="dxa"/>
        </w:tblCellMar>
      </w:tblPr>
      <w:tblGrid>
        <w:gridCol w:w="1042"/>
        <w:gridCol w:w="917"/>
        <w:gridCol w:w="920"/>
        <w:gridCol w:w="580"/>
        <w:gridCol w:w="1696"/>
        <w:gridCol w:w="42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$0.5 million accrued and had paid $0.8 million related to the reduction in workforce. No additional charges were incurred during the six months ended June 30, 2026. The Company expects this reduction in workforce to be completed by February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6.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u w:val="single"/>
        </w:rPr>
        <w:t>Revenues by Product Line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following table represents total net revenues by product line:</w:t>
      </w:r>
    </w:p>
    <w:tbl>
      <w:tblPr>
        <w:tblW w:w="9777" w:type="dxa"/>
        <w:jc w:val="left"/>
        <w:tblInd w:w="0" w:type="dxa"/>
        <w:tblLayout w:type="fixed"/>
        <w:tblCellMar>
          <w:top w:w="28" w:type="dxa"/>
          <w:left w:w="28" w:type="dxa"/>
          <w:bottom w:w="28" w:type="dxa"/>
          <w:right w:w="28" w:type="dxa"/>
        </w:tblCellMar>
      </w:tblPr>
      <w:tblGrid>
        <w:gridCol w:w="1175"/>
        <w:gridCol w:w="1032"/>
        <w:gridCol w:w="1048"/>
        <w:gridCol w:w="249"/>
        <w:gridCol w:w="853"/>
        <w:gridCol w:w="128"/>
        <w:gridCol w:w="128"/>
        <w:gridCol w:w="128"/>
        <w:gridCol w:w="128"/>
        <w:gridCol w:w="249"/>
        <w:gridCol w:w="853"/>
        <w:gridCol w:w="128"/>
        <w:gridCol w:w="109"/>
        <w:gridCol w:w="109"/>
        <w:gridCol w:w="109"/>
        <w:gridCol w:w="232"/>
        <w:gridCol w:w="794"/>
        <w:gridCol w:w="120"/>
        <w:gridCol w:w="120"/>
        <w:gridCol w:w="120"/>
        <w:gridCol w:w="120"/>
        <w:gridCol w:w="232"/>
        <w:gridCol w:w="794"/>
        <w:gridCol w:w="120"/>
        <w:gridCol w:w="109"/>
        <w:gridCol w:w="109"/>
        <w:gridCol w:w="109"/>
        <w:gridCol w:w="109"/>
        <w:gridCol w:w="109"/>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HIV</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Sample Management Solutions</w:t>
            </w:r>
            <w:r>
              <w:rPr>
                <w:color w:val="000000"/>
              </w:rPr>
              <w:t xml:space="preserve"> </w:t>
            </w:r>
            <w:r>
              <w:rPr>
                <w:rFonts w:ascii="Times New Roman;serif" w:hAnsi="Times New Roman;serif"/>
                <w:b w:val="false"/>
                <w:color w:val="000000"/>
                <w:sz w:val="13"/>
              </w:rPr>
              <w:t>(1)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HCV</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product and services revenues </w:t>
            </w:r>
            <w:r>
              <w:rPr>
                <w:rFonts w:ascii="Times New Roman;serif" w:hAnsi="Times New Roman;serif"/>
                <w:b w:val="false"/>
                <w:color w:val="000000"/>
                <w:sz w:val="13"/>
              </w:rPr>
              <w:t>(2)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COVID-19 </w:t>
            </w:r>
            <w:r>
              <w:rPr>
                <w:rFonts w:ascii="Times New Roman;serif" w:hAnsi="Times New Roman;serif"/>
                <w:b w:val="false"/>
                <w:color w:val="000000"/>
                <w:sz w:val="13"/>
              </w:rPr>
              <w:t>(3)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Risk Assessment Testing </w:t>
            </w:r>
            <w:r>
              <w:rPr>
                <w:rFonts w:ascii="Times New Roman;serif" w:hAnsi="Times New Roman;serif"/>
                <w:b w:val="false"/>
                <w:color w:val="000000"/>
                <w:sz w:val="13"/>
              </w:rPr>
              <w:t>(4)</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and services revenues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Non-product and services revenues</w:t>
            </w:r>
            <w:r>
              <w:rPr>
                <w:color w:val="000000"/>
              </w:rPr>
              <w:t xml:space="preserve"> </w:t>
            </w:r>
            <w:r>
              <w:rPr>
                <w:rFonts w:ascii="Times New Roman;serif" w:hAnsi="Times New Roman;serif"/>
                <w:b w:val="false"/>
                <w:color w:val="000000"/>
                <w:sz w:val="13"/>
              </w:rPr>
              <w:t>(5)</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Genomics, Microbiome and Colli-Pee</w:t>
      </w:r>
      <w:r>
        <w:rPr>
          <w:rFonts w:ascii="null;sans-serif" w:hAnsi="null;sans-serif"/>
          <w:b w:val="false"/>
          <w:color w:val="000000"/>
          <w:sz w:val="18"/>
        </w:rPr>
        <w:t>®</w:t>
      </w:r>
      <w:r>
        <w:rPr>
          <w:color w:val="000000"/>
        </w:rPr>
        <w:t xml:space="preserve"> </w:t>
      </w:r>
      <w:r>
        <w:rPr>
          <w:rFonts w:ascii="Times New Roman;serif" w:hAnsi="Times New Roman;serif"/>
          <w:b w:val="false"/>
          <w:color w:val="000000"/>
          <w:sz w:val="18"/>
        </w:rPr>
        <w:t>product revenues.</w:t>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Syphilis revenues and single order fulfillment.</w:t>
      </w:r>
    </w:p>
    <w:p>
      <w:pPr>
        <w:pStyle w:val="TextBody"/>
        <w:bidi w:val="0"/>
        <w:spacing w:lineRule="auto" w:line="288"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Includes COVID-19 Diagnostics and COVID-19 Sample Management Solutions revenues.</w:t>
      </w:r>
    </w:p>
    <w:p>
      <w:pPr>
        <w:pStyle w:val="TextBody"/>
        <w:bidi w:val="0"/>
        <w:spacing w:lineRule="auto" w:line="288" w:before="0" w:after="0"/>
        <w:jc w:val="left"/>
        <w:rPr/>
      </w:pPr>
      <w:r>
        <w:rPr>
          <w:rFonts w:ascii="Times New Roman;serif" w:hAnsi="Times New Roman;serif"/>
          <w:b w:val="false"/>
          <w:color w:val="000000"/>
          <w:sz w:val="12"/>
        </w:rPr>
        <w:t xml:space="preserve">(4) </w:t>
      </w:r>
      <w:r>
        <w:rPr>
          <w:rFonts w:ascii="Times New Roman;serif" w:hAnsi="Times New Roman;serif"/>
          <w:b w:val="false"/>
          <w:color w:val="000000"/>
          <w:sz w:val="18"/>
        </w:rPr>
        <w:t>Includes substance abuse testing product revenues.</w:t>
      </w:r>
    </w:p>
    <w:p>
      <w:pPr>
        <w:pStyle w:val="TextBody"/>
        <w:bidi w:val="0"/>
        <w:spacing w:lineRule="auto" w:line="288" w:before="0" w:after="0"/>
        <w:jc w:val="left"/>
        <w:rPr/>
      </w:pPr>
      <w:r>
        <w:rPr>
          <w:rFonts w:ascii="Times New Roman;serif" w:hAnsi="Times New Roman;serif"/>
          <w:b w:val="false"/>
          <w:color w:val="000000"/>
          <w:sz w:val="12"/>
        </w:rPr>
        <w:t xml:space="preserve">(5) </w:t>
      </w:r>
      <w:r>
        <w:rPr>
          <w:rFonts w:ascii="Times New Roman;serif" w:hAnsi="Times New Roman;serif"/>
          <w:b w:val="false"/>
          <w:color w:val="000000"/>
          <w:sz w:val="18"/>
        </w:rPr>
        <w:t>Includes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u w:val="single"/>
        </w:rPr>
        <w:t>Revenues by Geographic Area</w:t>
      </w:r>
      <w:r>
        <w:rPr>
          <w:rFonts w:ascii="Times New Roman;serif" w:hAnsi="Times New Roman;serif"/>
          <w:b w:val="false"/>
          <w:color w:val="000000"/>
          <w:sz w:val="20"/>
        </w:rPr>
        <w:t>. The following table represents total net revenues by geographic area, based on the location of the customer:</w:t>
      </w:r>
    </w:p>
    <w:tbl>
      <w:tblPr>
        <w:tblW w:w="7737" w:type="dxa"/>
        <w:jc w:val="left"/>
        <w:tblInd w:w="0" w:type="dxa"/>
        <w:tblLayout w:type="fixed"/>
        <w:tblCellMar>
          <w:top w:w="28" w:type="dxa"/>
          <w:left w:w="28" w:type="dxa"/>
          <w:bottom w:w="28" w:type="dxa"/>
          <w:right w:w="28" w:type="dxa"/>
        </w:tblCellMar>
      </w:tblPr>
      <w:tblGrid>
        <w:gridCol w:w="441"/>
        <w:gridCol w:w="386"/>
        <w:gridCol w:w="388"/>
        <w:gridCol w:w="249"/>
        <w:gridCol w:w="853"/>
        <w:gridCol w:w="128"/>
        <w:gridCol w:w="128"/>
        <w:gridCol w:w="128"/>
        <w:gridCol w:w="128"/>
        <w:gridCol w:w="249"/>
        <w:gridCol w:w="853"/>
        <w:gridCol w:w="128"/>
        <w:gridCol w:w="109"/>
        <w:gridCol w:w="109"/>
        <w:gridCol w:w="109"/>
        <w:gridCol w:w="232"/>
        <w:gridCol w:w="794"/>
        <w:gridCol w:w="120"/>
        <w:gridCol w:w="120"/>
        <w:gridCol w:w="120"/>
        <w:gridCol w:w="120"/>
        <w:gridCol w:w="232"/>
        <w:gridCol w:w="794"/>
        <w:gridCol w:w="120"/>
        <w:gridCol w:w="109"/>
        <w:gridCol w:w="109"/>
        <w:gridCol w:w="109"/>
        <w:gridCol w:w="109"/>
        <w:gridCol w:w="109"/>
        <w:gridCol w:w="154"/>
      </w:tblGrid>
      <w:tr>
        <w:trPr/>
        <w:tc>
          <w:tcPr>
            <w:tcW w:w="4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u w:val="single"/>
        </w:rPr>
        <w:t>Customer Concentrations.</w:t>
      </w:r>
      <w:r>
        <w:rPr>
          <w:color w:val="000000"/>
        </w:rPr>
        <w:t xml:space="preserve"> </w:t>
      </w:r>
      <w:r>
        <w:rPr>
          <w:rFonts w:ascii="Times New Roman;serif" w:hAnsi="Times New Roman;serif"/>
          <w:b w:val="false"/>
          <w:color w:val="000000"/>
          <w:sz w:val="20"/>
        </w:rPr>
        <w:t xml:space="preserve">The following table represents customer concentration risk: </w:t>
      </w:r>
    </w:p>
    <w:tbl>
      <w:tblPr>
        <w:tblW w:w="6071" w:type="dxa"/>
        <w:jc w:val="left"/>
        <w:tblInd w:w="0" w:type="dxa"/>
        <w:tblLayout w:type="fixed"/>
        <w:tblCellMar>
          <w:top w:w="28" w:type="dxa"/>
          <w:left w:w="28" w:type="dxa"/>
          <w:bottom w:w="28" w:type="dxa"/>
          <w:right w:w="28" w:type="dxa"/>
        </w:tblCellMar>
      </w:tblPr>
      <w:tblGrid>
        <w:gridCol w:w="761"/>
        <w:gridCol w:w="669"/>
        <w:gridCol w:w="670"/>
        <w:gridCol w:w="109"/>
        <w:gridCol w:w="109"/>
        <w:gridCol w:w="109"/>
        <w:gridCol w:w="109"/>
        <w:gridCol w:w="109"/>
        <w:gridCol w:w="109"/>
        <w:gridCol w:w="109"/>
        <w:gridCol w:w="109"/>
        <w:gridCol w:w="109"/>
        <w:gridCol w:w="109"/>
        <w:gridCol w:w="109"/>
        <w:gridCol w:w="109"/>
        <w:gridCol w:w="180"/>
        <w:gridCol w:w="181"/>
        <w:gridCol w:w="399"/>
        <w:gridCol w:w="109"/>
        <w:gridCol w:w="109"/>
        <w:gridCol w:w="109"/>
        <w:gridCol w:w="244"/>
        <w:gridCol w:w="244"/>
        <w:gridCol w:w="607"/>
        <w:gridCol w:w="109"/>
        <w:gridCol w:w="109"/>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1903" w:type="dxa"/>
            <w:gridSpan w:val="10"/>
            <w:tcBorders/>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Commercial customer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Commercial customer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Each commercial customer is a different international distributor.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u w:val="single"/>
        </w:rPr>
        <w:t>Vendor Concentrations.</w:t>
      </w:r>
      <w:r>
        <w:rPr>
          <w:color w:val="000000"/>
        </w:rPr>
        <w:t xml:space="preserve"> </w:t>
      </w:r>
      <w:r>
        <w:rPr>
          <w:rFonts w:ascii="Times New Roman;serif" w:hAnsi="Times New Roman;serif"/>
          <w:b w:val="false"/>
          <w:color w:val="000000"/>
          <w:sz w:val="20"/>
        </w:rPr>
        <w:t xml:space="preserve">The Company currently purchases certain products and critical components of the Company's products from sole-supply vendors. If 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val="false"/>
          <w:i/>
          <w:color w:val="000000"/>
          <w:sz w:val="20"/>
          <w:u w:val="single"/>
        </w:rPr>
        <w:t>Deferred Revenue.</w:t>
      </w:r>
      <w:r>
        <w:rPr>
          <w:color w:val="000000"/>
        </w:rPr>
        <w:t xml:space="preserve"> </w:t>
      </w:r>
      <w:r>
        <w:rPr>
          <w:rFonts w:ascii="Times New Roman;serif" w:hAnsi="Times New Roman;serif"/>
          <w:b w:val="false"/>
          <w:color w:val="000000"/>
          <w:sz w:val="20"/>
        </w:rPr>
        <w:t xml:space="preserve">The Company records deferred revenue when funds are received prior to the recognition of the associated revenue. Deferred revenue as of June 30, 2026 and December 31, 2025 was comprised of customer prepayments of $0.9 million and $1.2 million, respectively. Deferred revenue as of December 31, 2025 was also comprised of $0.4 million of unearned grant income. The Company had no unearned grant income in deferred revenue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deferred revenue recognized:</w:t>
      </w:r>
    </w:p>
    <w:tbl>
      <w:tblPr>
        <w:tblW w:w="8869" w:type="dxa"/>
        <w:jc w:val="left"/>
        <w:tblInd w:w="0" w:type="dxa"/>
        <w:tblLayout w:type="fixed"/>
        <w:tblCellMar>
          <w:top w:w="28" w:type="dxa"/>
          <w:left w:w="28" w:type="dxa"/>
          <w:bottom w:w="28" w:type="dxa"/>
          <w:right w:w="28" w:type="dxa"/>
        </w:tblCellMar>
      </w:tblPr>
      <w:tblGrid>
        <w:gridCol w:w="929"/>
        <w:gridCol w:w="816"/>
        <w:gridCol w:w="820"/>
        <w:gridCol w:w="316"/>
        <w:gridCol w:w="699"/>
        <w:gridCol w:w="163"/>
        <w:gridCol w:w="163"/>
        <w:gridCol w:w="163"/>
        <w:gridCol w:w="163"/>
        <w:gridCol w:w="316"/>
        <w:gridCol w:w="699"/>
        <w:gridCol w:w="163"/>
        <w:gridCol w:w="109"/>
        <w:gridCol w:w="109"/>
        <w:gridCol w:w="109"/>
        <w:gridCol w:w="254"/>
        <w:gridCol w:w="744"/>
        <w:gridCol w:w="131"/>
        <w:gridCol w:w="131"/>
        <w:gridCol w:w="131"/>
        <w:gridCol w:w="131"/>
        <w:gridCol w:w="254"/>
        <w:gridCol w:w="744"/>
        <w:gridCol w:w="131"/>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Deferred Revenue Recognized</w:t>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at beginning of year</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7.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income tax expense (benefit) are as follows:</w:t>
      </w:r>
    </w:p>
    <w:tbl>
      <w:tblPr>
        <w:tblW w:w="9002" w:type="dxa"/>
        <w:jc w:val="left"/>
        <w:tblInd w:w="0" w:type="dxa"/>
        <w:tblLayout w:type="fixed"/>
        <w:tblCellMar>
          <w:top w:w="28" w:type="dxa"/>
          <w:left w:w="28" w:type="dxa"/>
          <w:bottom w:w="28" w:type="dxa"/>
          <w:right w:w="28" w:type="dxa"/>
        </w:tblCellMar>
      </w:tblPr>
      <w:tblGrid>
        <w:gridCol w:w="1137"/>
        <w:gridCol w:w="995"/>
        <w:gridCol w:w="1003"/>
        <w:gridCol w:w="309"/>
        <w:gridCol w:w="529"/>
        <w:gridCol w:w="159"/>
        <w:gridCol w:w="159"/>
        <w:gridCol w:w="159"/>
        <w:gridCol w:w="159"/>
        <w:gridCol w:w="309"/>
        <w:gridCol w:w="903"/>
        <w:gridCol w:w="159"/>
        <w:gridCol w:w="109"/>
        <w:gridCol w:w="109"/>
        <w:gridCol w:w="109"/>
        <w:gridCol w:w="262"/>
        <w:gridCol w:w="673"/>
        <w:gridCol w:w="135"/>
        <w:gridCol w:w="135"/>
        <w:gridCol w:w="135"/>
        <w:gridCol w:w="135"/>
        <w:gridCol w:w="262"/>
        <w:gridCol w:w="767"/>
        <w:gridCol w:w="191"/>
      </w:tblGrid>
      <w:tr>
        <w:trPr/>
        <w:tc>
          <w:tcPr>
            <w:tcW w:w="113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expense</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expense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 expense (benefit)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recorded income tax expense of $0.1 million and $2.0 million, respectively. During the six months ended June 30, 2026 and 2025, the Company recorded an income tax benefit of $0.4 million and income tax expense of $1.5 million, respectively. The higher federal and state income tax expense in 2025 is largely due to recording an uncertain tax position for certain tax matters, including penalties and interest. During the three and six months ended June 30, 2026, the Company had an effective tax rate of 0.8% and 2.5%, respectively. During the three and six months ended June 30, 2025, the Company had an effective tax rate of (11.8)% and (4.7)%, respectively. The increase in the Company's tax rate was primarily due to the recording of the uncertain tax position in 2025 and projected break-even results in foreign operations in 2026 versus projected losses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reflects taxes due to the taxing authorities and the tax effects of temporary differences between the basis of assets and liabilities recognized for financial reporting and tax purposes, and net operating loss and tax credit carryforwards.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valuation allowance is recorded to the extent it is more likely than not that some portion or all of the deferred tax assets will not be realized. A full valuation allowance was recorded on the Company’s U.S. and U.K. deferred tax assets as of June 30, 2026 and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Uncertain tax positions were approximately $2.0 million as of June 30, 2026 and December 31, 2025. The Company’s uncertain tax position relates to U.S. federal and other jurisdictions.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Any assessments or settlements could result in changes to the Company's contingencies related to positions on prior years’ tax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000000"/>
          <w:sz w:val="20"/>
        </w:rPr>
        <w:t>8.</w:t>
      </w:r>
      <w:r>
        <w:rPr>
          <w:color w:val="000000"/>
        </w:rPr>
        <w:t>    </w:t>
      </w:r>
      <w:r>
        <w:rPr>
          <w:rFonts w:ascii="Times New Roman;serif" w:hAnsi="Times New Roman;serif"/>
          <w:b/>
          <w:color w:val="000000"/>
          <w:sz w:val="20"/>
        </w:rPr>
        <w:t>EARNINGS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outstanding common stock options, unvested restricted stock, and unvested performance stock units representing 4,108 shares were excluded from the computation of diluted earnings per share as their inclusion would have been anti-dilutive.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outstanding common stock options, unvested restricted stock, and unvested performance stock units representing 581 shares were excluded from the computation of diluted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outstanding common stock options, unvested restricted stock, and unvested performance stock units representing 913 shares and 618 shares, respectively, were excluded from the computation of diluted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9.     STOCKHOLDERS'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the Company's management through various methods in compliance with applicable state and federal securities laws. The Company repurchased 0.6 million and 1.8 million shares of its common stock under the Repurchase Program during the three months ended June 30, 2026 and 2025. The Company repurchased 2.4 million and 1.8 million shares of its common stock under the Repurchase Program during the six months ended June 30, 2026 and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reconciliation of the changes in stockholders' equity for the three and six months ended June 30, 2026 and 2025 is as follows:</w:t>
      </w:r>
    </w:p>
    <w:tbl>
      <w:tblPr>
        <w:tblW w:w="10205" w:type="dxa"/>
        <w:jc w:val="left"/>
        <w:tblInd w:w="0" w:type="dxa"/>
        <w:tblLayout w:type="fixed"/>
        <w:tblCellMar>
          <w:top w:w="28" w:type="dxa"/>
          <w:left w:w="28" w:type="dxa"/>
          <w:bottom w:w="28" w:type="dxa"/>
          <w:right w:w="28" w:type="dxa"/>
        </w:tblCellMar>
      </w:tblPr>
      <w:tblGrid>
        <w:gridCol w:w="887"/>
        <w:gridCol w:w="547"/>
        <w:gridCol w:w="549"/>
        <w:gridCol w:w="360"/>
        <w:gridCol w:w="361"/>
        <w:gridCol w:w="197"/>
        <w:gridCol w:w="109"/>
        <w:gridCol w:w="109"/>
        <w:gridCol w:w="109"/>
        <w:gridCol w:w="211"/>
        <w:gridCol w:w="406"/>
        <w:gridCol w:w="109"/>
        <w:gridCol w:w="109"/>
        <w:gridCol w:w="109"/>
        <w:gridCol w:w="109"/>
        <w:gridCol w:w="222"/>
        <w:gridCol w:w="872"/>
        <w:gridCol w:w="115"/>
        <w:gridCol w:w="109"/>
        <w:gridCol w:w="109"/>
        <w:gridCol w:w="109"/>
        <w:gridCol w:w="268"/>
        <w:gridCol w:w="938"/>
        <w:gridCol w:w="140"/>
        <w:gridCol w:w="109"/>
        <w:gridCol w:w="109"/>
        <w:gridCol w:w="109"/>
        <w:gridCol w:w="215"/>
        <w:gridCol w:w="865"/>
        <w:gridCol w:w="111"/>
        <w:gridCol w:w="109"/>
        <w:gridCol w:w="109"/>
        <w:gridCol w:w="109"/>
        <w:gridCol w:w="211"/>
        <w:gridCol w:w="826"/>
        <w:gridCol w:w="160"/>
      </w:tblGrid>
      <w:tr>
        <w:trPr/>
        <w:tc>
          <w:tcPr>
            <w:tcW w:w="8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Balance at December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70,391 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531,393 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(18,404)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(172,162)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340,827 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Vesting of restricted stock and performance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and retirement of common shares in satisfaction of minimum tax withholdings for vested restricted stock and performance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Shares repurchased and retired in connection with share repurchase program</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(1,768)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Currency translation adjustments</w:t>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(1,633)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Balance at March 31, 2026</w:t>
            </w:r>
          </w:p>
        </w:tc>
        <w:tc>
          <w:tcPr>
            <w:tcW w:w="9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69,397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527,900 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(20,037)</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(194,539)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313,324 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Vesting of restricted stock and performance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and retirement of common shares in satisfaction of minimum tax withholdings for vested restricted stock and performance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Shares repurchased and retired in connection with share repurchase program</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6,249 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Currency translation adjustments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Balance at June 30, 2026</w:t>
            </w:r>
          </w:p>
        </w:tc>
        <w:tc>
          <w:tcPr>
            <w:tcW w:w="91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527,964 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(21,897)</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(188,290)</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317,777 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90"/>
        <w:gridCol w:w="550"/>
        <w:gridCol w:w="552"/>
        <w:gridCol w:w="360"/>
        <w:gridCol w:w="361"/>
        <w:gridCol w:w="196"/>
        <w:gridCol w:w="109"/>
        <w:gridCol w:w="109"/>
        <w:gridCol w:w="109"/>
        <w:gridCol w:w="211"/>
        <w:gridCol w:w="406"/>
        <w:gridCol w:w="109"/>
        <w:gridCol w:w="109"/>
        <w:gridCol w:w="109"/>
        <w:gridCol w:w="109"/>
        <w:gridCol w:w="222"/>
        <w:gridCol w:w="870"/>
        <w:gridCol w:w="114"/>
        <w:gridCol w:w="109"/>
        <w:gridCol w:w="109"/>
        <w:gridCol w:w="109"/>
        <w:gridCol w:w="267"/>
        <w:gridCol w:w="936"/>
        <w:gridCol w:w="140"/>
        <w:gridCol w:w="109"/>
        <w:gridCol w:w="109"/>
        <w:gridCol w:w="109"/>
        <w:gridCol w:w="215"/>
        <w:gridCol w:w="863"/>
        <w:gridCol w:w="111"/>
        <w:gridCol w:w="109"/>
        <w:gridCol w:w="109"/>
        <w:gridCol w:w="109"/>
        <w:gridCol w:w="211"/>
        <w:gridCol w:w="826"/>
        <w:gridCol w:w="160"/>
      </w:tblGrid>
      <w:tr>
        <w:trPr/>
        <w:tc>
          <w:tcPr>
            <w:tcW w:w="89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Balance at December 31, 2024</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74,598 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538,129 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(24,360)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(103,431)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410,338 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Vesting of restricted stock and performance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and retirement of common shares in satisfaction of minimum tax withholdings for vested restricted stock and performance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(16,040)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(16,040)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Currency translation adjustments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Balance at March 31, 2025</w:t>
            </w:r>
          </w:p>
        </w:tc>
        <w:tc>
          <w:tcPr>
            <w:tcW w:w="9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539,875 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(24,122)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(119,471)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396,282 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Vesting of restricted stock and performance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and retirement of common shares in satisfaction of minimum tax withholdings for vested restricted stock and performance stock units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Shares repurchased and retired in connection with share repurchase program</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(19,693)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(19,693)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Currency translation adjustments</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6,751 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Balance at June 30, 2025</w:t>
            </w:r>
          </w:p>
        </w:tc>
        <w:tc>
          <w:tcPr>
            <w:tcW w:w="91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73,735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537,256 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(17,371)</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(139,164)</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380,721 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10.    BUSINESS SEGMENT INFORMATION: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organized on the basis of products and services into a single reportable segment. All products and services reside under the same reporting hierarchy. The Company's reportable segment derives its revenues from the sale of diagnostics products and sample management solutions, as described in Note 1 Summary of Significant Accounting Policies. As the Company has only one reportable segment, there are no inter-segment sales or transfers.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Company's reportable segment are the same as those described in Note 1 Summary of Significant Accounting Policies.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total long-lived assets by geographic area:</w:t>
      </w:r>
    </w:p>
    <w:tbl>
      <w:tblPr>
        <w:tblW w:w="4428"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109"/>
        <w:gridCol w:w="211"/>
        <w:gridCol w:w="721"/>
        <w:gridCol w:w="109"/>
        <w:gridCol w:w="109"/>
        <w:gridCol w:w="109"/>
        <w:gridCol w:w="109"/>
        <w:gridCol w:w="221"/>
        <w:gridCol w:w="757"/>
        <w:gridCol w:w="161"/>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36,254 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51,321 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before="0" w:after="0"/>
        <w:jc w:val="both"/>
        <w:rPr/>
      </w:pPr>
      <w:r>
        <w:rPr/>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reported segment revenues, segment loss, and significant segment expenses:</w:t>
      </w:r>
    </w:p>
    <w:tbl>
      <w:tblPr>
        <w:tblW w:w="10205" w:type="dxa"/>
        <w:jc w:val="left"/>
        <w:tblInd w:w="0" w:type="dxa"/>
        <w:tblLayout w:type="fixed"/>
        <w:tblCellMar>
          <w:top w:w="28" w:type="dxa"/>
          <w:left w:w="28" w:type="dxa"/>
          <w:bottom w:w="28" w:type="dxa"/>
          <w:right w:w="28" w:type="dxa"/>
        </w:tblCellMar>
      </w:tblPr>
      <w:tblGrid>
        <w:gridCol w:w="1730"/>
        <w:gridCol w:w="1142"/>
        <w:gridCol w:w="1146"/>
        <w:gridCol w:w="225"/>
        <w:gridCol w:w="770"/>
        <w:gridCol w:w="116"/>
        <w:gridCol w:w="116"/>
        <w:gridCol w:w="116"/>
        <w:gridCol w:w="116"/>
        <w:gridCol w:w="225"/>
        <w:gridCol w:w="818"/>
        <w:gridCol w:w="116"/>
        <w:gridCol w:w="109"/>
        <w:gridCol w:w="109"/>
        <w:gridCol w:w="109"/>
        <w:gridCol w:w="214"/>
        <w:gridCol w:w="777"/>
        <w:gridCol w:w="110"/>
        <w:gridCol w:w="110"/>
        <w:gridCol w:w="110"/>
        <w:gridCol w:w="110"/>
        <w:gridCol w:w="214"/>
        <w:gridCol w:w="777"/>
        <w:gridCol w:w="110"/>
        <w:gridCol w:w="109"/>
        <w:gridCol w:w="109"/>
        <w:gridCol w:w="109"/>
        <w:gridCol w:w="109"/>
        <w:gridCol w:w="109"/>
        <w:gridCol w:w="165"/>
      </w:tblGrid>
      <w:tr>
        <w:trPr/>
        <w:tc>
          <w:tcPr>
            <w:tcW w:w="17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4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products and services sold </w:t>
            </w:r>
            <w:r>
              <w:rPr>
                <w:rFonts w:ascii="Times New Roman;serif" w:hAnsi="Times New Roman;serif"/>
                <w:b w:val="false"/>
                <w:color w:val="000000"/>
                <w:sz w:val="13"/>
              </w:rPr>
              <w:t>(2)</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(2)</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(2)</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estimated fair value of acquisition-related contingent consideration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(18,026)</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(35,776)</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investment</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(32,863)</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(19,693)</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interest expense and foreign currency gains (losses).</w:t>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The following tables represent additional significant segment expense categories:</w:t>
      </w:r>
    </w:p>
    <w:tbl>
      <w:tblPr>
        <w:tblW w:w="9404" w:type="dxa"/>
        <w:jc w:val="left"/>
        <w:tblInd w:w="0" w:type="dxa"/>
        <w:tblLayout w:type="fixed"/>
        <w:tblCellMar>
          <w:top w:w="28" w:type="dxa"/>
          <w:left w:w="28" w:type="dxa"/>
          <w:bottom w:w="28" w:type="dxa"/>
          <w:right w:w="28" w:type="dxa"/>
        </w:tblCellMar>
      </w:tblPr>
      <w:tblGrid>
        <w:gridCol w:w="1043"/>
        <w:gridCol w:w="917"/>
        <w:gridCol w:w="920"/>
        <w:gridCol w:w="273"/>
        <w:gridCol w:w="798"/>
        <w:gridCol w:w="141"/>
        <w:gridCol w:w="141"/>
        <w:gridCol w:w="141"/>
        <w:gridCol w:w="141"/>
        <w:gridCol w:w="273"/>
        <w:gridCol w:w="798"/>
        <w:gridCol w:w="141"/>
        <w:gridCol w:w="109"/>
        <w:gridCol w:w="109"/>
        <w:gridCol w:w="109"/>
        <w:gridCol w:w="254"/>
        <w:gridCol w:w="744"/>
        <w:gridCol w:w="131"/>
        <w:gridCol w:w="131"/>
        <w:gridCol w:w="131"/>
        <w:gridCol w:w="131"/>
        <w:gridCol w:w="254"/>
        <w:gridCol w:w="744"/>
        <w:gridCol w:w="131"/>
        <w:gridCol w:w="109"/>
        <w:gridCol w:w="109"/>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404" w:type="dxa"/>
        <w:jc w:val="left"/>
        <w:tblInd w:w="0" w:type="dxa"/>
        <w:tblLayout w:type="fixed"/>
        <w:tblCellMar>
          <w:top w:w="28" w:type="dxa"/>
          <w:left w:w="28" w:type="dxa"/>
          <w:bottom w:w="28" w:type="dxa"/>
          <w:right w:w="28" w:type="dxa"/>
        </w:tblCellMar>
      </w:tblPr>
      <w:tblGrid>
        <w:gridCol w:w="1043"/>
        <w:gridCol w:w="917"/>
        <w:gridCol w:w="920"/>
        <w:gridCol w:w="273"/>
        <w:gridCol w:w="798"/>
        <w:gridCol w:w="141"/>
        <w:gridCol w:w="141"/>
        <w:gridCol w:w="141"/>
        <w:gridCol w:w="141"/>
        <w:gridCol w:w="273"/>
        <w:gridCol w:w="798"/>
        <w:gridCol w:w="141"/>
        <w:gridCol w:w="109"/>
        <w:gridCol w:w="109"/>
        <w:gridCol w:w="109"/>
        <w:gridCol w:w="254"/>
        <w:gridCol w:w="744"/>
        <w:gridCol w:w="131"/>
        <w:gridCol w:w="131"/>
        <w:gridCol w:w="131"/>
        <w:gridCol w:w="131"/>
        <w:gridCol w:w="254"/>
        <w:gridCol w:w="744"/>
        <w:gridCol w:w="131"/>
        <w:gridCol w:w="109"/>
        <w:gridCol w:w="109"/>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&amp; Amortization</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11.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BioMedomics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2025, the Company acquired all of the outstanding stock of BioMedomics, pursuant to the terms of an acquisition agreement (the "Acquisition Agreement"). The Company began operating this entity as of the November 12, 2025 closing date. </w:t>
      </w:r>
    </w:p>
    <w:p>
      <w:pPr>
        <w:pStyle w:val="TextBody"/>
        <w:bidi w:val="0"/>
        <w:spacing w:lineRule="auto" w:line="288" w:before="240" w:after="283"/>
        <w:jc w:val="both"/>
        <w:rPr/>
      </w:pPr>
      <w:r>
        <w:rPr>
          <w:rFonts w:ascii="Times New Roman;serif" w:hAnsi="Times New Roman;serif"/>
          <w:b w:val="false"/>
          <w:color w:val="000000"/>
          <w:sz w:val="20"/>
        </w:rPr>
        <w:t>The primary reason for the acquisition of BioMedomics was to expand the Company's diagnostic portfolio by adding SickleSCAN</w:t>
      </w:r>
      <w:r>
        <w:rPr>
          <w:rFonts w:ascii="Times New Roman;serif" w:hAnsi="Times New Roman;serif"/>
          <w:b w:val="false"/>
          <w:color w:val="000000"/>
          <w:sz w:val="13"/>
        </w:rPr>
        <w:t>®</w:t>
      </w:r>
      <w:r>
        <w:rPr>
          <w:rFonts w:ascii="Times New Roman;serif" w:hAnsi="Times New Roman;serif"/>
          <w:b w:val="false"/>
          <w:color w:val="000000"/>
          <w:sz w:val="20"/>
        </w:rPr>
        <w:t xml:space="preserve">, a rapid, point-of-need test for sickle cell disease that is sold outside of the United States.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initial aggregate purchase price of this transaction was funded with cash on hand as shown in the table below:</w:t>
      </w:r>
    </w:p>
    <w:tbl>
      <w:tblPr>
        <w:tblW w:w="3830" w:type="dxa"/>
        <w:jc w:val="left"/>
        <w:tblInd w:w="0" w:type="dxa"/>
        <w:tblLayout w:type="fixed"/>
        <w:tblCellMar>
          <w:top w:w="28" w:type="dxa"/>
          <w:left w:w="28" w:type="dxa"/>
          <w:bottom w:w="28" w:type="dxa"/>
          <w:right w:w="28" w:type="dxa"/>
        </w:tblCellMar>
      </w:tblPr>
      <w:tblGrid>
        <w:gridCol w:w="1032"/>
        <w:gridCol w:w="906"/>
        <w:gridCol w:w="911"/>
        <w:gridCol w:w="211"/>
        <w:gridCol w:w="61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BioMedomics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paid off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fund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Initial aggregate purchase price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Acquisition Agreement, the Company agreed to pay up to $5.0 million of contingent consideration based on the achievement of sales thresholds before December 31, 2031. The acquisition-date fair value of the earnout contingent consideration was $0.2 million. The range of outcome for the earnout contingent consideration is zero to $5.0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incurred a total of $0.5 million of acquisition related costs, including accounting, legal, and other professional fees, all of which were expensed and reported as a component of general and administrative expenses in the consolidated statement of operations for the year ended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the assets acquired and liabilities assumed as of the acquisition date:</w:t>
      </w:r>
    </w:p>
    <w:tbl>
      <w:tblPr>
        <w:tblW w:w="5016" w:type="dxa"/>
        <w:jc w:val="left"/>
        <w:tblInd w:w="0" w:type="dxa"/>
        <w:tblLayout w:type="fixed"/>
        <w:tblCellMar>
          <w:top w:w="28" w:type="dxa"/>
          <w:left w:w="28" w:type="dxa"/>
          <w:bottom w:w="28" w:type="dxa"/>
          <w:right w:w="28" w:type="dxa"/>
        </w:tblCellMar>
      </w:tblPr>
      <w:tblGrid>
        <w:gridCol w:w="1460"/>
        <w:gridCol w:w="1286"/>
        <w:gridCol w:w="1289"/>
        <w:gridCol w:w="211"/>
        <w:gridCol w:w="61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Assets Acquired </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Developed technology intangible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 of contingent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Cash Paid (net of cash acquired of $25)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was allocated to the tangible assets and identifiable intangible asset acquired and liabilities assumed based on their acquisition-date estimate fair values. The identifiable intangible asset was developed technology. The developed technology was all assigned a ten year useful 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with the assistance of an independent valuation specialist, assessed the fair value of the intangible asset and contingent consideration of BioMedomics. The fair values recorded as of November 12, 2025 are based on significant inputs that are not observable in the market and thus represent a fair value measurement categorized within Level 3 of the fair value hierarchy.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acquired developed technology was determined using the multi-period excess earnings method, which required judgment in estimating appropriate cash flows, discount rate, survival factor, and remaining useful life.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earnout contingent consideration was determined using the Monte Carlo simulation model, which required judgment in estimating expected revenue, volatility, expected discount rate and risk-free interest 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is calculated as the difference between the acquisition date fair value of the consideration transferred and the fair value of the net assets acquired, and represents the future economic benefits that the Company expects to achieve as a result of the acquisition. The Company believes the goodwill related to the acquisition was a result of BioMedomics providing a product that will enable the Company to leverage the product with existing and new customers. The goodwill is not deductible for income tax purposes.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evaluate the fair value of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 result in a corresponding adjustment to these assets and liabilities, including goodwill. The determination of the estimated fair values of all assets acquired was completed as of June 30, 2026. </w:t>
      </w:r>
    </w:p>
    <w:p>
      <w:pPr>
        <w:pStyle w:val="TextBody"/>
        <w:bidi w:val="0"/>
        <w:spacing w:lineRule="auto" w:line="288" w:before="240" w:after="283"/>
        <w:jc w:val="both"/>
        <w:rPr/>
      </w:pPr>
      <w:r>
        <w:rPr>
          <w:rFonts w:ascii="Times New Roman;serif" w:hAnsi="Times New Roman;serif"/>
          <w:b w:val="false"/>
          <w:color w:val="000000"/>
          <w:sz w:val="20"/>
        </w:rPr>
        <w:t>Revenues from BioMedomics consist of sales from the SickleSCAN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test. Effective as of November 12, 2025, the financial results of BioMedomics are included in the consolidated financial results of the Company. BioMedomics contributed $0.1 million and $1.1 thousand of revenue and net income, respectively, to the consolidated statement of operations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Unaudited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results presented below include the results of the BioMedomics acquisition as if it had been consummated as of January 1, 2025. The unaudited pro forma results include amortization of the acquired intangible asset, stock compensation, and lease expense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 been consummated as of January 1, 2025.</w:t>
      </w:r>
    </w:p>
    <w:p>
      <w:pPr>
        <w:pStyle w:val="TextBody"/>
        <w:bidi w:val="0"/>
        <w:spacing w:before="0" w:after="0"/>
        <w:jc w:val="both"/>
        <w:rPr/>
      </w:pPr>
      <w:r>
        <w:rPr/>
      </w:r>
    </w:p>
    <w:tbl>
      <w:tblPr>
        <w:tblW w:w="7745" w:type="dxa"/>
        <w:jc w:val="left"/>
        <w:tblInd w:w="0" w:type="dxa"/>
        <w:tblLayout w:type="fixed"/>
        <w:tblCellMar>
          <w:top w:w="28" w:type="dxa"/>
          <w:left w:w="28" w:type="dxa"/>
          <w:bottom w:w="28" w:type="dxa"/>
          <w:right w:w="28" w:type="dxa"/>
        </w:tblCellMar>
      </w:tblPr>
      <w:tblGrid>
        <w:gridCol w:w="439"/>
        <w:gridCol w:w="387"/>
        <w:gridCol w:w="388"/>
        <w:gridCol w:w="539"/>
        <w:gridCol w:w="2033"/>
        <w:gridCol w:w="278"/>
        <w:gridCol w:w="109"/>
        <w:gridCol w:w="109"/>
        <w:gridCol w:w="109"/>
        <w:gridCol w:w="502"/>
        <w:gridCol w:w="1894"/>
        <w:gridCol w:w="259"/>
        <w:gridCol w:w="109"/>
        <w:gridCol w:w="109"/>
        <w:gridCol w:w="109"/>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revenues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31,491 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61,695 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12.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Sherlock has active third-party license agreements entered into in order to advance and obtain technologies and services related to the business. Under these licenses, the Company is required to make up to $3.3 million of cash payments upon the achievement of certain scientific and commercial milestones as well as low single digit royalty payments on product sales. The Company has the right to terminate the licenses.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and that remains in place. On February 11, 2026, the Court issued an order scheduling trial for January 17,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13.     SUBSEQUENT EVENTS: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submitted a 510(k) to the FDA for clearance of its rapid molecular self-test for CT/NG. Following constructive interactions with the FDA, the Company is updating its submission plan for the CT/NG Test on the Sherlock platform to incorporate feedback received from the agency. As part of this process, in July 2026, the Company elected to withdraw its current submission and plans to pursue a future submission based on a new clinical trial. Due to the withdrawal, the Company has concluded that it will not obtain FDA clearance by December 31, 2026 as outlined in the terms of the merger agreement. Accordingly, the Company will not be obligated to pay the milestone contingent payments and the milestone contingent consideration liability was reduced to zero. Furthermore, as a result of the delay in the commercialization of the CT/NG product, the royalty-based contingent consideration liability was reduced to reflect the delay in recognizing revenue from the sale of the CT/NG product. These reductions in the contingent consideration liabilities are reflected in the change in the estimated fair value of acquisition-related contingent consideration line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2025 filed with the Securities and Exchange Commission on March 9, 2026.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2025 and the “Risk Factors” section of subsequent Quarterly Reports on Form 10-Q, the Company's actual results or timing of certain events could differ materially from the results or timing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Business Overview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 consists of the development, manufacture, marketing, sale and distribution of simple, easy to use diagnostic products and specimen collection devices using its proprietary technologies, as well as other diagnostic products including immunoassays and other in vitro diagnostic tests that are used on other specimen types. The Company's diagnostic products include tests for diseases including HIV, Hepatitis C, Syphilis, Sickle Cell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over-the-counter ("OTC") market in the U.S. and, in the case of the HIV and HCV products, as a self-test to individuals in a number of other countries, including, for the HIV products, as an oral swab in-home test for HIV-1 and HIV-2 in Europe, and for the HCV products, as an OTC test. </w:t>
      </w:r>
    </w:p>
    <w:p>
      <w:pPr>
        <w:pStyle w:val="TextBody"/>
        <w:bidi w:val="0"/>
        <w:spacing w:lineRule="auto" w:line="288" w:before="240" w:after="283"/>
        <w:jc w:val="both"/>
        <w:rPr/>
      </w:pPr>
      <w:r>
        <w:rPr>
          <w:rFonts w:ascii="Times New Roman;serif" w:hAnsi="Times New Roman;serif"/>
          <w:b w:val="false"/>
          <w:color w:val="000000"/>
          <w:sz w:val="20"/>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and companion animal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Initial sales of this product for research use only are occurring primarily through distributors and collaborations in the liquid biopsy and sexually transmitted disease markets. In December 2025, the Company submitted a 510(k) to the FDA for clearance of its Colli-Pee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at-home urine collection device for sexually transmitted infections, which was approved in June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Risk Assessment Testing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announced the discontinuance of sales of its risk assessment product line, which was completed in the second quarter of 2025. Sales of its risk assessment products did not contribute to revenues during the six months ended June 30, 2026. Sales of its risk assessment products contributed $0.4 million to revenues during the three months ended June 30, 2025 and $1.9 million for the six months ended June 30, 2025. During the first quarter of 2025, the Company sold certain assets that made up the risk assessment product line including certain intellectual property, contracts, permits, and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June 2026, the Company received clearance from the FDA of its Colli-Pee™•Dx Urine Collection Kit for use on Roche's tests for Chlamydia trachomatis (CT), Neisseria gonorrhoeae (NG), Trichomonas vaginalis (TV), and Mycoplasma genitalium (MG) and to run on Roche’s cobas® 5800, 6800, and 8800 molecular diagnostic systems. The Colli-Pee™•Dx Urine Collection Kit will be sold by the Company's subsidiary DNA Genotek Inc. and supports at-home self-collection of first-void urine, enabling convenient sample collection at-home or in any private setting for both male and female patients.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2026, the Company received Emergency Use Authorization ("EUA") from the FDA for its second generation OraQuick™ Ebola Rapid Antigen Test for use with whole blood in live patients, as well as cadaveric oral fluid from individuals suspected to have had Ebola disease at the time of death. The test can detect all four Ebola viruses currently known to cause disease in humans: Bundibugyo, Zaire, Sudan, and Taï Forest. The OraQuick® Ebola Rapid Antigen Test originally received De Novo marketing authorization from the FDA in 2019, making it the first and only rapid antigen test to receive full authorization for the detection of Ebola virus. The second-generation test authorized by the FDA has increased sensitivity, new chemistry, and a more automated manufacturing process. It was developed in cooperation with the Biomedical Advanced Research and Development Authority (BARDA) under a contract granted in 2022. The current Ebola epidemic, centered in the Democratic Republic of the Congo with cases extending into neighboring Uganda, has already resulted in hundreds of deaths and prompted the World Health Organization to declare a global public health emergency. The Company is ramping up production of the OraQuick™ Ebola 2.0 Rapid Antigen Test to meet potential demand and expand access to a proven, reliable test.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submitted a 510(k) to the FDA for clearance of its rapid molecular self-test for CT/NG. Following constructive interactions with the FDA, the Company is updating its submission plan for the CT/NG test on the Sherlock platform to incorporate feedback received from the agency. As part of this process, in July 2026, the Company elected to withdraw its current submission and plans to pursue a future submission. The clinical studies that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performed demonstrated strong performance compared with centralized laboratory molecular diagnostic methods, and the Company remains encouraged by the product’s performance and its potential to serve an important public health need.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 (all dollar amounts in tables are presented in thousands)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the three months ended June 30, 2026 compared to June 30,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NET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total consolidated net revenues for the three months ended June 30, 2026 and 2025:</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77" w:type="dxa"/>
        <w:jc w:val="left"/>
        <w:tblInd w:w="0" w:type="dxa"/>
        <w:tblLayout w:type="fixed"/>
        <w:tblCellMar>
          <w:top w:w="28" w:type="dxa"/>
          <w:left w:w="28" w:type="dxa"/>
          <w:bottom w:w="28" w:type="dxa"/>
          <w:right w:w="28" w:type="dxa"/>
        </w:tblCellMar>
      </w:tblPr>
      <w:tblGrid>
        <w:gridCol w:w="1149"/>
        <w:gridCol w:w="1011"/>
        <w:gridCol w:w="1019"/>
        <w:gridCol w:w="211"/>
        <w:gridCol w:w="721"/>
        <w:gridCol w:w="109"/>
        <w:gridCol w:w="109"/>
        <w:gridCol w:w="109"/>
        <w:gridCol w:w="109"/>
        <w:gridCol w:w="211"/>
        <w:gridCol w:w="721"/>
        <w:gridCol w:w="109"/>
        <w:gridCol w:w="109"/>
        <w:gridCol w:w="109"/>
        <w:gridCol w:w="109"/>
        <w:gridCol w:w="269"/>
        <w:gridCol w:w="271"/>
        <w:gridCol w:w="483"/>
        <w:gridCol w:w="109"/>
        <w:gridCol w:w="109"/>
        <w:gridCol w:w="109"/>
        <w:gridCol w:w="241"/>
        <w:gridCol w:w="225"/>
        <w:gridCol w:w="524"/>
        <w:gridCol w:w="210"/>
        <w:gridCol w:w="210"/>
        <w:gridCol w:w="210"/>
        <w:gridCol w:w="271"/>
        <w:gridCol w:w="210"/>
        <w:gridCol w:w="611"/>
      </w:tblGrid>
      <w:tr>
        <w:trPr/>
        <w:tc>
          <w:tcPr>
            <w:tcW w:w="114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Total Net Revenues</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Diagnostics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Sample Management Solutions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products and services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Risk Assessment Testing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and services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Non-product and services revenues</w:t>
            </w:r>
            <w:r>
              <w:rPr>
                <w:color w:val="000000"/>
              </w:rPr>
              <w:t xml:space="preserve">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Includes HIV, HCV, Syphilis, SickleSCAN</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16"/>
        </w:rPr>
        <w:t>and SureQuick</w:t>
      </w:r>
      <w:r>
        <w:rPr>
          <w:rFonts w:ascii="null;sans-serif" w:hAnsi="null;sans-serif"/>
          <w:b w:val="false"/>
          <w:color w:val="000000"/>
          <w:sz w:val="10"/>
        </w:rPr>
        <w:t>®</w:t>
      </w:r>
      <w:r>
        <w:rPr>
          <w:color w:val="000000"/>
        </w:rPr>
        <w:t xml:space="preserve"> </w:t>
      </w:r>
      <w:r>
        <w:rPr>
          <w:rFonts w:ascii="Times New Roman;serif" w:hAnsi="Times New Roman;serif"/>
          <w:b w:val="false"/>
          <w:color w:val="000000"/>
          <w:sz w:val="16"/>
        </w:rPr>
        <w:t>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Includes Genomics, Microbiome, and Colli-Pee</w:t>
      </w:r>
      <w:r>
        <w:rPr>
          <w:rFonts w:ascii="null;sans-serif" w:hAnsi="null;sans-serif"/>
          <w:b w:val="false"/>
          <w:color w:val="000000"/>
          <w:sz w:val="10"/>
        </w:rPr>
        <w:t>®</w:t>
      </w:r>
      <w:r>
        <w:rPr>
          <w:color w:val="000000"/>
        </w:rPr>
        <w:t xml:space="preserve"> </w:t>
      </w:r>
      <w:r>
        <w:rPr>
          <w:rFonts w:ascii="Times New Roman;serif" w:hAnsi="Times New Roman;serif"/>
          <w:b w:val="false"/>
          <w:color w:val="000000"/>
          <w:sz w:val="16"/>
        </w:rPr>
        <w:t>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Includes COVID-19 Sample Management Solutions and COVID-19 Diagnostics 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(4)</w:t>
      </w:r>
      <w:r>
        <w:rPr>
          <w:rFonts w:ascii="Times New Roman;serif" w:hAnsi="Times New Roman;serif"/>
          <w:b w:val="false"/>
          <w:color w:val="000000"/>
          <w:sz w:val="16"/>
        </w:rPr>
        <w:t>Includes substance abuse testing 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(5)</w:t>
      </w:r>
      <w:r>
        <w:rPr>
          <w:rFonts w:ascii="Times New Roman;serif" w:hAnsi="Times New Roman;serif"/>
          <w:b w:val="false"/>
          <w:color w:val="000000"/>
          <w:sz w:val="16"/>
        </w:rPr>
        <w:t>Includes funded research and development contracts, royalty income and grant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Product and Services Revenues</w:t>
      </w:r>
    </w:p>
    <w:p>
      <w:pPr>
        <w:pStyle w:val="TextBody"/>
        <w:bidi w:val="0"/>
        <w:spacing w:lineRule="auto" w:line="288" w:before="120" w:after="283"/>
        <w:jc w:val="both"/>
        <w:rPr/>
      </w:pPr>
      <w:r>
        <w:rPr>
          <w:rFonts w:ascii="Times New Roman;serif" w:hAnsi="Times New Roman;serif"/>
          <w:b w:val="false"/>
          <w:color w:val="000000"/>
          <w:sz w:val="20"/>
        </w:rPr>
        <w:t>Consolidated net revenues decreased 2%</w:t>
      </w:r>
      <w:r>
        <w:rPr>
          <w:color w:val="000000"/>
        </w:rPr>
        <w:t xml:space="preserve"> </w:t>
      </w:r>
      <w:r>
        <w:rPr>
          <w:rFonts w:ascii="Times New Roman;serif" w:hAnsi="Times New Roman;serif"/>
          <w:b w:val="false"/>
          <w:color w:val="000000"/>
          <w:sz w:val="20"/>
        </w:rPr>
        <w:t xml:space="preserve">to $30.6 million for the three months ended June 30, 2026 from $31.2 million for the three months ended June 30, 2025. </w:t>
      </w:r>
    </w:p>
    <w:p>
      <w:pPr>
        <w:pStyle w:val="TextBody"/>
        <w:bidi w:val="0"/>
        <w:spacing w:lineRule="auto" w:line="288" w:before="240" w:after="283"/>
        <w:jc w:val="both"/>
        <w:rPr/>
      </w:pPr>
      <w:r>
        <w:rPr>
          <w:rFonts w:ascii="Times New Roman;serif" w:hAnsi="Times New Roman;serif"/>
          <w:b w:val="false"/>
          <w:color w:val="000000"/>
          <w:sz w:val="20"/>
        </w:rPr>
        <w:t>Sales of the Company's Diagnostics products increased 1% to $19.4 million for the three months ended June 30, 2026 from $19.2 million for the three months ended June 30, 2025. This increase was primarily driven by higher syphilis sales resulting from new customers in the women's health market and the inclusion of SickleSCAN</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revenues, a new revenue stream acquired through the BioMedomics, Inc. acquisition completed in November 2025. These increases were partially offset by lower HCV revenues due to the expiration and non-renewal of a large customer's HCV testing program, as well as reduced funding associated with other programs. The increase was further offset by lower domestic HIV revenues attributable to lower purchases under the Together Take Me Home Program.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Sample Management Solutions revenues remained largely flat at $9.9 million for the three months ended June 30, 2026 and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Risk Assessment Testing revenues are $0 in 2026 as the product line was discontinued and wound down in early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Non-Product and Services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Non-product and services revenues decreased 34% to $0.9 million for the three months ended June 30, 2026 from $1.4 million for the three months ended June 30, 2025 primarily due to the completion of various funded R&amp;D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OPERATING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margin increased to 43.5% for the three months ended June 30, 2026 compared to 42.1% for the three months ended June 30, 2025. The drivers of the margin increase are attributable to better absorption of fixed overhead costs due to operational efficiencies, partially offset by a negative product mix and lower non-product revenues which contribute 100% to gross margin.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operating income for the three months ended June 30, 2026 was $5.4 million compared to an operating loss of $18.0 million for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17% to $9.4 million for the three months ended June 30, 2026 from $11.4 million for the three months ended June 30, 2025 primarily due to lower clinical trial costs associated with the Chlamydia Trachomatis (CT) and Neisseria Gonorrhoeae (NG) device.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4% to $6.6 million for the three months ended June 30, 2026 from $6.4 million for the three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14% to $14.4 million for the three months ended June 30, 2026 from $12.7 million for the three months ended June 30, 2025 largely due to an increase in legal fees and in professional services related to the proxy statement and related stockholder activism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above contributed to the Company's operating income of $5.4 million for the three months ended June 30, 2026, which included non-cash charges of $2.4 million for depreciation and amortization and $2.3 million for stock-based compensation, and $22.6 million in non-cash income reflected in the change in the estimated fair value of acquisition-related contingent consideration. The Company's operating loss of $18.0 million for the three months ended June 30, 2025 included non-cash charges of $3.2 million for stock-based compensation, $2.5 million for depreciation and amortization, and $0.7 million for the change in the estimated fair value of acquisition-related contingent consideration.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for the three months ended June 30, 2026 was $1.4 million compared to $1.1 million for the three months ended June 30, 2025. The increase in other income is due to lower interest income offset by lower foreign currency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believe the full valuation allowance established against its total U.S. and U.K. deferred tax asset is appropriate as the facts and circumstances necessitating the allowance have not changed. For the three months ended June 30, 2026 and 2025, the Company recorded income tax expense of $0.1 million and $2.0 million, respectively. During the three months ended June 30, 2026 and 2025, the Company had an effective tax rate of 0.8% and (11.8)%, respectively. The increase in the Company's tax rate was primarily due to the recording of a uncertain tax position in 2025 and projected break-even results in foreign operations in 2026 versus projected losses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 the six months ended June 30, 2026 compared to June 30,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NET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shows an outline of total consolidated net revenues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48"/>
        <w:gridCol w:w="823"/>
        <w:gridCol w:w="821"/>
        <w:gridCol w:w="211"/>
        <w:gridCol w:w="721"/>
        <w:gridCol w:w="109"/>
        <w:gridCol w:w="109"/>
        <w:gridCol w:w="109"/>
        <w:gridCol w:w="109"/>
        <w:gridCol w:w="211"/>
        <w:gridCol w:w="721"/>
        <w:gridCol w:w="109"/>
        <w:gridCol w:w="109"/>
        <w:gridCol w:w="109"/>
        <w:gridCol w:w="109"/>
        <w:gridCol w:w="260"/>
        <w:gridCol w:w="262"/>
        <w:gridCol w:w="483"/>
        <w:gridCol w:w="109"/>
        <w:gridCol w:w="109"/>
        <w:gridCol w:w="109"/>
        <w:gridCol w:w="245"/>
        <w:gridCol w:w="221"/>
        <w:gridCol w:w="455"/>
        <w:gridCol w:w="183"/>
        <w:gridCol w:w="183"/>
        <w:gridCol w:w="183"/>
        <w:gridCol w:w="276"/>
        <w:gridCol w:w="206"/>
        <w:gridCol w:w="455"/>
        <w:gridCol w:w="109"/>
        <w:gridCol w:w="109"/>
        <w:gridCol w:w="109"/>
        <w:gridCol w:w="109"/>
        <w:gridCol w:w="109"/>
        <w:gridCol w:w="109"/>
        <w:gridCol w:w="109"/>
        <w:gridCol w:w="109"/>
        <w:gridCol w:w="109"/>
        <w:gridCol w:w="157"/>
      </w:tblGrid>
      <w:tr>
        <w:trPr/>
        <w:tc>
          <w:tcPr>
            <w:tcW w:w="94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8"/>
            <w:tcBorders/>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of 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Diagnostics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Sample Management Solutions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products and services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COVID-19 Diagnostics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Risk Assessment Testing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and services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Non-product and services revenues</w:t>
            </w:r>
            <w:r>
              <w:rPr>
                <w:color w:val="000000"/>
              </w:rPr>
              <w:t xml:space="preserve">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pPr>
      <w:r>
        <w:rPr>
          <w:rFonts w:ascii="Times New Roman;serif" w:hAnsi="Times New Roman;serif"/>
          <w:b w:val="false"/>
          <w:color w:val="000000"/>
          <w:sz w:val="10"/>
        </w:rPr>
        <w:t>(1)</w:t>
      </w:r>
      <w:r>
        <w:rPr>
          <w:rFonts w:ascii="Times New Roman;serif" w:hAnsi="Times New Roman;serif"/>
          <w:b w:val="false"/>
          <w:color w:val="000000"/>
          <w:sz w:val="16"/>
        </w:rPr>
        <w:t>Includes HIV, HCV, Syphilis, SickleSCAN</w:t>
      </w:r>
      <w:r>
        <w:rPr>
          <w:rFonts w:ascii="Times New Roman;serif" w:hAnsi="Times New Roman;serif"/>
          <w:b w:val="false"/>
          <w:color w:val="000000"/>
          <w:sz w:val="10"/>
        </w:rPr>
        <w:t>®</w:t>
      </w:r>
      <w:r>
        <w:rPr>
          <w:color w:val="000000"/>
        </w:rPr>
        <w:t xml:space="preserve"> </w:t>
      </w:r>
      <w:r>
        <w:rPr>
          <w:rFonts w:ascii="Times New Roman;serif" w:hAnsi="Times New Roman;serif"/>
          <w:b w:val="false"/>
          <w:color w:val="000000"/>
          <w:sz w:val="16"/>
        </w:rPr>
        <w:t>and SureQuick</w:t>
      </w:r>
      <w:r>
        <w:rPr>
          <w:rFonts w:ascii="null;sans-serif" w:hAnsi="null;sans-serif"/>
          <w:b w:val="false"/>
          <w:color w:val="000000"/>
          <w:sz w:val="16"/>
        </w:rPr>
        <w:t>®</w:t>
      </w:r>
      <w:r>
        <w:rPr>
          <w:color w:val="000000"/>
        </w:rPr>
        <w:t xml:space="preserve"> </w:t>
      </w:r>
      <w:r>
        <w:rPr>
          <w:rFonts w:ascii="Times New Roman;serif" w:hAnsi="Times New Roman;serif"/>
          <w:b w:val="false"/>
          <w:color w:val="000000"/>
          <w:sz w:val="16"/>
        </w:rPr>
        <w:t>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(2)</w:t>
      </w:r>
      <w:r>
        <w:rPr>
          <w:rFonts w:ascii="Times New Roman;serif" w:hAnsi="Times New Roman;serif"/>
          <w:b w:val="false"/>
          <w:color w:val="000000"/>
          <w:sz w:val="16"/>
        </w:rPr>
        <w:t>Includes Genomics, Microbiome, and Colli-Pee</w:t>
      </w:r>
      <w:r>
        <w:rPr>
          <w:rFonts w:ascii="null;sans-serif" w:hAnsi="null;sans-serif"/>
          <w:b w:val="false"/>
          <w:color w:val="000000"/>
          <w:sz w:val="16"/>
        </w:rPr>
        <w:t>®</w:t>
      </w:r>
      <w:r>
        <w:rPr>
          <w:color w:val="000000"/>
        </w:rPr>
        <w:t xml:space="preserve"> </w:t>
      </w:r>
      <w:r>
        <w:rPr>
          <w:rFonts w:ascii="Times New Roman;serif" w:hAnsi="Times New Roman;serif"/>
          <w:b w:val="false"/>
          <w:color w:val="000000"/>
          <w:sz w:val="16"/>
        </w:rPr>
        <w:t>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(3)</w:t>
      </w:r>
      <w:r>
        <w:rPr>
          <w:rFonts w:ascii="Times New Roman;serif" w:hAnsi="Times New Roman;serif"/>
          <w:b w:val="false"/>
          <w:color w:val="000000"/>
          <w:sz w:val="16"/>
        </w:rPr>
        <w:t>Includes substance abuse testing product revenues.</w:t>
      </w:r>
    </w:p>
    <w:p>
      <w:pPr>
        <w:pStyle w:val="TextBody"/>
        <w:bidi w:val="0"/>
        <w:spacing w:lineRule="auto" w:line="288" w:before="0" w:after="0"/>
        <w:ind w:left="0" w:right="0" w:hanging="270"/>
        <w:jc w:val="both"/>
        <w:rPr/>
      </w:pPr>
      <w:r>
        <w:rPr>
          <w:rFonts w:ascii="Times New Roman;serif" w:hAnsi="Times New Roman;serif"/>
          <w:b w:val="false"/>
          <w:color w:val="000000"/>
          <w:sz w:val="10"/>
        </w:rPr>
        <w:t>(4)</w:t>
      </w:r>
      <w:r>
        <w:rPr>
          <w:rFonts w:ascii="Times New Roman;serif" w:hAnsi="Times New Roman;serif"/>
          <w:b w:val="false"/>
          <w:color w:val="000000"/>
          <w:sz w:val="16"/>
        </w:rPr>
        <w:t>Includes funded research and development contracts, royalty income, and grant revenues.</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Product and Services Revenues</w:t>
      </w:r>
      <w:r>
        <w:rPr>
          <w:color w:val="000000"/>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net revenues decreased 4% to $58.6 million for the six months ended June 30, 2026 from $61.2 million for the six months ended June 30, 2025. </w:t>
      </w:r>
    </w:p>
    <w:p>
      <w:pPr>
        <w:pStyle w:val="TextBody"/>
        <w:bidi w:val="0"/>
        <w:spacing w:lineRule="auto" w:line="288" w:before="240" w:after="283"/>
        <w:jc w:val="both"/>
        <w:rPr/>
      </w:pPr>
      <w:r>
        <w:rPr>
          <w:rFonts w:ascii="Times New Roman;serif" w:hAnsi="Times New Roman;serif"/>
          <w:b w:val="false"/>
          <w:color w:val="000000"/>
          <w:sz w:val="20"/>
        </w:rPr>
        <w:t>Sales of the Company's Diagnostics products decreased 2% to $36.2 million for the six months ended June 30, 2026 from $36.9 million for the six months ended June 30, 2025. This decline is primarily attributable to lower international HCV revenues driven by reduced reimbursement subsidies in the Asian market and a large order shipped into Africa in the second quarter of 2025 that did not recur. Domestic HCV revenues also declined as a result of a large customer's HCV testing programs ending and not being renewed, as well as reduced funding associated with other programs. In addition, domestic HIV revenues decreased due to lower purchases under the Together Take Me Home program partially offset by higher international revenues associated with timing of customer orders. These decreases were partially offset by higher syphilis sales driven by new customers in the women's health market and the inclusion of SickleSCAN</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revenues, a new revenue stream acquired through the BioMedomics, Inc. acquisition completed in November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Sample Management Solutions revenues remained largely flat at $18.9 million for the six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COVID-19 Diagnostics revenues decreased 96% to $19.0 thousand for the six months ended June 30, 2026 from $485.0 thousand for the six months ended June 30, 2025 due to lower overall demand for COVID-19 testing.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Risk Assessment testing revenues decreased to zero for the six months ended June 30, 2026 from $1.9 million for the six months ended June 30, 2025. The Company discontinued this line of business at the end of 2024 and the business wound down in early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Non-Product and Services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Non-product and services revenues increased 6% to $2.5 million for the six months ended June 30, 2026 from $2.3 million for the six months ended June 30, 2025 primarily due to an increase in funded R&amp;D under certain BARDA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OPERATING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margin increased to 42.9% for the six months ended June 30, 2026 from 41.6% for the six months ended June 30, 2025. The largest driver of the margin improvement is better absorption of fixed overhead costs due to operational efficiencies partially offset by higher scrap expense.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operating loss for the six months ended June 30, 2026 was $17.8 million, compared to a $35.8 million operating loss reported for the six months ended June 30, 2025. Results for the six months ended June 30, 2026 benefited from a $22.5 million change in the estimated fair value of acquisition-related contingent consideration but were negatively impacted by the decrease in revenues and by higher operating expenses. </w:t>
      </w:r>
    </w:p>
    <w:p>
      <w:pPr>
        <w:pStyle w:val="TextBody"/>
        <w:bidi w:val="0"/>
        <w:spacing w:lineRule="auto" w:line="288" w:before="240" w:after="283"/>
        <w:jc w:val="both"/>
        <w:rPr/>
      </w:pPr>
      <w:r>
        <w:rPr>
          <w:rFonts w:ascii="Times New Roman;serif" w:hAnsi="Times New Roman;serif"/>
          <w:b w:val="false"/>
          <w:color w:val="000000"/>
          <w:sz w:val="20"/>
        </w:rPr>
        <w:t>Research and development expenses increased 10% to $23.1 million for the six months ended June 30, 2026 from $21.0 million for the six months ended June 30, 2025 largely due to higher spend incurred for clinical trials for the CT/NG and Colli-Pee</w:t>
      </w:r>
      <w:r>
        <w:rPr>
          <w:rFonts w:ascii="null;sans-serif" w:hAnsi="null;sans-serif"/>
          <w:b w:val="false"/>
          <w:color w:val="000000"/>
          <w:sz w:val="20"/>
        </w:rPr>
        <w:t>® d</w:t>
      </w:r>
      <w:r>
        <w:rPr>
          <w:rFonts w:ascii="Times New Roman;serif" w:hAnsi="Times New Roman;serif"/>
          <w:b w:val="false"/>
          <w:color w:val="000000"/>
          <w:sz w:val="20"/>
        </w:rPr>
        <w:t>evices.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remained largely flat at $13.4 million and $13.2 million for the six months ended June 30, 2026 and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8% to $29.0 million for the six months ended June 30, 2026 from $26.8 million for the six months ended June 30, 2025, largely due to higher professional, consulting, and legal fees associated with the proxy statement, including stockholder activism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above contributed to the Company's operating loss of $17.8 million for the six months ended June 30, 2026, which included non-cash income of $22.5 million reflected in the change in the estimated fair value of acquisition-related contingent consideration, and non-cash charges of $5.1 million for stock-based compensation, and $4.7 million for depreciation and amortization. The Company's operating loss of $35.8 million for the six months ended June 30, 2025 included a non-cash charge of $5.9 million for stock-based compensation, $5.3 million for depreciation and amortization, and $1.2 million for the change in the estimated fair value of acquisition-related contingent consideration.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OTHER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income remained largely flat at $2.9 million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believe the full valuation allowance established against its total U.S. deferred tax asset is appropriate as the facts and circumstances necessitating the allowance have not changed. The Company has not achieved U.S. cumulative pre-tax earnings based on a rolling three year window as the Company has not achieved a level of sustained profitability that would, in its judgment, support the release of the valuation allowance. For the six months ended June 30, 2026 and 2025, the Company recorded income tax benefit and expense of $0.4 million and $1.5 million, respectively. During the six months ended June 30, 2026 and 2025, the Company had an effective tax rate of 2.5% and (4.7)%, respectively. The increase in the Company's tax rate was primarily due to the recording of a uncertain tax position in 2025 and projected break-even results in foreign operations in 2026 versus projected losses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tbl>
      <w:tblPr>
        <w:tblW w:w="5281"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73"/>
        <w:gridCol w:w="1072"/>
        <w:gridCol w:w="19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199,278 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and cash equivalents decreased to $160.6 million at June 30, 2026 from $199.3 million at December 31, 2025. The Company has $84.6 million, or 53%, of its $160.6 million of cash and cash equivalents held by DNAG, the Company's Canadian subsidiary.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working capital decreased to $197.8 million at June 30, 2026 from $222.1 million at December 31, 2025. Working capital is primarily a function of sales, purchase volumes, inventory requirements, and vendor payment terms.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Analysis of the Company's Cash Flows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operating activities was $23.8 million. Cash flows from operations can be significantly impacted by factors such as timing of receipts from customers, inventory purchases, and payments to vendors. The Company's net loss of $16.1 million included non-cash charges of a change in the estimated fair value of acquisition-related contingent consideration of $22.5 million, stock-based compensation expense of $5.1 million, depreciation and amortization expense of $4.7 million, a loss on equity investment of $1.6 million, and other non-cash charges aggregating to $0.2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Company's working capital accounts contributed to cash and included an increase in accrued expenses and other liabilities of $2.9 million largely associated with higher compensation-related accruals, a decrease in prepaid expenses and other assets of $2.5 million resulting from lower deposits paid, an increase of $1.3 million in accounts payable associated with the timing of spend on consulting services and inventory purchases, and an overall decrease in inventory balances of $0.9 million due to an increase in inventory reserves associated with expired inventory and lower COVID-19 inventory levels due to decreased demand. These contributions to cash were offset by an increase in accounts receivable of $3.7 million due to timing of shipments and invoicing and a decrease in deferred revenue of $0.6 million as work on grant projects is completed and earned.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jc w:val="both"/>
        <w:rPr/>
      </w:pPr>
      <w:r>
        <w:rPr>
          <w:rFonts w:ascii="Times New Roman;serif" w:hAnsi="Times New Roman;serif"/>
          <w:b w:val="false"/>
          <w:color w:val="000000"/>
          <w:sz w:val="20"/>
        </w:rPr>
        <w:t>Net cash used in investing activities was $3.3 million for the six months ended June 30, 2026, for purchases of property and equipment</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$8.5 million for the six months ended June 30, 2026, which was largely comprised of $7.0 million to repurchase common stock pursuant to the Company's stock repurchase plan and $1.5 million used for the repurchase of common stock to satisfy withholding taxes related to the vesting of restricted stock awarded to the Company's employees.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Resources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contractual obligations are included in Note 12 of its consolidated financial statements. 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more detailed review of the Company's critical accounting policies is contained in its Annual Report on Form 10-K for the year ended December 31, 2025 filed with the SEC. No material changes have been made to such critical accounting policies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assessment of its sensitivity to market risk since its presentation set forth in Item 7A, "Quantitative and Qualitative Disclosures About Market Risk,"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Evaluation of Disclosure Controls and Procedures</w:t>
      </w:r>
      <w:r>
        <w:rPr>
          <w:rFonts w:ascii="Times New Roman;serif" w:hAnsi="Times New Roman;serif"/>
          <w:b w:val="false"/>
          <w:color w:val="000000"/>
          <w:sz w:val="20"/>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June 30, 2026. Based on that evaluation, the Company’s management, including such officers, concluded that the Company’s disclosure controls and procedures were effective as of June 30, 2026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pStyle w:val="TextBody"/>
        <w:bidi w:val="0"/>
        <w:spacing w:lineRule="auto" w:line="288" w:before="24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Changes in Internal Control Over Financial Reporting</w:t>
      </w:r>
      <w:r>
        <w:rPr>
          <w:rFonts w:ascii="Times New Roman;serif" w:hAnsi="Times New Roman;serif"/>
          <w:b w:val="false"/>
          <w:color w:val="000000"/>
          <w:sz w:val="20"/>
        </w:rPr>
        <w:t>. There was no change in the Company’s internal control over financial reporting that occurred during the three months ended June 30,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NowDiagnostics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14, 2024 the Company filed a complaint against NowDiagnostics, Inc. ("NowDx"), Jody Berry ("Berry") and Janean Young ("Young") in the United States District Court for the Eastern District of Pennsylvania alleging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and that remains in place. On February 11, 2026, the Court issued an order scheduling trial for January 17,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Item 1A, entitled “Risk Factors,” in the Company's Annual Report on Form 10-K for the year ended December 31, 2025 filed with the SEC on March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tbl>
      <w:tblPr>
        <w:tblW w:w="9928" w:type="dxa"/>
        <w:jc w:val="left"/>
        <w:tblInd w:w="0" w:type="dxa"/>
        <w:tblLayout w:type="fixed"/>
        <w:tblCellMar>
          <w:top w:w="28" w:type="dxa"/>
          <w:left w:w="28" w:type="dxa"/>
          <w:bottom w:w="28" w:type="dxa"/>
          <w:right w:w="28" w:type="dxa"/>
        </w:tblCellMar>
      </w:tblPr>
      <w:tblGrid>
        <w:gridCol w:w="914"/>
        <w:gridCol w:w="804"/>
        <w:gridCol w:w="816"/>
        <w:gridCol w:w="109"/>
        <w:gridCol w:w="109"/>
        <w:gridCol w:w="109"/>
        <w:gridCol w:w="444"/>
        <w:gridCol w:w="444"/>
        <w:gridCol w:w="446"/>
        <w:gridCol w:w="109"/>
        <w:gridCol w:w="109"/>
        <w:gridCol w:w="109"/>
        <w:gridCol w:w="289"/>
        <w:gridCol w:w="701"/>
        <w:gridCol w:w="149"/>
        <w:gridCol w:w="109"/>
        <w:gridCol w:w="109"/>
        <w:gridCol w:w="109"/>
        <w:gridCol w:w="474"/>
        <w:gridCol w:w="474"/>
        <w:gridCol w:w="476"/>
        <w:gridCol w:w="109"/>
        <w:gridCol w:w="109"/>
        <w:gridCol w:w="109"/>
        <w:gridCol w:w="319"/>
        <w:gridCol w:w="1637"/>
        <w:gridCol w:w="233"/>
      </w:tblGrid>
      <w:tr>
        <w:trPr/>
        <w:tc>
          <w:tcPr>
            <w:tcW w:w="9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 number (or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dollar 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shares that may yet be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repurchased under the plans</w:t>
            </w:r>
          </w:p>
          <w:p>
            <w:pPr>
              <w:pStyle w:val="TableContents"/>
              <w:bidi w:val="0"/>
              <w:spacing w:lineRule="auto" w:line="288" w:before="0" w:after="0"/>
              <w:jc w:val="center"/>
              <w:rPr/>
            </w:pPr>
            <w:r>
              <w:rPr>
                <w:rFonts w:ascii="Times New Roman;serif" w:hAnsi="Times New Roman;serif"/>
                <w:b/>
                <w:color w:val="000000"/>
                <w:sz w:val="16"/>
              </w:rPr>
              <w:t xml:space="preserve">or programs </w:t>
            </w:r>
            <w:r>
              <w:rPr>
                <w:rFonts w:ascii="Times New Roman;serif" w:hAnsi="Times New Roman;serif"/>
                <w:b/>
                <w:color w:val="000000"/>
                <w:sz w:val="10"/>
              </w:rPr>
              <w:t>(1)</w:t>
            </w:r>
          </w:p>
        </w:tc>
      </w:tr>
      <w:tr>
        <w:trPr/>
        <w:tc>
          <w:tcPr>
            <w:tcW w:w="2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548,990 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548,990 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18,253,686 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170,407 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97,808 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17,960,005 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17,960,005 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management through various methods in compliance with applicable state and federal securities laws. </w:t>
      </w:r>
    </w:p>
    <w:p>
      <w:pPr>
        <w:pStyle w:val="TextBody"/>
        <w:bidi w:val="0"/>
        <w:spacing w:lineRule="auto" w:line="288" w:before="120" w:after="283"/>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Includes shares retired to satisfy minimum tax withholdings, in connection with the vesting of restricted and performance shares, pursuant to the OraSure Technologies, Inc. Stock Award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disclosure set forth in Part II - Item 2 above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adopted, amended,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5"/>
        <w:gridCol w:w="243"/>
        <w:gridCol w:w="244"/>
        <w:gridCol w:w="155"/>
        <w:gridCol w:w="155"/>
        <w:gridCol w:w="156"/>
        <w:gridCol w:w="2764"/>
        <w:gridCol w:w="2569"/>
        <w:gridCol w:w="3644"/>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80"/>
                  <w:sz w:val="20"/>
                  <w:u w:val="single"/>
                </w:rPr>
                <w:t>C</w:t>
              </w:r>
            </w:hyperlink>
            <w:hyperlink r:id="rId3">
              <w:r>
                <w:rPr>
                  <w:rStyle w:val="InternetLink"/>
                  <w:rFonts w:ascii="Times New Roman;serif" w:hAnsi="Times New Roman;serif"/>
                  <w:b w:val="false"/>
                  <w:color w:val="000080"/>
                  <w:sz w:val="20"/>
                  <w:u w:val="single"/>
                </w:rPr>
                <w:t>ertificate of Amendment to Certificate of Incorporation dated</w:t>
              </w:r>
            </w:hyperlink>
            <w:hyperlink r:id="rId4">
              <w:r>
                <w:rPr>
                  <w:rStyle w:val="InternetLink"/>
                  <w:rFonts w:ascii="Times New Roman;serif" w:hAnsi="Times New Roman;serif"/>
                  <w:b w:val="false"/>
                  <w:color w:val="000080"/>
                  <w:sz w:val="20"/>
                  <w:u w:val="single"/>
                </w:rPr>
                <w:t xml:space="preserve"> June 3, 2026 (incorporated by reference to Exhibit 3.1 to </w:t>
              </w:r>
            </w:hyperlink>
            <w:hyperlink r:id="rId5">
              <w:r>
                <w:rPr>
                  <w:rStyle w:val="InternetLink"/>
                  <w:rFonts w:ascii="Times New Roman;serif" w:hAnsi="Times New Roman;serif"/>
                  <w:b w:val="false"/>
                  <w:color w:val="000080"/>
                  <w:sz w:val="20"/>
                  <w:u w:val="single"/>
                </w:rPr>
                <w:t>the Company's Current Report on Form 8-K as filed on June 3, 2026</w:t>
              </w:r>
            </w:hyperlink>
            <w:hyperlink r:id="rId6">
              <w:r>
                <w:rPr>
                  <w:rStyle w:val="InternetLink"/>
                  <w:rFonts w:ascii="Times New Roman;serif" w:hAnsi="Times New Roman;serif"/>
                  <w:b w:val="false"/>
                  <w:color w:val="000080"/>
                  <w:sz w:val="20"/>
                  <w:u w:val="single"/>
                </w:rPr>
                <w:t>)</w:t>
              </w:r>
            </w:hyperlink>
            <w:hyperlink r:id="rId7">
              <w:r>
                <w:rPr>
                  <w:rStyle w:val="InternetLink"/>
                  <w:rFonts w:ascii="Times New Roman;serif" w:hAnsi="Times New Roman;serif"/>
                  <w:b w:val="false"/>
                  <w:color w:val="000080"/>
                  <w:sz w:val="20"/>
                  <w:u w:val="single"/>
                </w:rPr>
                <w:t>.</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10.1ˆ</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80"/>
                  <w:sz w:val="20"/>
                  <w:u w:val="single"/>
                </w:rPr>
                <w:t>A</w:t>
              </w:r>
            </w:hyperlink>
            <w:hyperlink r:id="rId9">
              <w:r>
                <w:rPr>
                  <w:rStyle w:val="InternetLink"/>
                  <w:rFonts w:ascii="Times New Roman;serif" w:hAnsi="Times New Roman;serif"/>
                  <w:b w:val="false"/>
                  <w:color w:val="000080"/>
                  <w:sz w:val="20"/>
                  <w:u w:val="single"/>
                </w:rPr>
                <w:t>mended and Restated OraSure Technologies, Inc. 2000 Stock Award Plan (incorporated by reference to Exhibit 10.1 to the Company's Current R</w:t>
              </w:r>
            </w:hyperlink>
            <w:hyperlink r:id="rId10">
              <w:r>
                <w:rPr>
                  <w:rStyle w:val="InternetLink"/>
                  <w:rFonts w:ascii="Times New Roman;serif" w:hAnsi="Times New Roman;serif"/>
                  <w:b w:val="false"/>
                  <w:color w:val="000080"/>
                  <w:sz w:val="20"/>
                  <w:u w:val="single"/>
                </w:rPr>
                <w:t>e</w:t>
              </w:r>
            </w:hyperlink>
            <w:hyperlink r:id="rId11">
              <w:r>
                <w:rPr>
                  <w:rStyle w:val="InternetLink"/>
                  <w:rFonts w:ascii="Times New Roman;serif" w:hAnsi="Times New Roman;serif"/>
                  <w:b w:val="false"/>
                  <w:color w:val="000080"/>
                  <w:sz w:val="20"/>
                  <w:u w:val="single"/>
                </w:rPr>
                <w:t>port on Form 8-K as filed on June 3, 2026).</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80"/>
                  <w:sz w:val="20"/>
                  <w:u w:val="single"/>
                </w:rPr>
                <w:t>C</w:t>
              </w:r>
            </w:hyperlink>
            <w:hyperlink r:id="rId13">
              <w:r>
                <w:rPr>
                  <w:rStyle w:val="InternetLink"/>
                  <w:rFonts w:ascii="Times New Roman;serif" w:hAnsi="Times New Roman;serif"/>
                  <w:b w:val="false"/>
                  <w:color w:val="000080"/>
                  <w:sz w:val="20"/>
                  <w:u w:val="single"/>
                </w:rPr>
                <w:t>ooperation Agreement, dated April 16, 2026</w:t>
              </w:r>
            </w:hyperlink>
            <w:hyperlink r:id="rId14">
              <w:r>
                <w:rPr>
                  <w:rStyle w:val="InternetLink"/>
                  <w:rFonts w:ascii="Times New Roman;serif" w:hAnsi="Times New Roman;serif"/>
                  <w:b w:val="false"/>
                  <w:color w:val="000080"/>
                  <w:sz w:val="20"/>
                  <w:u w:val="single"/>
                </w:rPr>
                <w:t>, by and Betwe</w:t>
              </w:r>
            </w:hyperlink>
            <w:hyperlink r:id="rId15">
              <w:r>
                <w:rPr>
                  <w:rStyle w:val="InternetLink"/>
                  <w:rFonts w:ascii="Times New Roman;serif" w:hAnsi="Times New Roman;serif"/>
                  <w:b w:val="false"/>
                  <w:color w:val="000080"/>
                  <w:sz w:val="20"/>
                  <w:u w:val="single"/>
                </w:rPr>
                <w:t>e</w:t>
              </w:r>
            </w:hyperlink>
            <w:hyperlink r:id="rId16">
              <w:r>
                <w:rPr>
                  <w:rStyle w:val="InternetLink"/>
                  <w:rFonts w:ascii="Times New Roman;serif" w:hAnsi="Times New Roman;serif"/>
                  <w:b w:val="false"/>
                  <w:color w:val="000080"/>
                  <w:sz w:val="20"/>
                  <w:u w:val="single"/>
                </w:rPr>
                <w:t xml:space="preserve">n OraSure Technologies, Inc. and Altai Capital Management, </w:t>
              </w:r>
            </w:hyperlink>
            <w:hyperlink r:id="rId17">
              <w:r>
                <w:rPr>
                  <w:rStyle w:val="InternetLink"/>
                  <w:rFonts w:ascii="Times New Roman;serif" w:hAnsi="Times New Roman;serif"/>
                  <w:b w:val="false"/>
                  <w:color w:val="000080"/>
                  <w:sz w:val="20"/>
                  <w:u w:val="single"/>
                </w:rPr>
                <w:t>L.P. and Altai</w:t>
              </w:r>
            </w:hyperlink>
            <w:hyperlink r:id="rId18">
              <w:r>
                <w:rPr>
                  <w:rStyle w:val="InternetLink"/>
                  <w:rFonts w:ascii="Times New Roman;serif" w:hAnsi="Times New Roman;serif"/>
                  <w:b w:val="false"/>
                  <w:color w:val="000080"/>
                  <w:sz w:val="20"/>
                  <w:u w:val="single"/>
                </w:rPr>
                <w:t xml:space="preserve"> Capital Management LLC</w:t>
              </w:r>
            </w:hyperlink>
            <w:hyperlink r:id="rId19">
              <w:r>
                <w:rPr>
                  <w:rStyle w:val="InternetLink"/>
                  <w:rFonts w:ascii="Times New Roman;serif" w:hAnsi="Times New Roman;serif"/>
                  <w:b w:val="false"/>
                  <w:color w:val="000080"/>
                  <w:sz w:val="20"/>
                  <w:u w:val="single"/>
                </w:rPr>
                <w:t xml:space="preserve"> (</w:t>
              </w:r>
            </w:hyperlink>
            <w:hyperlink r:id="rId20">
              <w:r>
                <w:rPr>
                  <w:rStyle w:val="InternetLink"/>
                  <w:rFonts w:ascii="Times New Roman;serif" w:hAnsi="Times New Roman;serif"/>
                  <w:b w:val="false"/>
                  <w:color w:val="000080"/>
                  <w:sz w:val="20"/>
                  <w:u w:val="single"/>
                </w:rPr>
                <w:t xml:space="preserve">incorporated by </w:t>
              </w:r>
            </w:hyperlink>
            <w:hyperlink r:id="rId21">
              <w:r>
                <w:rPr>
                  <w:rStyle w:val="InternetLink"/>
                  <w:rFonts w:ascii="Times New Roman;serif" w:hAnsi="Times New Roman;serif"/>
                  <w:b w:val="false"/>
                  <w:color w:val="000080"/>
                  <w:sz w:val="20"/>
                  <w:u w:val="single"/>
                </w:rPr>
                <w:t>refer</w:t>
              </w:r>
            </w:hyperlink>
            <w:hyperlink r:id="rId22">
              <w:r>
                <w:rPr>
                  <w:rStyle w:val="InternetLink"/>
                  <w:rFonts w:ascii="Times New Roman;serif" w:hAnsi="Times New Roman;serif"/>
                  <w:b w:val="false"/>
                  <w:color w:val="000080"/>
                  <w:sz w:val="20"/>
                  <w:u w:val="single"/>
                </w:rPr>
                <w:t>ence to Exh</w:t>
              </w:r>
            </w:hyperlink>
            <w:hyperlink r:id="rId23">
              <w:r>
                <w:rPr>
                  <w:rStyle w:val="InternetLink"/>
                  <w:rFonts w:ascii="Times New Roman;serif" w:hAnsi="Times New Roman;serif"/>
                  <w:b w:val="false"/>
                  <w:color w:val="000080"/>
                  <w:sz w:val="20"/>
                  <w:u w:val="single"/>
                </w:rPr>
                <w:t>i</w:t>
              </w:r>
            </w:hyperlink>
            <w:hyperlink r:id="rId24">
              <w:r>
                <w:rPr>
                  <w:rStyle w:val="InternetLink"/>
                  <w:rFonts w:ascii="Times New Roman;serif" w:hAnsi="Times New Roman;serif"/>
                  <w:b w:val="false"/>
                  <w:color w:val="000080"/>
                  <w:sz w:val="20"/>
                  <w:u w:val="single"/>
                </w:rPr>
                <w:t>bit</w:t>
              </w:r>
            </w:hyperlink>
            <w:hyperlink r:id="rId25">
              <w:r>
                <w:rPr>
                  <w:rStyle w:val="InternetLink"/>
                  <w:rFonts w:ascii="Times New Roman;serif" w:hAnsi="Times New Roman;serif"/>
                  <w:b w:val="false"/>
                  <w:color w:val="000080"/>
                  <w:sz w:val="20"/>
                  <w:u w:val="single"/>
                </w:rPr>
                <w:t xml:space="preserve"> 10.1 to the Company's Current Report on Form 8-K as filed on April 17, 2026).</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sur-06302026xexx311.htm">
              <w:r>
                <w:rPr>
                  <w:rStyle w:val="InternetLink"/>
                  <w:rFonts w:ascii="Times New Roman;serif" w:hAnsi="Times New Roman;serif"/>
                  <w:b w:val="false"/>
                  <w:color w:val="0000FF"/>
                  <w:sz w:val="20"/>
                  <w:u w:val="single"/>
                </w:rPr>
                <w:t>Certification of Carrie Eglinton-Manner required by Rule 13a-14(a) or Rule 15d-14(a) under the Securities Exchange Act of 1934, as amended.</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sur-06302026xexx312.htm">
              <w:r>
                <w:rPr>
                  <w:rStyle w:val="InternetLink"/>
                  <w:rFonts w:ascii="Times New Roman;serif" w:hAnsi="Times New Roman;serif"/>
                  <w:b w:val="false"/>
                  <w:color w:val="0000FF"/>
                  <w:sz w:val="20"/>
                  <w:u w:val="single"/>
                </w:rPr>
                <w:t>Certification of Kenneth J. McGrath required by Rule 13a-14(a) or Rule 15d-14(a) under the Securities Exchange Act of 1934, as amended.</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sur-06302026xexx321.htm">
              <w:r>
                <w:rPr>
                  <w:rStyle w:val="InternetLink"/>
                  <w:rFonts w:ascii="Times New Roman;serif" w:hAnsi="Times New Roman;serif"/>
                  <w:b w:val="false"/>
                  <w:color w:val="0000FF"/>
                  <w:sz w:val="20"/>
                  <w:u w:val="single"/>
                </w:rPr>
                <w:t>Certification of Carrie Eglinton-Manner required by Rule 13a-14(b) or Rule 15d-14(b) under the Securities Exchange Act of 1934, as amended, and 18 U.S.C. Section 1350, as Adopted Pursuant to Section 906 of the Sarbanes-Oxley Act of 2002.</w:t>
              </w:r>
            </w:hyperlink>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osur-06302026xexx322.htm">
              <w:r>
                <w:rPr>
                  <w:rStyle w:val="InternetLink"/>
                  <w:rFonts w:ascii="Times New Roman;serif" w:hAnsi="Times New Roman;serif"/>
                  <w:b w:val="false"/>
                  <w:color w:val="0000FF"/>
                  <w:sz w:val="20"/>
                  <w:u w:val="single"/>
                </w:rPr>
                <w:t>Certification of Kenneth J. McGrath required by Rule 13a-14(b) or Rule 15d-14(b) under the Securities Exchange Act of 1934, as amended, and 18 U.S.C. Section 1350, as Adopted Pursuant to Section 906 of the Sarbanes-Oxley Act of 2002</w:t>
              </w:r>
            </w:hyperlink>
            <w:r>
              <w:rPr>
                <w:rFonts w:ascii="Times New Roman;serif" w:hAnsi="Times New Roman;serif"/>
                <w:b w:val="false"/>
                <w:color w:val="000000"/>
                <w:sz w:val="20"/>
              </w:rPr>
              <w: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from Interactive Data File (formatted as inline XBRL with applicable taxonomy extension information contained in exhibits 101).</w:t>
            </w:r>
          </w:p>
        </w:tc>
      </w:tr>
    </w:tbl>
    <w:p>
      <w:pPr>
        <w:pStyle w:val="TextBody"/>
        <w:bidi w:val="0"/>
        <w:spacing w:before="60" w:after="283"/>
        <w:ind w:left="0" w:right="0" w:hanging="1080"/>
        <w:jc w:val="both"/>
        <w:rPr/>
      </w:pPr>
      <w:r>
        <w:rPr/>
      </w:r>
    </w:p>
    <w:p>
      <w:pPr>
        <w:pStyle w:val="TextBody"/>
        <w:bidi w:val="0"/>
        <w:spacing w:lineRule="auto" w:line="288" w:before="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180"/>
        <w:jc w:val="left"/>
        <w:rPr/>
      </w:pPr>
      <w:r>
        <w:rPr>
          <w:rFonts w:ascii="Aptos;sans-serif" w:hAnsi="Aptos;sans-serif"/>
          <w:b w:val="false"/>
          <w:color w:val="000000"/>
          <w:sz w:val="24"/>
        </w:rPr>
        <w:t xml:space="preserve">ˆ </w:t>
      </w:r>
      <w:r>
        <w:rPr>
          <w:rFonts w:ascii="Times New Roman;serif" w:hAnsi="Times New Roman;serif"/>
          <w:b w:val="false"/>
          <w:color w:val="000000"/>
          <w:sz w:val="20"/>
        </w:rPr>
        <w:t>Management contract or compensatory plan or arrangement.</w:t>
      </w:r>
    </w:p>
    <w:p>
      <w:pPr>
        <w:pStyle w:val="TextBody"/>
        <w:bidi w:val="0"/>
        <w:spacing w:lineRule="auto" w:line="288" w:before="0" w:after="0"/>
        <w:ind w:left="0" w:right="0" w:hanging="180"/>
        <w:jc w:val="left"/>
        <w:rPr/>
      </w:pPr>
      <w:r>
        <w:rPr>
          <w:color w:val="000000"/>
        </w:rPr>
        <w:t xml:space="preserve">† </w:t>
      </w:r>
      <w:r>
        <w:rPr>
          <w:rFonts w:ascii="Times New Roman;serif" w:hAnsi="Times New Roman;serif"/>
          <w:b w:val="false"/>
          <w:color w:val="000000"/>
          <w:sz w:val="20"/>
        </w:rPr>
        <w:t>Pursuant to Item 601(a)(5) of Regulation S-K, certain exhibits have been omitted and will be furnished supplementally to the Securities and Exchange Commission upon request.</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515" w:type="dxa"/>
        <w:jc w:val="left"/>
        <w:tblInd w:w="0" w:type="dxa"/>
        <w:tblLayout w:type="fixed"/>
        <w:tblCellMar>
          <w:top w:w="28" w:type="dxa"/>
          <w:left w:w="28" w:type="dxa"/>
          <w:bottom w:w="28" w:type="dxa"/>
          <w:right w:w="28" w:type="dxa"/>
        </w:tblCellMar>
      </w:tblPr>
      <w:tblGrid>
        <w:gridCol w:w="667"/>
        <w:gridCol w:w="587"/>
        <w:gridCol w:w="590"/>
        <w:gridCol w:w="469"/>
        <w:gridCol w:w="469"/>
        <w:gridCol w:w="469"/>
        <w:gridCol w:w="1538"/>
        <w:gridCol w:w="1538"/>
        <w:gridCol w:w="218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ORASURE TECHNOLOGIES,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Kenneth J. McGrath</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McGrath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/s/Michele M. Anthony</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Michele M. Anthony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Controller and 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Carrie Eglinton Manner, certify that:</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24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12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667"/>
        <w:gridCol w:w="587"/>
        <w:gridCol w:w="590"/>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Carrie Eglinton Manner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Eglinton Manner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Kenneth J. McGrath, certify that:</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OraSure Technologies, Inc.</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54" w:type="dxa"/>
        <w:jc w:val="left"/>
        <w:tblInd w:w="0" w:type="dxa"/>
        <w:tblLayout w:type="fixed"/>
        <w:tblCellMar>
          <w:top w:w="28" w:type="dxa"/>
          <w:left w:w="28" w:type="dxa"/>
          <w:bottom w:w="28" w:type="dxa"/>
          <w:right w:w="28" w:type="dxa"/>
        </w:tblCellMar>
      </w:tblPr>
      <w:tblGrid>
        <w:gridCol w:w="667"/>
        <w:gridCol w:w="587"/>
        <w:gridCol w:w="590"/>
        <w:gridCol w:w="763"/>
        <w:gridCol w:w="763"/>
        <w:gridCol w:w="10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Kenneth J. McGrath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J. McGrath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OraSure Technologies, Inc. (the “Company”) on Form 10-Q for the quarter ended June 30, 2026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 Carrie Eglinton Manner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Carrie Eglinton Manner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pPr>
      <w:r>
        <w:rPr>
          <w:rFonts w:ascii="Times New Roman;serif" w:hAnsi="Times New Roman;serif"/>
          <w:b/>
          <w:color w:val="000000"/>
          <w:sz w:val="20"/>
        </w:rPr>
        <w:t>18 U.S.C.</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color w:val="000000"/>
          <w:sz w:val="20"/>
        </w:rPr>
        <w:t>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OraSure Technologies, Inc. (the “Company”) on Form 10-Q for the quarter ended June 30, 2026 as filed with the Securities and Exchange Commission on the date hereof (the “Report”), I, Kenneth J. McGrath, Chief Financial Officer of the Company, certify, pursuant to 18 U.S.C. §1350, as adopted pursuant to Section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 Kenneth J. McGrath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Kenneth J. McGrath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nul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6463/000111646326000043/exhibit31_certificateofa.htm" TargetMode="External"/><Relationship Id="rId3" Type="http://schemas.openxmlformats.org/officeDocument/2006/relationships/hyperlink" Target="https://www.sec.gov/Archives/edgar/data/1116463/000111646326000043/exhibit31_certificateofa.htm" TargetMode="External"/><Relationship Id="rId4" Type="http://schemas.openxmlformats.org/officeDocument/2006/relationships/hyperlink" Target="https://www.sec.gov/Archives/edgar/data/1116463/000111646326000043/exhibit31_certificateofa.htm" TargetMode="External"/><Relationship Id="rId5" Type="http://schemas.openxmlformats.org/officeDocument/2006/relationships/hyperlink" Target="https://www.sec.gov/Archives/edgar/data/1116463/000111646326000043/exhibit31_certificateofa.htm" TargetMode="External"/><Relationship Id="rId6" Type="http://schemas.openxmlformats.org/officeDocument/2006/relationships/hyperlink" Target="https://www.sec.gov/Archives/edgar/data/1116463/000111646326000043/exhibit31_certificateofa.htm" TargetMode="External"/><Relationship Id="rId7" Type="http://schemas.openxmlformats.org/officeDocument/2006/relationships/hyperlink" Target="https://www.sec.gov/Archives/edgar/data/1116463/000111646326000043/exhibit31_certificateofa.htm" TargetMode="External"/><Relationship Id="rId8" Type="http://schemas.openxmlformats.org/officeDocument/2006/relationships/hyperlink" Target="https://www.sec.gov/Archives/edgar/data/1116463/000111646326000043/exhibit101_otiarstockawa.htm" TargetMode="External"/><Relationship Id="rId9" Type="http://schemas.openxmlformats.org/officeDocument/2006/relationships/hyperlink" Target="https://www.sec.gov/Archives/edgar/data/1116463/000111646326000043/exhibit101_otiarstockawa.htm" TargetMode="External"/><Relationship Id="rId10" Type="http://schemas.openxmlformats.org/officeDocument/2006/relationships/hyperlink" Target="https://www.sec.gov/Archives/edgar/data/1116463/000111646326000043/exhibit101_otiarstockawa.htm" TargetMode="External"/><Relationship Id="rId11" Type="http://schemas.openxmlformats.org/officeDocument/2006/relationships/hyperlink" Target="https://www.sec.gov/Archives/edgar/data/1116463/000111646326000043/exhibit101_otiarstockawa.htm" TargetMode="External"/><Relationship Id="rId12" Type="http://schemas.openxmlformats.org/officeDocument/2006/relationships/hyperlink" Target="https://www.sec.gov/Archives/edgar/data/1116463/000119312526160336/d144249dex101.htm" TargetMode="External"/><Relationship Id="rId13" Type="http://schemas.openxmlformats.org/officeDocument/2006/relationships/hyperlink" Target="https://www.sec.gov/Archives/edgar/data/1116463/000119312526160336/d144249dex101.htm" TargetMode="External"/><Relationship Id="rId14" Type="http://schemas.openxmlformats.org/officeDocument/2006/relationships/hyperlink" Target="https://www.sec.gov/Archives/edgar/data/1116463/000119312526160336/d144249dex101.htm" TargetMode="External"/><Relationship Id="rId15" Type="http://schemas.openxmlformats.org/officeDocument/2006/relationships/hyperlink" Target="https://www.sec.gov/Archives/edgar/data/1116463/000119312526160336/d144249dex101.htm" TargetMode="External"/><Relationship Id="rId16" Type="http://schemas.openxmlformats.org/officeDocument/2006/relationships/hyperlink" Target="https://www.sec.gov/Archives/edgar/data/1116463/000119312526160336/d144249dex101.htm" TargetMode="External"/><Relationship Id="rId17" Type="http://schemas.openxmlformats.org/officeDocument/2006/relationships/hyperlink" Target="https://www.sec.gov/Archives/edgar/data/1116463/000119312526160336/d144249dex101.htm" TargetMode="External"/><Relationship Id="rId18" Type="http://schemas.openxmlformats.org/officeDocument/2006/relationships/hyperlink" Target="https://www.sec.gov/Archives/edgar/data/1116463/000119312526160336/d144249dex101.htm" TargetMode="External"/><Relationship Id="rId19" Type="http://schemas.openxmlformats.org/officeDocument/2006/relationships/hyperlink" Target="https://www.sec.gov/Archives/edgar/data/1116463/000119312526160336/d144249dex101.htm" TargetMode="External"/><Relationship Id="rId20" Type="http://schemas.openxmlformats.org/officeDocument/2006/relationships/hyperlink" Target="https://www.sec.gov/Archives/edgar/data/1116463/000119312526160336/d144249dex101.htm" TargetMode="External"/><Relationship Id="rId21" Type="http://schemas.openxmlformats.org/officeDocument/2006/relationships/hyperlink" Target="https://www.sec.gov/Archives/edgar/data/1116463/000119312526160336/d144249dex101.htm" TargetMode="External"/><Relationship Id="rId22" Type="http://schemas.openxmlformats.org/officeDocument/2006/relationships/hyperlink" Target="https://www.sec.gov/Archives/edgar/data/1116463/000119312526160336/d144249dex101.htm" TargetMode="External"/><Relationship Id="rId23" Type="http://schemas.openxmlformats.org/officeDocument/2006/relationships/hyperlink" Target="https://www.sec.gov/Archives/edgar/data/1116463/000119312526160336/d144249dex101.htm" TargetMode="External"/><Relationship Id="rId24" Type="http://schemas.openxmlformats.org/officeDocument/2006/relationships/hyperlink" Target="https://www.sec.gov/Archives/edgar/data/1116463/000119312526160336/d144249dex101.htm" TargetMode="External"/><Relationship Id="rId25" Type="http://schemas.openxmlformats.org/officeDocument/2006/relationships/hyperlink" Target="https://www.sec.gov/Archives/edgar/data/1116463/000119312526160336/d144249dex10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15647</Words>
  <Characters>87360</Characters>
  <CharactersWithSpaces>102019</CharactersWithSpaces>
  <Paragraphs>1916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