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79"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r>
        <w:rPr>
          <w:rFonts w:ascii="Times New Roman" w:cs="Times New Roman" w:eastAsia="Times New Roman" w:hAnsi="Times New Roman"/>
          <w:sz w:val="18"/>
          <w:szCs w:val="18"/>
          <w:color w:val="auto"/>
        </w:rPr>
        <w:t>.</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_________</w:t>
      </w:r>
      <w:r>
        <w:rPr>
          <w:rFonts w:ascii="Times New Roman" w:cs="Times New Roman" w:eastAsia="Times New Roman" w:hAnsi="Times New Roman"/>
          <w:sz w:val="18"/>
          <w:szCs w:val="18"/>
          <w:b w:val="1"/>
          <w:bCs w:val="1"/>
          <w:color w:val="auto"/>
        </w:rPr>
        <w:t xml:space="preserve"> .</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001-16537</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6"/>
          <w:szCs w:val="36"/>
          <w:b w:val="1"/>
          <w:bCs w:val="1"/>
          <w:color w:val="auto"/>
        </w:rPr>
        <w:t>ORASURE TECHNOLOGIES,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95"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36-4370966</w:t>
            </w:r>
          </w:p>
        </w:tc>
      </w:tr>
      <w:tr>
        <w:trPr>
          <w:trHeight w:val="205"/>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19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80" w:type="dxa"/>
            <w:vAlign w:val="bottom"/>
          </w:tcPr>
          <w:p>
            <w:pPr>
              <w:spacing w:after="0"/>
              <w:rPr>
                <w:sz w:val="16"/>
                <w:szCs w:val="16"/>
                <w:color w:val="auto"/>
              </w:rPr>
            </w:pPr>
          </w:p>
        </w:tc>
      </w:tr>
      <w:tr>
        <w:trPr>
          <w:trHeight w:val="455"/>
        </w:trPr>
        <w:tc>
          <w:tcPr>
            <w:tcW w:w="4980" w:type="dxa"/>
            <w:vAlign w:val="bottom"/>
          </w:tcPr>
          <w:p>
            <w:pPr>
              <w:jc w:val="center"/>
              <w:ind w:right="1301"/>
              <w:spacing w:after="0"/>
              <w:rPr>
                <w:sz w:val="20"/>
                <w:szCs w:val="20"/>
                <w:color w:val="auto"/>
              </w:rPr>
            </w:pPr>
            <w:r>
              <w:rPr>
                <w:rFonts w:ascii="Times New Roman" w:cs="Times New Roman" w:eastAsia="Times New Roman" w:hAnsi="Times New Roman"/>
                <w:sz w:val="18"/>
                <w:szCs w:val="18"/>
                <w:b w:val="1"/>
                <w:bCs w:val="1"/>
                <w:color w:val="auto"/>
              </w:rPr>
              <w:t>220 East First Street, Bethlehem, Pennsylvania</w:t>
            </w:r>
          </w:p>
        </w:tc>
        <w:tc>
          <w:tcPr>
            <w:tcW w:w="348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18015</w:t>
            </w:r>
          </w:p>
        </w:tc>
      </w:tr>
      <w:tr>
        <w:trPr>
          <w:trHeight w:val="220"/>
        </w:trPr>
        <w:tc>
          <w:tcPr>
            <w:tcW w:w="4980" w:type="dxa"/>
            <w:vAlign w:val="bottom"/>
          </w:tcPr>
          <w:p>
            <w:pPr>
              <w:jc w:val="center"/>
              <w:ind w:right="13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8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(610) 882-1820</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4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00" w:type="dxa"/>
            <w:vAlign w:val="bottom"/>
            <w:tcBorders>
              <w:top w:val="single" w:sz="8" w:color="auto"/>
              <w:right w:val="single" w:sz="8" w:color="auto"/>
            </w:tcBorders>
          </w:tcPr>
          <w:p>
            <w:pPr>
              <w:spacing w:after="0"/>
              <w:rPr>
                <w:sz w:val="20"/>
                <w:szCs w:val="20"/>
                <w:color w:val="auto"/>
              </w:rPr>
            </w:pPr>
          </w:p>
        </w:tc>
      </w:tr>
      <w:tr>
        <w:trPr>
          <w:trHeight w:val="238"/>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r>
        <w:trPr>
          <w:trHeight w:val="237"/>
        </w:trPr>
        <w:tc>
          <w:tcPr>
            <w:tcW w:w="4640" w:type="dxa"/>
            <w:vAlign w:val="bottom"/>
            <w:tcBorders>
              <w:lef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$0.000001 par value per share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OSUR</w:t>
            </w:r>
          </w:p>
        </w:tc>
        <w:tc>
          <w:tcPr>
            <w:tcW w:w="4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
        </w:trPr>
        <w:tc>
          <w:tcPr>
            <w:tcW w:w="454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320" w:firstLine="1134"/>
        <w:spacing w:after="0" w:line="26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 w:lineRule="exact"/>
        <w:rPr>
          <w:sz w:val="24"/>
          <w:szCs w:val="24"/>
          <w:color w:val="auto"/>
        </w:rPr>
      </w:pPr>
    </w:p>
    <w:p>
      <w:pPr>
        <w:ind w:right="80" w:firstLine="1134"/>
        <w:spacing w:after="0" w:line="25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80" w:firstLine="1134"/>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growth company” in Rule 12b-2 of the Exchange Act.</w:t>
            </w:r>
          </w:p>
        </w:tc>
        <w:tc>
          <w:tcPr>
            <w:tcW w:w="45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65"/>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460"/>
              <w:spacing w:after="0"/>
              <w:rPr>
                <w:sz w:val="20"/>
                <w:szCs w:val="20"/>
                <w:color w:val="auto"/>
              </w:rPr>
            </w:pPr>
            <w:r>
              <w:rPr>
                <w:rFonts w:ascii="Wingdings" w:cs="Wingdings" w:eastAsia="Wingdings" w:hAnsi="Wingdings"/>
                <w:sz w:val="18"/>
                <w:szCs w:val="18"/>
                <w:b w:val="1"/>
                <w:bCs w:val="1"/>
                <w:color w:val="auto"/>
              </w:rPr>
              <w:t>x</w:t>
            </w:r>
          </w:p>
        </w:tc>
      </w:tr>
      <w:tr>
        <w:trPr>
          <w:trHeight w:val="378"/>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3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r>
      <w:tr>
        <w:trPr>
          <w:trHeight w:val="378"/>
        </w:trPr>
        <w:tc>
          <w:tcPr>
            <w:tcW w:w="22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5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480"/>
              <w:spacing w:after="0"/>
              <w:rPr>
                <w:sz w:val="20"/>
                <w:szCs w:val="20"/>
                <w:color w:val="auto"/>
              </w:rPr>
            </w:pPr>
            <w:r>
              <w:rPr>
                <w:rFonts w:ascii="Wingdings" w:cs="Wingdings" w:eastAsia="Wingdings" w:hAnsi="Wingdings"/>
                <w:sz w:val="18"/>
                <w:szCs w:val="18"/>
                <w:b w:val="1"/>
                <w:bCs w:val="1"/>
                <w:color w:val="auto"/>
              </w:rPr>
              <w:t>o</w:t>
            </w:r>
          </w:p>
        </w:tc>
      </w:tr>
      <w:tr>
        <w:trPr>
          <w:trHeight w:val="1047"/>
        </w:trPr>
        <w:tc>
          <w:tcPr>
            <w:tcW w:w="22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20" w:firstLine="1134"/>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ind w:left="1140"/>
        <w:spacing w:after="0" w:line="297" w:lineRule="auto"/>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31, 2025, the registrant had 71,733,530 shares of common stock, $0.000001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the Federal securities laws. These may include statements about the Company's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the Company's future operations, results of operations or financial position. These statements often include words, such as “believes,” “expects,” “anticipates,” “intends,” “plans,” “estimates,” “may,” “will,” “should,” “could,” or similar expressions.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162" w:lineRule="exact"/>
        <w:rPr>
          <w:sz w:val="20"/>
          <w:szCs w:val="20"/>
          <w:color w:val="auto"/>
        </w:rPr>
      </w:pPr>
    </w:p>
    <w:p>
      <w:pPr>
        <w:ind w:left="260" w:right="2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Company's ability to market and sell, its products and services, whether through its internal, direct sales force or third parties;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distributors or other customers to meet purchase forecasts, historic purchase levels or minimum purchase requirements for the Company's products;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customer concentrations that exist or may develop in the future;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manufacture products in accordance with applicable specifications, performance standards and quality requirements;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timing and cost of obtaining, necessary regulatory approvals for new products or new indications or applications for existing products; ability to comply with applicable regulatory requirements;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effectively resolve warning letters, audit observations and other findings or comments from the U.S. Food and Drug Administration (the "FDA"), or other regulators;</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including disputes or disagreements, with strategic partners or other parties and reliance on strategic partners for the performance of critical activities under collaborative arrangements;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meet increased demand for its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replacing distributors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at distributors and other customers;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its financial and strategic objectives and continue to increase its revenues, including the ability to expand international sales;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competitors, competing products and technology changes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deferral of public funding available to customers;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new or better technology or lower cost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develop, commercialize and market new products;</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acceptance of products based on product performance or other factors, including changes in testing guidelines, algorithms or other recommendations by the Centers for Disease Control and Prevention (the "CDC") or other agencies;</w:t>
      </w:r>
    </w:p>
    <w:p>
      <w:pPr>
        <w:spacing w:after="0" w:line="1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fund research and development and other products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obtain and maintain new or existing product distribution channels;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sole supply sources for critical products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related products produced by third parties or products required for use of the Company's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contracting with the U.S. government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negative economic conditions on the Company's business;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achieve and maintain sustained profitability;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increase its gross margins;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utilize net operating loss carry forwards or other deferred tax assets;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the Company's stock price;</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patent protection and potential patent infringement claims;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costs of litigation relating to patents, trade secrets and other intellectual property;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licenses to patents or other technology;</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enter into international manufacturing agreements;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international marketing and manufacturing of products;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international funding sources and testing algorithms on international sales;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movements in foreign currency exchange rates;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sources of capital;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attract and retain qualified personnel;</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exposure to product liability and other types of litigation;</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federal or state laws and regulations;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consolidations and inventory practices;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failures and ability to obtain needed raw materials and components;</w:t>
      </w:r>
    </w:p>
    <w:p>
      <w:pPr>
        <w:spacing w:after="0" w:line="22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terrorist attacks and civil unrest, hostilities and war;</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cybersecurity incidents and other disruptions involving our computer systems or those of our third-party IT service providers, suppliers and customers; and</w:t>
      </w:r>
    </w:p>
    <w:p>
      <w:pPr>
        <w:spacing w:after="0" w:line="161"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business and economic conditions, including interest rates, inflationary pressures, capital market disruptions, changes in governmental agencies, international tariffs, trade protection measures, economic sanctions and economic slowdowns or recession.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that could affect the Company's results are discussed more fully under the section titled “Risk Factors,” set forth in Part II, Item 1A of this Quarterly Report on Form 10-Q, if any, in Part I, Item 1A of the Company's Annual Report on Form 10-K for the fiscal year ended December 31, 2024 filed with the Securities and Exchange Commission (the “SEC”) on March 7, 2025, and in subsequent SEC filings. Although forward-looking statements help to provide information about future prospects, readers should keep in mind that forward-looking statements 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reliable. Readers are cautioned not to place undue reliance on the forward-looking statements. The forward-looking statements are made as of the date of this report and the Company undertakes no duty to update these statements, unless it is required to do so by law. If the Company does update one or more forward-looking statements, no inference should be drawn that it will make updates with respect to other forward-looking statements or that it will make any further updates to those forward-looking statements at any future time.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Investors should also be aware that while the Company does, from time to time, communicate with securities analysts, it is against the Company's policy to disclose any material non-public information or other confidential commercial information. Accordingly, stockholders should not assume that the Company agrees with any statement or report issued by any analyst irrespective of the content of the statement or report. Furthermore, the Company has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03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00" w:type="dxa"/>
            <w:vAlign w:val="bottom"/>
            <w:gridSpan w:val="8"/>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Item 1. Financial Statements (Unaudited)</w:t>
            </w:r>
          </w:p>
        </w:tc>
        <w:tc>
          <w:tcPr>
            <w:tcW w:w="7140" w:type="dxa"/>
            <w:vAlign w:val="bottom"/>
            <w:gridSpan w:val="9"/>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20" w:type="dxa"/>
            <w:vAlign w:val="bottom"/>
          </w:tcPr>
          <w:p>
            <w:pPr>
              <w:spacing w:after="0"/>
              <w:rPr>
                <w:sz w:val="24"/>
                <w:szCs w:val="24"/>
                <w:color w:val="auto"/>
              </w:rPr>
            </w:pPr>
          </w:p>
        </w:tc>
        <w:tc>
          <w:tcPr>
            <w:tcW w:w="3180" w:type="dxa"/>
            <w:vAlign w:val="bottom"/>
            <w:tcBorders>
              <w:bottom w:val="single" w:sz="8" w:color="0000FF"/>
            </w:tcBorders>
            <w:gridSpan w:val="11"/>
            <w:vMerge w:val="continue"/>
          </w:tcPr>
          <w:p>
            <w:pPr>
              <w:spacing w:after="0"/>
              <w:rPr>
                <w:sz w:val="24"/>
                <w:szCs w:val="24"/>
                <w:color w:val="auto"/>
              </w:rPr>
            </w:pPr>
          </w:p>
        </w:tc>
        <w:tc>
          <w:tcPr>
            <w:tcW w:w="7140" w:type="dxa"/>
            <w:vAlign w:val="bottom"/>
            <w:gridSpan w:val="9"/>
            <w:vMerge w:val="continue"/>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at September 30, 2025 and December 31,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2025 and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 for the Three and Nine Months Ended September 30, 2025 and 2024</w:t>
            </w:r>
          </w:p>
        </w:tc>
        <w:tc>
          <w:tcPr>
            <w:tcW w:w="1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2025 and 2024</w:t>
            </w:r>
          </w:p>
        </w:tc>
        <w:tc>
          <w:tcPr>
            <w:tcW w:w="282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52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FF"/>
            </w:tcBorders>
            <w:gridSpan w:val="2"/>
          </w:tcPr>
          <w:p>
            <w:pPr>
              <w:spacing w:after="0"/>
              <w:rPr>
                <w:sz w:val="24"/>
                <w:szCs w:val="24"/>
                <w:color w:val="auto"/>
              </w:rPr>
            </w:pPr>
          </w:p>
        </w:tc>
        <w:tc>
          <w:tcPr>
            <w:tcW w:w="29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00" w:type="dxa"/>
            <w:vAlign w:val="bottom"/>
            <w:gridSpan w:val="8"/>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Item 1. Legal Proceedings</w:t>
            </w:r>
          </w:p>
        </w:tc>
        <w:tc>
          <w:tcPr>
            <w:tcW w:w="83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7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9"/>
              </w:rPr>
              <w:t>Item 1A. Risk Factors</w:t>
            </w:r>
          </w:p>
        </w:tc>
        <w:tc>
          <w:tcPr>
            <w:tcW w:w="862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5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Item 2. Unregistered Sales of Equity Securities and Use of Proceeds</w:t>
            </w:r>
          </w:p>
        </w:tc>
        <w:tc>
          <w:tcPr>
            <w:tcW w:w="516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3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728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03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Item 4. 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Item 5. Other Information</w:t>
            </w:r>
          </w:p>
        </w:tc>
        <w:tc>
          <w:tcPr>
            <w:tcW w:w="380" w:type="dxa"/>
            <w:vAlign w:val="bottom"/>
            <w:tcBorders>
              <w:top w:val="single" w:sz="8" w:color="0000FF"/>
            </w:tcBorders>
          </w:tcPr>
          <w:p>
            <w:pPr>
              <w:spacing w:after="0"/>
              <w:rPr>
                <w:sz w:val="24"/>
                <w:szCs w:val="24"/>
                <w:color w:val="auto"/>
              </w:rPr>
            </w:pPr>
          </w:p>
        </w:tc>
        <w:tc>
          <w:tcPr>
            <w:tcW w:w="790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12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Item 6. Exhibits</w:t>
            </w:r>
          </w:p>
        </w:tc>
        <w:tc>
          <w:tcPr>
            <w:tcW w:w="908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9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06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6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9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19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216,478</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267,763</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$166 and $773</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24,300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23,816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33,401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34,197</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4,709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4,123</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283,011</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333,220</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 net of accumulated depreciation of $73,118 and $65,918</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40,795</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45,105</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right-of-use assets, net</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12,240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13,442</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right-of-use assets, net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 of accumulated amortization of $26,802 and $32,413</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17,202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17,435</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41,313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40,330</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equity method investee</w:t>
            </w:r>
          </w:p>
        </w:tc>
        <w:tc>
          <w:tcPr>
            <w:tcW w:w="1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26,600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asset</w:t>
            </w:r>
          </w:p>
        </w:tc>
        <w:tc>
          <w:tcPr>
            <w:tcW w:w="18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37"/>
        </w:trPr>
        <w:tc>
          <w:tcPr>
            <w:tcW w:w="7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2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assets</w:t>
            </w: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140,087</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146,439</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423,098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479,659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8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60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6,360</w:t>
            </w:r>
          </w:p>
        </w:tc>
        <w:tc>
          <w:tcPr>
            <w:tcW w:w="140" w:type="dxa"/>
            <w:vAlign w:val="bottom"/>
          </w:tcPr>
          <w:p>
            <w:pPr>
              <w:spacing w:after="0"/>
              <w:rPr>
                <w:sz w:val="16"/>
                <w:szCs w:val="16"/>
                <w:color w:val="auto"/>
              </w:rPr>
            </w:pPr>
          </w:p>
        </w:tc>
        <w:tc>
          <w:tcPr>
            <w:tcW w:w="6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8,173</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1,879</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12,669</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20,179</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2,045</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Acquisition-related contingent consideration obligation</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17,232</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40,248</w:t>
            </w: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33,483</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Finance lease liability</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11,240</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12,321</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Acquisition-related contingent consideration obligation</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7,264</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22,910</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2,249</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86"/>
        </w:trPr>
        <w:tc>
          <w:tcPr>
            <w:tcW w:w="76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6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20,870</w:t>
            </w:r>
          </w:p>
        </w:tc>
        <w:tc>
          <w:tcPr>
            <w:tcW w:w="1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35,838</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61,118</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69,321</w:t>
            </w:r>
          </w:p>
        </w:tc>
        <w:tc>
          <w:tcPr>
            <w:tcW w:w="0" w:type="dxa"/>
            <w:vAlign w:val="bottom"/>
          </w:tcPr>
          <w:p>
            <w:pPr>
              <w:spacing w:after="0"/>
              <w:rPr>
                <w:sz w:val="1"/>
                <w:szCs w:val="1"/>
                <w:color w:val="auto"/>
              </w:rPr>
            </w:pPr>
          </w:p>
        </w:tc>
      </w:tr>
      <w:tr>
        <w:trPr>
          <w:trHeight w:val="173"/>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6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par value $0.000001, 25,000 shares authorized, none issued</w:t>
            </w:r>
          </w:p>
        </w:tc>
        <w:tc>
          <w:tcPr>
            <w:tcW w:w="6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par value $0.000001, 120,000 shares authorized, 72,265 and 74,598 shares issued and outstanding</w:t>
            </w:r>
          </w:p>
        </w:tc>
        <w:tc>
          <w:tcPr>
            <w:tcW w:w="6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0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535,029</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538,129</w:t>
            </w:r>
          </w:p>
        </w:tc>
        <w:tc>
          <w:tcPr>
            <w:tcW w:w="0" w:type="dxa"/>
            <w:vAlign w:val="bottom"/>
          </w:tcPr>
          <w:p>
            <w:pPr>
              <w:spacing w:after="0"/>
              <w:rPr>
                <w:sz w:val="1"/>
                <w:szCs w:val="1"/>
                <w:color w:val="auto"/>
              </w:rPr>
            </w:pPr>
          </w:p>
        </w:tc>
      </w:tr>
      <w:tr>
        <w:trPr>
          <w:trHeight w:val="37"/>
        </w:trPr>
        <w:tc>
          <w:tcPr>
            <w:tcW w:w="7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(20,173)</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(24,360)</w:t>
            </w:r>
          </w:p>
        </w:tc>
        <w:tc>
          <w:tcPr>
            <w:tcW w:w="0" w:type="dxa"/>
            <w:vAlign w:val="bottom"/>
          </w:tcPr>
          <w:p>
            <w:pPr>
              <w:spacing w:after="0"/>
              <w:rPr>
                <w:sz w:val="1"/>
                <w:szCs w:val="1"/>
                <w:color w:val="auto"/>
              </w:rPr>
            </w:pPr>
          </w:p>
        </w:tc>
      </w:tr>
      <w:tr>
        <w:trPr>
          <w:trHeight w:val="192"/>
        </w:trPr>
        <w:tc>
          <w:tcPr>
            <w:tcW w:w="7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6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(152,876)</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(103,431)</w:t>
            </w:r>
          </w:p>
        </w:tc>
        <w:tc>
          <w:tcPr>
            <w:tcW w:w="0" w:type="dxa"/>
            <w:vAlign w:val="bottom"/>
          </w:tcPr>
          <w:p>
            <w:pPr>
              <w:spacing w:after="0"/>
              <w:rPr>
                <w:sz w:val="1"/>
                <w:szCs w:val="1"/>
                <w:color w:val="auto"/>
              </w:rPr>
            </w:pPr>
          </w:p>
        </w:tc>
      </w:tr>
      <w:tr>
        <w:trPr>
          <w:trHeight w:val="37"/>
        </w:trPr>
        <w:tc>
          <w:tcPr>
            <w:tcW w:w="76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361,980</w:t>
            </w:r>
          </w:p>
        </w:tc>
        <w:tc>
          <w:tcPr>
            <w:tcW w:w="1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410,338</w:t>
            </w:r>
          </w:p>
        </w:tc>
        <w:tc>
          <w:tcPr>
            <w:tcW w:w="0" w:type="dxa"/>
            <w:vAlign w:val="bottom"/>
          </w:tcPr>
          <w:p>
            <w:pPr>
              <w:spacing w:after="0"/>
              <w:rPr>
                <w:sz w:val="1"/>
                <w:szCs w:val="1"/>
                <w:color w:val="auto"/>
              </w:rPr>
            </w:pPr>
          </w:p>
        </w:tc>
      </w:tr>
      <w:tr>
        <w:trPr>
          <w:trHeight w:val="218"/>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423,098</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479,659</w:t>
            </w:r>
          </w:p>
        </w:tc>
        <w:tc>
          <w:tcPr>
            <w:tcW w:w="0" w:type="dxa"/>
            <w:vAlign w:val="bottom"/>
          </w:tcPr>
          <w:p>
            <w:pPr>
              <w:spacing w:after="0"/>
              <w:rPr>
                <w:sz w:val="1"/>
                <w:szCs w:val="1"/>
                <w:color w:val="auto"/>
              </w:rPr>
            </w:pPr>
          </w:p>
        </w:tc>
      </w:tr>
      <w:tr>
        <w:trPr>
          <w:trHeight w:val="25"/>
        </w:trPr>
        <w:tc>
          <w:tcPr>
            <w:tcW w:w="76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6"/>
                <w:szCs w:val="16"/>
                <w:color w:val="auto"/>
              </w:rPr>
            </w:pPr>
          </w:p>
        </w:tc>
        <w:tc>
          <w:tcPr>
            <w:tcW w:w="322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Products and services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84,180</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147,379</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82,558</w:t>
            </w:r>
          </w:p>
        </w:tc>
        <w:tc>
          <w:tcPr>
            <w:tcW w:w="0" w:type="dxa"/>
            <w:vAlign w:val="bottom"/>
          </w:tcPr>
          <w:p>
            <w:pPr>
              <w:spacing w:after="0"/>
              <w:rPr>
                <w:sz w:val="1"/>
                <w:szCs w:val="1"/>
                <w:color w:val="auto"/>
              </w:rPr>
            </w:pPr>
          </w:p>
        </w:tc>
      </w:tr>
      <w:tr>
        <w:trPr>
          <w:trHeight w:val="237"/>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0" w:type="dxa"/>
            <w:vAlign w:val="bottom"/>
          </w:tcPr>
          <w:p>
            <w:pPr>
              <w:spacing w:after="0"/>
              <w:rPr>
                <w:sz w:val="1"/>
                <w:szCs w:val="1"/>
                <w:color w:val="auto"/>
              </w:rPr>
            </w:pPr>
          </w:p>
        </w:tc>
      </w:tr>
      <w:tr>
        <w:trPr>
          <w:trHeight w:val="243"/>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impairments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0" w:type="dxa"/>
            <w:vAlign w:val="bottom"/>
          </w:tcPr>
          <w:p>
            <w:pPr>
              <w:spacing w:after="0"/>
              <w:rPr>
                <w:sz w:val="1"/>
                <w:szCs w:val="1"/>
                <w:color w:val="auto"/>
              </w:rPr>
            </w:pPr>
          </w:p>
        </w:tc>
      </w:tr>
      <w:tr>
        <w:trPr>
          <w:trHeight w:val="225"/>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the estimated fair value of acquisition-</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contingent consideration</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27,862</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89,096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81,656</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 and equity investment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EQUITY INVESTMENT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SHARES USED IN COMPUTING LOSS PER</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73,004</w:t>
            </w:r>
          </w:p>
        </w:tc>
        <w:tc>
          <w:tcPr>
            <w:tcW w:w="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74,131</w:t>
            </w: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74,330</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6"/>
                <w:szCs w:val="16"/>
                <w:color w:val="auto"/>
              </w:rPr>
            </w:pPr>
          </w:p>
        </w:tc>
        <w:tc>
          <w:tcPr>
            <w:tcW w:w="290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50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0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8"/>
              </w:rPr>
              <w:t>1,431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center"/>
              <w:ind w:left="455"/>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w:t>
            </w:r>
          </w:p>
        </w:tc>
      </w:tr>
      <w:tr>
        <w:trPr>
          <w:trHeight w:val="21"/>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60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4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(49,445)</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provided by operating activities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8,687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9,178</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7,789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8,380</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Loss on impairments</w:t>
            </w:r>
          </w:p>
        </w:tc>
        <w:tc>
          <w:tcPr>
            <w:tcW w:w="1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non-cash amortization</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Unrealized foreign currency loss (gain)</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expense on finance leases</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Loss on equity investment</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1,700</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income taxes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Gain on sale of fixed assets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Change in the estimated fair value of acquisition-related contingent consideration</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6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receivable</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12,658</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Inventories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894</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8,659</w:t>
            </w:r>
          </w:p>
        </w:tc>
        <w:tc>
          <w:tcPr>
            <w:tcW w:w="0" w:type="dxa"/>
            <w:vAlign w:val="bottom"/>
          </w:tcPr>
          <w:p>
            <w:pPr>
              <w:spacing w:after="0"/>
              <w:rPr>
                <w:sz w:val="1"/>
                <w:szCs w:val="1"/>
                <w:color w:val="auto"/>
              </w:rPr>
            </w:pPr>
          </w:p>
        </w:tc>
      </w:tr>
      <w:tr>
        <w:trPr>
          <w:trHeight w:val="193"/>
        </w:trPr>
        <w:tc>
          <w:tcPr>
            <w:tcW w:w="76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0" w:type="dxa"/>
            <w:vAlign w:val="bottom"/>
          </w:tcPr>
          <w:p>
            <w:pPr>
              <w:spacing w:after="0"/>
              <w:rPr>
                <w:sz w:val="1"/>
                <w:szCs w:val="1"/>
                <w:color w:val="auto"/>
              </w:rPr>
            </w:pPr>
          </w:p>
        </w:tc>
      </w:tr>
      <w:tr>
        <w:trPr>
          <w:trHeight w:val="193"/>
        </w:trPr>
        <w:tc>
          <w:tcPr>
            <w:tcW w:w="76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(7,586)</w:t>
            </w:r>
          </w:p>
        </w:tc>
        <w:tc>
          <w:tcPr>
            <w:tcW w:w="0" w:type="dxa"/>
            <w:vAlign w:val="bottom"/>
          </w:tcPr>
          <w:p>
            <w:pPr>
              <w:spacing w:after="0"/>
              <w:rPr>
                <w:sz w:val="1"/>
                <w:szCs w:val="1"/>
                <w:color w:val="auto"/>
              </w:rPr>
            </w:pPr>
          </w:p>
        </w:tc>
      </w:tr>
      <w:tr>
        <w:trPr>
          <w:trHeight w:val="186"/>
        </w:trPr>
        <w:tc>
          <w:tcPr>
            <w:tcW w:w="764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(40,027)</w:t>
            </w: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27,265</w:t>
            </w:r>
          </w:p>
        </w:tc>
        <w:tc>
          <w:tcPr>
            <w:tcW w:w="0" w:type="dxa"/>
            <w:vAlign w:val="bottom"/>
          </w:tcPr>
          <w:p>
            <w:pPr>
              <w:spacing w:after="0"/>
              <w:rPr>
                <w:sz w:val="1"/>
                <w:szCs w:val="1"/>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1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(53,244)</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 of equity method investee</w:t>
            </w:r>
          </w:p>
        </w:tc>
        <w:tc>
          <w:tcPr>
            <w:tcW w:w="1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maturities and redemptions of short-term investments</w:t>
            </w:r>
          </w:p>
        </w:tc>
        <w:tc>
          <w:tcPr>
            <w:tcW w:w="1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53,052</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0" w:type="dxa"/>
            <w:vAlign w:val="bottom"/>
          </w:tcPr>
          <w:p>
            <w:pPr>
              <w:spacing w:after="0"/>
              <w:rPr>
                <w:sz w:val="1"/>
                <w:szCs w:val="1"/>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(33,533)</w:t>
            </w:r>
          </w:p>
        </w:tc>
        <w:tc>
          <w:tcPr>
            <w:tcW w:w="0" w:type="dxa"/>
            <w:vAlign w:val="bottom"/>
          </w:tcPr>
          <w:p>
            <w:pPr>
              <w:spacing w:after="0"/>
              <w:rPr>
                <w:sz w:val="1"/>
                <w:szCs w:val="1"/>
                <w:color w:val="auto"/>
              </w:rPr>
            </w:pPr>
          </w:p>
        </w:tc>
      </w:tr>
      <w:tr>
        <w:trPr>
          <w:trHeight w:val="17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payments for lease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(10,001)</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6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 of taxes related to net share settlement of equity awards</w:t>
            </w:r>
          </w:p>
        </w:tc>
        <w:tc>
          <w:tcPr>
            <w:tcW w:w="1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w:t>
            </w:r>
          </w:p>
        </w:tc>
        <w:tc>
          <w:tcPr>
            <w:tcW w:w="0" w:type="dxa"/>
            <w:vAlign w:val="bottom"/>
          </w:tcPr>
          <w:p>
            <w:pPr>
              <w:spacing w:after="0"/>
              <w:rPr>
                <w:sz w:val="1"/>
                <w:szCs w:val="1"/>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0" w:type="dxa"/>
            <w:vAlign w:val="bottom"/>
          </w:tcPr>
          <w:p>
            <w:pPr>
              <w:spacing w:after="0"/>
              <w:rPr>
                <w:sz w:val="1"/>
                <w:szCs w:val="1"/>
                <w:color w:val="auto"/>
              </w:rPr>
            </w:pPr>
          </w:p>
        </w:tc>
      </w:tr>
      <w:tr>
        <w:trPr>
          <w:trHeight w:val="186"/>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1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2,959</w:t>
            </w:r>
          </w:p>
        </w:tc>
        <w:tc>
          <w:tcPr>
            <w:tcW w:w="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1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(51,285)</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0" w:type="dxa"/>
            <w:vAlign w:val="bottom"/>
          </w:tcPr>
          <w:p>
            <w:pPr>
              <w:spacing w:after="0"/>
              <w:rPr>
                <w:sz w:val="1"/>
                <w:szCs w:val="1"/>
                <w:color w:val="auto"/>
              </w:rPr>
            </w:pPr>
          </w:p>
        </w:tc>
      </w:tr>
      <w:tr>
        <w:trPr>
          <w:trHeight w:val="193"/>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267,763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290,407</w:t>
            </w:r>
          </w:p>
        </w:tc>
        <w:tc>
          <w:tcPr>
            <w:tcW w:w="0" w:type="dxa"/>
            <w:vAlign w:val="bottom"/>
          </w:tcPr>
          <w:p>
            <w:pPr>
              <w:spacing w:after="0"/>
              <w:rPr>
                <w:sz w:val="1"/>
                <w:szCs w:val="1"/>
                <w:color w:val="auto"/>
              </w:rPr>
            </w:pPr>
          </w:p>
        </w:tc>
      </w:tr>
      <w:tr>
        <w:trPr>
          <w:trHeight w:val="37"/>
        </w:trPr>
        <w:tc>
          <w:tcPr>
            <w:tcW w:w="76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216,478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278,571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6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2,582</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0" w:type="dxa"/>
            <w:vAlign w:val="bottom"/>
          </w:tcPr>
          <w:p>
            <w:pPr>
              <w:spacing w:after="0"/>
              <w:rPr>
                <w:sz w:val="1"/>
                <w:szCs w:val="1"/>
                <w:color w:val="auto"/>
              </w:rPr>
            </w:pPr>
          </w:p>
        </w:tc>
      </w:tr>
      <w:tr>
        <w:trPr>
          <w:trHeight w:val="192"/>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12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37"/>
        </w:trPr>
        <w:tc>
          <w:tcPr>
            <w:tcW w:w="76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ORASURE TECHNOLOGIES,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(all tabular amounts in thousands)</w:t>
      </w:r>
    </w:p>
    <w:p>
      <w:pPr>
        <w:spacing w:after="0" w:line="3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OraSure Technologies, Inc. (“OraSure”) and its wholly-owned subsidiaries, DNA Genotek Inc. (“DNAG”), Diversigen, Inc. (“Diversigen”), Novosanis NV (“Novosanis”), and Sherlock Biosciences, Inc. ("Sherlock").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2024. Results of operations for the three and nine months ended September 30, 2025 are not necessarily indicative of the results of operations expected for the full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Significant Accounting Policies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described in its Annual Report on Form 10-K for the fiscal year ended December 31, 2024 that have had a material impact on the consolidated financial statements and related notes except as discussed herein.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January 1, 2025, the Company changed its methodology for valuing certain inventories to the average cost method from the first-in, first-out ("FIFO") cost method. The change was applicable to all inventories. The Company concluded that the average cost basis of accounting is preferable as it results in greater precision in the calculation of acquisition cost of inventory on the balance sheet. The effect of this change in accounting principle was immaterial. Therefore, retroactive application was not determined to be necessary and a cumulative adjustment of $0.1 million was recorded in the statement of operations for the nine months ended September 30,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 &amp; Short-Term Investments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investments in debt securities to be available-for-sale securities. These securities consist of guaranteed investment certificates purchased with maturities greater than ninety days. Securities with maturities ninety days or less are considered cash equivalents. Available-for-sale securities are carried at fair value, based upon quoted market prices, with unrealized gains and losses, if any, reported in stockholders’ equity as a component of accumulated other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 for the Company's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available-for-sale securities as of September 30, 2025 and December 31, 2024.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the United States in excess of the federally insured limits. The Company periodically evaluates financial institutions and believe the risk of loss to be remote due to this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carrying values of cash and cash equivalents, accounts receivable, accounts payable, and accrued expenses approximate their respective fair values based on their short-term nature.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which are observable, either directly or indirectly, for substantially the full term of the asset or liability; and</w:t>
      </w:r>
    </w:p>
    <w:p>
      <w:pPr>
        <w:spacing w:after="0" w:line="5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unobservable in the market, determining fair value requires more judgment. Because of the inherent uncertainty of valuation, estimated values may be materially higher or lower than the values that would have been used had a ready market for the investments existed. Therefore, the degree of judgment exercised in determining fair value is greatest for assets or liabilities categorized in Level 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4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594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5940" w:type="dxa"/>
            <w:vAlign w:val="bottom"/>
          </w:tcPr>
          <w:p>
            <w:pPr>
              <w:spacing w:after="0"/>
              <w:rPr>
                <w:sz w:val="16"/>
                <w:szCs w:val="16"/>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260" w:type="dxa"/>
            <w:vAlign w:val="bottom"/>
          </w:tcPr>
          <w:p>
            <w:pPr>
              <w:spacing w:after="0"/>
              <w:rPr>
                <w:sz w:val="16"/>
                <w:szCs w:val="16"/>
                <w:color w:val="auto"/>
              </w:rPr>
            </w:pPr>
          </w:p>
        </w:tc>
        <w:tc>
          <w:tcPr>
            <w:tcW w:w="144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94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66,584</w:t>
            </w:r>
          </w:p>
        </w:tc>
      </w:tr>
      <w:tr>
        <w:trPr>
          <w:trHeight w:val="24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portion</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7"/>
        </w:trPr>
        <w:tc>
          <w:tcPr>
            <w:tcW w:w="59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594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September 30, 2025 and December 31, 2024 was $66.9 million and $66.6 million, respectively, invested in guaranteed investment certificates.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cash and cash equivalents at September 30, 2025 and December 31, 2024, was $122.4 million and $118.5 million, respectively, invested in government money market funds. These funds have investments in U.S. government securities and are measured as Level 1 instruments.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offers a nonqualified deferred compensation plan for certain eligible employees and members of the Company's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September 30, 2025 and December 31, 2024 was $0.6 million and $0.7 million, respectively, and was calculated using the quoted market prices of the assets as of those dates. All investments in the plan are classified as trading securities and measured as Level 1 instruments. The fair value of plan assets is included in both current assets and other noncurrent assets with the same amounts included in accrued expenses and other noncurrent liabilities in the accompanying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discussed in Note 11, Business Combinations, the Company has identified its contingent consideration obligations as Level 3 liabilities due to significant inputs that are required to measure the fair value of these obligations. The contingent consideration is comprised of two different tranches: milestone payments and royalty payments. The significant quantitative unobservable inputs for the milestone payments are the discount rate and probability achievement of a milestone of a regulatory approval.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methodology for royalty payments is based on a discounted cash flow model. Significant quantitative unobservable inputs are internally developed future expected cash flows, discount rate and probability achievement of a milestone of a regulatory approval. The royalty payments represent a mid-single digit percentage of the net sales through 2034 associated with the acquired in-process and research developed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an increase of $1.6 million in the fair value of the Company's contingent consideration from date of acquisition to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21" w:right="10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Investee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January 2024, the Company lead the Series B financing and entered into wide-ranging strategic distribution agreements with KKR Sapphiros L.P. ("Sapphiros"), a privately held consumer diagnostic portfolio company, and certain of its related entities. Through this relationship, the Company expects to be able to offer a more comprehensive range of low-cost diagnostic tests and molecular sample management solutions to the Company's customers globally. As of September 30, 2025, the Company had funded $30.0 million for its interest in Sapphiros. The Company recorded the investment using the equity method in accordance with Accounting Standards Codification ("ASC") Topic 323, </w:t>
      </w:r>
      <w:r>
        <w:rPr>
          <w:rFonts w:ascii="Times New Roman" w:cs="Times New Roman" w:eastAsia="Times New Roman" w:hAnsi="Times New Roman"/>
          <w:sz w:val="18"/>
          <w:szCs w:val="18"/>
          <w:i w:val="1"/>
          <w:iCs w:val="1"/>
          <w:color w:val="auto"/>
        </w:rPr>
        <w:t>Investments—Equity Method and Joint Ventures—Overall.</w:t>
      </w:r>
      <w:r>
        <w:rPr>
          <w:rFonts w:ascii="Times New Roman" w:cs="Times New Roman" w:eastAsia="Times New Roman" w:hAnsi="Times New Roman"/>
          <w:sz w:val="18"/>
          <w:szCs w:val="18"/>
          <w:color w:val="auto"/>
        </w:rPr>
        <w:t xml:space="preserve"> In accordance with the equity method, the Company's equity investment is presented net of its share of any gains or losses of the investee. The Company has elected as its accounting policy to recognize its share of any income or loss in Sapphiros on a three-month lag. The investment in Sapphiros of $26.6 million as of September 30, 2025 is included in the investment in equity method investee line of the Company's balance sheet and is measured as a Level 3 investment. The Company has no unconditional obligations or guarantees to, or in support of, its equity method investee and its operations. In conjunction with the preparation of the Company's September 30, 2025 financial statements, the Company considered whether there were any triggering events that may indicate impairment in the investment in Sapphiros and concluded that no such triggers existed. The Company's investment in Sapphiros was valued at $28.3 million as of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foreign exchange gains (losses) resulting from foreign currency transactions that are included in other income in the Company's consolidated statements of operations were $0.6 million and $(0.2) million for the three months ended September 30, 2025 and 2024,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foreign exchange gains (losses) resulting from foreign currency transactions for the nine months ended September 30, 2025 and 2024 were $(0.7) million and $0.1 million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accumulated other comprehensive loss by component is listed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77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7"/>
        </w:trPr>
        <w:tc>
          <w:tcPr>
            <w:tcW w:w="7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are established for uncertain tax positions taken or positions expected to be taken in income tax returns when such positions fail to meet the "more likely than not" threshold based on the technical merits of the positions. We assess whether previously unrecognized tax benefits may be recognized when tax positions are (1) more likely than not of being sustained based on their technical merits, (2) effectively settled through examination, negotiation or litigation, or (3) settled through actual expiration of the relevant tax statures. The assessment of an uncertain tax position requires significant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purpose of the update was to address investor requests for more transparency about income tax information through improvements to income tax disclosures primarily related to the rate reconciliation and income taxes paid information. The amendments in this ASU are effective for annual periods beginning after December 15, 2024. The amendments may be applied prospectively or retrospectively, and early adoption is permitted. Management determined the annual disclosures required under the new guidance will have a significant impact on the Company's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 Update ("ASU") No.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Income—Expense Disaggregation Disclosures (Subtopic 220-40), Disaggregation of Income Statement Expenses</w:t>
      </w:r>
      <w:r>
        <w:rPr>
          <w:rFonts w:ascii="Times New Roman" w:cs="Times New Roman" w:eastAsia="Times New Roman" w:hAnsi="Times New Roman"/>
          <w:sz w:val="18"/>
          <w:szCs w:val="18"/>
          <w:color w:val="auto"/>
        </w:rPr>
        <w:t>. The purpose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update was to require disclosure, in the notes to financial statements, of specified information about certain costs and expenses on a disaggregated basis. The amendments in the ASU are effective for all public business entities for annual periods beginning after December 15, 2026, and interim periods beginning after December 15, 2027, with early adoption permitted. The amendments are to be applied either prospectively to financial statements issued for reporting periods after the effective date of the update or retrospectively to any or all prior periods presented in the financial statements. Management is evaluating the impact on the Company's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2024-01, </w:t>
      </w:r>
      <w:r>
        <w:rPr>
          <w:rFonts w:ascii="Times New Roman" w:cs="Times New Roman" w:eastAsia="Times New Roman" w:hAnsi="Times New Roman"/>
          <w:sz w:val="18"/>
          <w:szCs w:val="18"/>
          <w:i w:val="1"/>
          <w:iCs w:val="1"/>
          <w:color w:val="auto"/>
        </w:rPr>
        <w:t>Compensation—Stock Compensation (Topic 718),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The purpose of this update was to provide illustrative examples to demonstrate how an entity should apply guidance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profits interests and similar awards should be accounted for in accordance with Topic 718. For public business entities, the amendments in this ASU are effective for fiscal years beginning after December 15, 2024, and interim periods within those fiscal periods. The amendments may be applied prospectively or retrospectively, and early adoption is permitted. Management does not expect an impact on the Company's consolidated financial statements.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Scope Application of Profits Interest and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The purpose of this update was to address challenges encountered when applying the guidance in Topic 326, Financial Instruments—Credit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to current accounts receivable and current contract assets arising from transactions accounted for under Topic 606, Revenue from Contracts with Customers illustrative examples to demonstrate how an entity should apply guidance to determine whether profits interests and similar awards should be accounted for in accordance with Topic 718. For all business entities, the amendments in this ASU are effective for fiscal years beginning after December 15, 2025, and interim periods within those fiscal periods. The amendments are applied prospectively, and early adoption is permitted. Management does not expect an impact on the Company's consolidated financial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The purpose of this update was to modernize the accounting for software costs. For all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the amendments in this ASU are effective for fiscal years beginning after December 15, 2027, and interim periods within those fiscal periods. The amendments can be applied prospectively, a modified transition or retrospectively. Early adoption is permitted as of the beginning of an annual reporting period. Management does not expect an impact on the Company's consolidated financial statements.</w:t>
      </w: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INVENTORIES: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16,775</w:t>
            </w:r>
          </w:p>
        </w:tc>
      </w:tr>
      <w:tr>
        <w:trPr>
          <w:trHeight w:val="237"/>
        </w:trPr>
        <w:tc>
          <w:tcPr>
            <w:tcW w:w="818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34,197</w:t>
            </w:r>
          </w:p>
        </w:tc>
      </w:tr>
      <w:tr>
        <w:trPr>
          <w:trHeight w:val="27"/>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013"/>
        </w:trPr>
        <w:tc>
          <w:tcPr>
            <w:tcW w:w="8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PROPERTY, PLANT, AND EQUIPMENT,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11,147</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 payable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0"/>
        </w:trPr>
        <w:tc>
          <w:tcPr>
            <w:tcW w:w="8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BENEFITS: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Q1 2024 Reduction in Workforce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first quarter of 2024, the Company executed a reduction in workforce largely affecting its COVID-19 manufacturing workforce.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 of operations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7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186"/>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tcPr>
          <w:p>
            <w:pPr>
              <w:jc w:val="right"/>
              <w:ind w:right="1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89"/>
        </w:trPr>
        <w:tc>
          <w:tcPr>
            <w:tcW w:w="77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fully paid the $0.4 million related to the reduction in workforce. This reduction in workforce was completed by December 31, 2024.</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Q2 2024 Reduction in Workforce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During the second quarter of 2024, the Company executed an additional reduction in workforce as the Company notified employees of its intention to consolidate its Novosanis site in Belgium into other locations by the end of December 31, 2024, discontinue the Diversigen molecular services line of business by the end of June 30, 2024, and consolidate facilities by bringing third-party manufacturing activities into its Pennsylvania facilities by the end of the third quarter of 2025.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7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186"/>
        </w:trPr>
        <w:tc>
          <w:tcPr>
            <w:tcW w:w="7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0" w:type="dxa"/>
            <w:vAlign w:val="bottom"/>
          </w:tcPr>
          <w:p>
            <w:pPr>
              <w:jc w:val="right"/>
              <w:ind w:right="1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tcPr>
          <w:p>
            <w:pPr>
              <w:spacing w:after="0"/>
              <w:rPr>
                <w:sz w:val="3"/>
                <w:szCs w:val="3"/>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89"/>
        </w:trPr>
        <w:tc>
          <w:tcPr>
            <w:tcW w:w="77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$0.3 million accrued and had paid $1.4 million related to the reduction in workforce. No additional expenses were incurred during the nine months ended September 30, 2025. The Company expects this reduction in workforce to be completed by October 2025.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Q3 2024 Reduction in Workforce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third quarter of 2024, the Company executed a reduction in workforce largely as the Company notified certain employees of its intention to discontinue its risk assessment business. Additional employees were notified in the fourth quarter of 2024. This was accounted for pursuant to ASC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The charges for termination benefits included in the Company's consolidated statements of operations are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r>
      <w:tr>
        <w:trPr>
          <w:trHeight w:val="37"/>
        </w:trPr>
        <w:tc>
          <w:tcPr>
            <w:tcW w:w="76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186"/>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tcPr>
          <w:p>
            <w:pPr>
              <w:jc w:val="right"/>
              <w:ind w:right="1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6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89"/>
        </w:trPr>
        <w:tc>
          <w:tcPr>
            <w:tcW w:w="76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r>
      <w:tr>
        <w:trPr>
          <w:trHeight w:val="1236"/>
        </w:trPr>
        <w:tc>
          <w:tcPr>
            <w:tcW w:w="7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$0.2 million accrued and had paid $1.0 million related to the reduction in workforce. No additional expense was incurred during the nine months ended September 30, 2025. The Company expects this reduction in workforce to be completed by December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Product 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represents total net revenues by product line: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6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6"/>
                <w:szCs w:val="16"/>
                <w:color w:val="auto"/>
              </w:rPr>
            </w:pPr>
          </w:p>
        </w:tc>
        <w:tc>
          <w:tcPr>
            <w:tcW w:w="322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40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0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HIV</w:t>
            </w:r>
          </w:p>
        </w:tc>
        <w:tc>
          <w:tcPr>
            <w:tcW w:w="1080" w:type="dxa"/>
            <w:vAlign w:val="bottom"/>
            <w:tcBorders>
              <w:bottom w:val="single" w:sz="8" w:color="CCEEFF"/>
            </w:tcBorders>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45,379</w:t>
            </w: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(1)</w:t>
            </w:r>
          </w:p>
        </w:tc>
        <w:tc>
          <w:tcPr>
            <w:tcW w:w="10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36,237</w:t>
            </w: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HCV</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10,962</w:t>
            </w: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 and services revenues </w:t>
            </w:r>
            <w:r>
              <w:rPr>
                <w:rFonts w:ascii="Times New Roman" w:cs="Times New Roman" w:eastAsia="Times New Roman" w:hAnsi="Times New Roman"/>
                <w:sz w:val="23"/>
                <w:szCs w:val="23"/>
                <w:color w:val="auto"/>
                <w:vertAlign w:val="superscript"/>
              </w:rPr>
              <w:t>(2)</w:t>
            </w:r>
          </w:p>
        </w:tc>
        <w:tc>
          <w:tcPr>
            <w:tcW w:w="10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7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COVID-19 </w:t>
            </w:r>
            <w:r>
              <w:rPr>
                <w:rFonts w:ascii="Times New Roman" w:cs="Times New Roman" w:eastAsia="Times New Roman" w:hAnsi="Times New Roman"/>
                <w:sz w:val="23"/>
                <w:szCs w:val="23"/>
                <w:color w:val="auto"/>
                <w:vertAlign w:val="superscript"/>
              </w:rPr>
              <w:t>(3)</w:t>
            </w:r>
          </w:p>
        </w:tc>
        <w:tc>
          <w:tcPr>
            <w:tcW w:w="10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w:t>
            </w: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(4)</w:t>
            </w:r>
          </w:p>
        </w:tc>
        <w:tc>
          <w:tcPr>
            <w:tcW w:w="108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37"/>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1080" w:type="dxa"/>
            <w:vAlign w:val="bottom"/>
            <w:tcBorders>
              <w:top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147,380</w:t>
            </w:r>
          </w:p>
        </w:tc>
      </w:tr>
      <w:tr>
        <w:trPr>
          <w:trHeight w:val="27"/>
        </w:trPr>
        <w:tc>
          <w:tcPr>
            <w:tcW w:w="4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10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63"/>
        </w:trPr>
        <w:tc>
          <w:tcPr>
            <w:tcW w:w="4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revenues</w:t>
            </w: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148,382</w:t>
            </w:r>
          </w:p>
        </w:tc>
      </w:tr>
      <w:tr>
        <w:trPr>
          <w:trHeight w:val="20"/>
        </w:trPr>
        <w:tc>
          <w:tcPr>
            <w:tcW w:w="4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Genomics, Microbiome and Colli-Pee</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product revenues.</w:t>
      </w:r>
    </w:p>
    <w:p>
      <w:pPr>
        <w:ind w:left="180" w:hanging="172"/>
        <w:spacing w:after="0" w:line="187" w:lineRule="auto"/>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Syphilis revenues.</w:t>
      </w:r>
    </w:p>
    <w:p>
      <w:pPr>
        <w:ind w:left="160" w:hanging="152"/>
        <w:spacing w:after="0" w:line="211"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COVID-19 Diagnostics and COVID-19 Sample Management Solutions revenues.</w:t>
      </w:r>
    </w:p>
    <w:p>
      <w:pPr>
        <w:spacing w:after="0" w:line="10" w:lineRule="exact"/>
        <w:rPr>
          <w:rFonts w:ascii="Times New Roman" w:cs="Times New Roman" w:eastAsia="Times New Roman" w:hAnsi="Times New Roman"/>
          <w:sz w:val="19"/>
          <w:szCs w:val="19"/>
          <w:color w:val="auto"/>
          <w:vertAlign w:val="superscript"/>
        </w:rPr>
      </w:pPr>
    </w:p>
    <w:p>
      <w:pPr>
        <w:ind w:left="160" w:hanging="152"/>
        <w:spacing w:after="0" w:line="207"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substance abuse testing product revenues.</w:t>
      </w:r>
    </w:p>
    <w:p>
      <w:pPr>
        <w:ind w:left="160" w:hanging="152"/>
        <w:spacing w:after="0" w:line="211" w:lineRule="auto"/>
        <w:tabs>
          <w:tab w:leader="none" w:pos="16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funded research and development contracts, royalty income and grant 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 by Geographic Area</w:t>
      </w:r>
      <w:r>
        <w:rPr>
          <w:rFonts w:ascii="Times New Roman" w:cs="Times New Roman" w:eastAsia="Times New Roman" w:hAnsi="Times New Roman"/>
          <w:sz w:val="18"/>
          <w:szCs w:val="18"/>
          <w:color w:val="auto"/>
        </w:rPr>
        <w:t>. The following table represents total net revenues by geographic area, based on the location of the customer: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6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0" w:type="dxa"/>
            <w:vAlign w:val="bottom"/>
          </w:tcPr>
          <w:p>
            <w:pPr>
              <w:spacing w:after="0"/>
              <w:rPr>
                <w:sz w:val="16"/>
                <w:szCs w:val="16"/>
                <w:color w:val="auto"/>
              </w:rPr>
            </w:pPr>
          </w:p>
        </w:tc>
        <w:tc>
          <w:tcPr>
            <w:tcW w:w="322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40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0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115,055</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23,446</w:t>
            </w:r>
          </w:p>
        </w:tc>
      </w:tr>
      <w:tr>
        <w:trPr>
          <w:trHeight w:val="27"/>
        </w:trPr>
        <w:tc>
          <w:tcPr>
            <w:tcW w:w="4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10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7"/>
        </w:trPr>
        <w:tc>
          <w:tcPr>
            <w:tcW w:w="4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148,382</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Customer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represents customer concentration risk: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0"/>
        </w:trPr>
        <w:tc>
          <w:tcPr>
            <w:tcW w:w="728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7"/>
        </w:trPr>
        <w:tc>
          <w:tcPr>
            <w:tcW w:w="72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186"/>
        </w:trPr>
        <w:tc>
          <w:tcPr>
            <w:tcW w:w="72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728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3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Revenues</w:t>
            </w:r>
          </w:p>
        </w:tc>
        <w:tc>
          <w:tcPr>
            <w:tcW w:w="1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r>
      <w:tr>
        <w:trPr>
          <w:trHeight w:val="27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Commercial customer </w:t>
            </w:r>
            <w:r>
              <w:rPr>
                <w:rFonts w:ascii="Times New Roman" w:cs="Times New Roman" w:eastAsia="Times New Roman" w:hAnsi="Times New Roman"/>
                <w:sz w:val="23"/>
                <w:szCs w:val="23"/>
                <w:color w:val="auto"/>
                <w:vertAlign w:val="superscript"/>
              </w:rPr>
              <w:t>(1)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7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Commercial customer </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4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Non-commercial customer</w:t>
            </w: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192"/>
        </w:trPr>
        <w:tc>
          <w:tcPr>
            <w:tcW w:w="728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728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23"/>
        </w:trPr>
        <w:tc>
          <w:tcPr>
            <w:tcW w:w="72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Accounts Receivable</w:t>
            </w:r>
          </w:p>
        </w:tc>
        <w:tc>
          <w:tcPr>
            <w:tcW w:w="19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7"/>
        </w:trPr>
        <w:tc>
          <w:tcPr>
            <w:tcW w:w="7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customer</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2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04"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Each commercial customer is different.</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customers that accounted for over 10% of the Company's consolidated net revenues during the three and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Vendor concentrations.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currently purchases certain products and critical components of the Company's products from sole-supply vendors.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vendors are unable or unwilling to supply the required components and products, the Company could be subject to increased costs and substantial delays in the delivery of the Company's products to its customers. Third-party suppliers also manufacture certain products. The Company's inability to have a timely supply of any of these components and products could have a material adverse effect on the Company's business, as well as the Company's financial condition and results of operations.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Deferred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records deferred revenue when funds are received prior to the recognition of the associated revenue. Deferred revenue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September 30, 2025 and December 31, 2024 was comprised of customer prepayments of $1.9 million and $3.0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deferred revenue recognized: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3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37"/>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Revenue Recognized</w:t>
            </w:r>
          </w:p>
        </w:tc>
        <w:tc>
          <w:tcPr>
            <w:tcW w:w="1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at beginning of year</w:t>
            </w:r>
          </w:p>
        </w:tc>
        <w:tc>
          <w:tcPr>
            <w:tcW w:w="1220" w:type="dxa"/>
            <w:vAlign w:val="bottom"/>
            <w:tcBorders>
              <w:bottom w:val="single" w:sz="8" w:color="auto"/>
            </w:tcBorders>
            <w:shd w:val="clear" w:color="auto" w:fill="CCEEFF"/>
          </w:tcPr>
          <w:p>
            <w:pPr>
              <w:jc w:val="right"/>
              <w:ind w:right="102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3"/>
        </w:trPr>
        <w:tc>
          <w:tcPr>
            <w:tcW w:w="39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 expense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2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40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86"/>
        </w:trPr>
        <w:tc>
          <w:tcPr>
            <w:tcW w:w="4080" w:type="dxa"/>
            <w:vAlign w:val="bottom"/>
          </w:tcPr>
          <w:p>
            <w:pPr>
              <w:spacing w:after="0"/>
              <w:rPr>
                <w:sz w:val="16"/>
                <w:szCs w:val="16"/>
                <w:color w:val="auto"/>
              </w:rPr>
            </w:pP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expense</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(benefit) expense</w:t>
            </w:r>
          </w:p>
        </w:tc>
        <w:tc>
          <w:tcPr>
            <w:tcW w:w="1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7"/>
        </w:trPr>
        <w:tc>
          <w:tcPr>
            <w:tcW w:w="4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income tax expense (benefit)</w:t>
            </w:r>
          </w:p>
        </w:tc>
        <w:tc>
          <w:tcPr>
            <w:tcW w:w="1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7"/>
        </w:trPr>
        <w:tc>
          <w:tcPr>
            <w:tcW w:w="4080" w:type="dxa"/>
            <w:vAlign w:val="bottom"/>
          </w:tcPr>
          <w:p>
            <w:pPr>
              <w:spacing w:after="0"/>
              <w:rPr>
                <w:sz w:val="20"/>
                <w:szCs w:val="20"/>
                <w:color w:val="auto"/>
              </w:rPr>
            </w:pPr>
          </w:p>
        </w:tc>
        <w:tc>
          <w:tcPr>
            <w:tcW w:w="1160" w:type="dxa"/>
            <w:vAlign w:val="bottom"/>
            <w:tcBorders>
              <w:top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right"/>
              <w:ind w:right="11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7"/>
        </w:trPr>
        <w:tc>
          <w:tcPr>
            <w:tcW w:w="40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recorded income tax expense of $47.0 thousand and $0.7 million, respectively. The state income tax benefit for the three months ended September 30, 2025 is largely comprised of an adjustment made to the Company's liability for uncertain tax position for certain tax matters, including penalty and interest. During the nine months ended September 30, 2025 and 2024, the Company recorded income tax expense of $1.6 million and $1.0 million, respectively. The state income tax expense for the nine months ended September 30, 2025 is largely due to recording an uncertain tax position for certain tax matters, including penalty and interest. The decline in foreign taxes for the nine months ended September 30, 2025 is due to lower pretax earnings in 2025 as compared to 2024.</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asset as of September 30, 2025 and at December 31, 2024 relate to the tax effects of the basis difference of acquired intangible assets.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valuation allowance is recorded to the extent it is more likely than not that some portion or all of the deferred tax assets will not be realized. A full valuation allowance was recorded on the Company’s U.S. and U.K. deferred tax assets as of September 30, 2025 and December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Uncertain tax positions were approximately $1.9 million and $0.0 million, as of September 30, 2025 and December 31, 2024, respectively. The Company’s uncertain tax position relates to U.S. federal and other jurisdictions.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Any assessments or settlements could result in changes to our contingencies related to positions on prior years’ tax filings.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Congress enacted the One Big Beautiful Bill Act (“OBBBA”), which includes several changes to the Internal Revenue Code which will result in changes to the Company’s income tax expense. The Company has evaluated the impacts of the OBBBA and determined changes in tax law will not materially affect the Company’s operating performance or financial position.</w:t>
      </w: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INCOME (LOSS) PER SHARE:</w:t>
      </w:r>
    </w:p>
    <w:p>
      <w:pPr>
        <w:spacing w:after="0" w:line="3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2025 and 2024, outstanding common stock options, unvested restricted stock, and unvested performance stock units representing 585 shares and 389 shares, respectively, were excluded from the computation of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and 2024, outstanding common stock options, unvested restricted stock, and unvested performance stock units representing 605 shares and 999 shares, respectively, were excluded from the computation of diluted loss per share.</w:t>
      </w:r>
    </w:p>
    <w:p>
      <w:pPr>
        <w:spacing w:after="0" w:line="266"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the Company's management through various methods in compliance with applicable state and federal securities laws. The Company repurchased 3.3 million shares of its common stock under the Repurchase Program during the nine months ended September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changes in stockholders' equity for the three and nine months ended September 30, 2025 and 2024 is as follows:</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538,129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(103,431)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410,338</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restricted stock and performance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and retirement of common shares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(16,040)</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539,875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396,282</w:t>
            </w:r>
          </w:p>
        </w:tc>
        <w:tc>
          <w:tcPr>
            <w:tcW w:w="0" w:type="dxa"/>
            <w:vAlign w:val="bottom"/>
          </w:tcPr>
          <w:p>
            <w:pPr>
              <w:spacing w:after="0"/>
              <w:rPr>
                <w:sz w:val="1"/>
                <w:szCs w:val="1"/>
                <w:color w:val="auto"/>
              </w:rPr>
            </w:pP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Vesting of restricted stock and performance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9"/>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and retirement of common shares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w:t>
            </w:r>
          </w:p>
        </w:tc>
        <w:tc>
          <w:tcPr>
            <w:tcW w:w="0" w:type="dxa"/>
            <w:vAlign w:val="bottom"/>
          </w:tcPr>
          <w:p>
            <w:pPr>
              <w:spacing w:after="0"/>
              <w:rPr>
                <w:sz w:val="1"/>
                <w:szCs w:val="1"/>
                <w:color w:val="auto"/>
              </w:rPr>
            </w:pP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3,165</w:t>
            </w:r>
          </w:p>
        </w:tc>
        <w:tc>
          <w:tcPr>
            <w:tcW w:w="0" w:type="dxa"/>
            <w:vAlign w:val="bottom"/>
          </w:tcPr>
          <w:p>
            <w:pPr>
              <w:spacing w:after="0"/>
              <w:rPr>
                <w:sz w:val="1"/>
                <w:szCs w:val="1"/>
                <w:color w:val="auto"/>
              </w:rPr>
            </w:pPr>
          </w:p>
        </w:tc>
      </w:tr>
      <w:tr>
        <w:trPr>
          <w:trHeight w:val="29"/>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0" w:type="dxa"/>
            <w:vAlign w:val="bottom"/>
          </w:tcPr>
          <w:p>
            <w:pPr>
              <w:spacing w:after="0"/>
              <w:rPr>
                <w:sz w:val="1"/>
                <w:szCs w:val="1"/>
                <w:color w:val="auto"/>
              </w:rPr>
            </w:pPr>
          </w:p>
        </w:tc>
      </w:tr>
      <w:tr>
        <w:trPr>
          <w:trHeight w:val="228"/>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(19,693)</w:t>
            </w:r>
          </w:p>
        </w:tc>
        <w:tc>
          <w:tcPr>
            <w:tcW w:w="0" w:type="dxa"/>
            <w:vAlign w:val="bottom"/>
          </w:tcPr>
          <w:p>
            <w:pPr>
              <w:spacing w:after="0"/>
              <w:rPr>
                <w:sz w:val="1"/>
                <w:szCs w:val="1"/>
                <w:color w:val="auto"/>
              </w:rPr>
            </w:pPr>
          </w:p>
        </w:tc>
      </w:tr>
      <w:tr>
        <w:trPr>
          <w:trHeight w:val="29"/>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Currency translation adjustments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6,751</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537,256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380,721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535,029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361,980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6"/>
        </w:trPr>
        <w:tc>
          <w:tcPr>
            <w:tcW w:w="4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0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8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08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430,671</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issued upon exercise of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73,959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531,263</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426,251</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74,568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532,601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425,840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Vesting of restricted stock and performance stock units</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and retirement of common 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6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535,402</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425,565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6"/>
        </w:trPr>
        <w:tc>
          <w:tcPr>
            <w:tcW w:w="4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reportable segment derives its revenues from the sale of diagnostics products and sample management solutions, as described in Note 1 Summary of Significant Accounting Policies. As the Company has only one reportable segment, there are no inter-segment sales or transfers.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CODM uses consolidated net income (loss) as reported in the consolidated statement of operations as the primary measure of the reportable segment's profit or loss. The CODM uses consolidated net income (loss) to assess the performance of the segment and make decisions about resource allocation. Consolidated gross profit and consolidated operating income (loss), as reported in the consolidated statement of operations, are also used by the CODM as measures of segment profit or loss. The CODM uses gross profit to assess the impact of the Company's efforts to achieve manufacturing efficiencies and consolidate its production activities. The CODM uses operating income (loss) to assess the impact of the Company's recent restructurings, reduction in workforce, and efforts to streamline its operations to achieve cost savings. The CODM uses consolidated total assets as the measure of segment assets, as reported on the consolidated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reportable segment are the same as those described in 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total long-lived assets by geographic area: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4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7"/>
        </w:trPr>
        <w:tc>
          <w:tcPr>
            <w:tcW w:w="77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7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40,286</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7"/>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regions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77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58,692</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4864735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reported segment revenues, segment profit (loss), and significant segment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36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00" w:type="dxa"/>
            <w:vAlign w:val="bottom"/>
          </w:tcPr>
          <w:p>
            <w:pPr>
              <w:spacing w:after="0"/>
              <w:rPr>
                <w:sz w:val="16"/>
                <w:szCs w:val="16"/>
                <w:color w:val="auto"/>
              </w:rPr>
            </w:pPr>
          </w:p>
        </w:tc>
        <w:tc>
          <w:tcPr>
            <w:tcW w:w="3280" w:type="dxa"/>
            <w:vAlign w:val="bottom"/>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40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40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148,382</w:t>
            </w:r>
          </w:p>
        </w:tc>
      </w:tr>
      <w:tr>
        <w:trPr>
          <w:trHeight w:val="27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products and services sold </w:t>
            </w:r>
            <w:r>
              <w:rPr>
                <w:rFonts w:ascii="Times New Roman" w:cs="Times New Roman" w:eastAsia="Times New Roman" w:hAnsi="Times New Roman"/>
                <w:sz w:val="23"/>
                <w:szCs w:val="23"/>
                <w:color w:val="auto"/>
                <w:vertAlign w:val="superscript"/>
              </w:rPr>
              <w:t>(2)</w:t>
            </w:r>
          </w:p>
        </w:tc>
        <w:tc>
          <w:tcPr>
            <w:tcW w:w="10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15,313</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82,558</w:t>
            </w: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65,824</w:t>
            </w:r>
          </w:p>
        </w:tc>
      </w:tr>
      <w:tr>
        <w:trPr>
          <w:trHeight w:val="27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19,960</w:t>
            </w:r>
          </w:p>
        </w:tc>
      </w:tr>
      <w:tr>
        <w:trPr>
          <w:trHeight w:val="27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(2)</w:t>
            </w:r>
          </w:p>
        </w:tc>
        <w:tc>
          <w:tcPr>
            <w:tcW w:w="10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w:t>
            </w:r>
          </w:p>
        </w:tc>
      </w:tr>
      <w:tr>
        <w:trPr>
          <w:trHeight w:val="27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11,081</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33,310</w:t>
            </w: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impairments</w:t>
            </w:r>
          </w:p>
        </w:tc>
        <w:tc>
          <w:tcPr>
            <w:tcW w:w="10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r>
      <w:tr>
        <w:trPr>
          <w:trHeight w:val="225"/>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the estimated fair value of acquisition-</w:t>
            </w: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4"/>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contingent consideration</w:t>
            </w:r>
          </w:p>
        </w:tc>
        <w:tc>
          <w:tcPr>
            <w:tcW w:w="1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0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(51,866)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(15,832)</w:t>
            </w:r>
          </w:p>
        </w:tc>
      </w:tr>
      <w:tr>
        <w:trPr>
          <w:trHeight w:val="27"/>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revenue</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r>
      <w:tr>
        <w:trPr>
          <w:trHeight w:val="27"/>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r>
      <w:tr>
        <w:trPr>
          <w:trHeight w:val="27"/>
        </w:trPr>
        <w:tc>
          <w:tcPr>
            <w:tcW w:w="4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equity investment</w:t>
            </w:r>
          </w:p>
        </w:tc>
        <w:tc>
          <w:tcPr>
            <w:tcW w:w="10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7"/>
        </w:trPr>
        <w:tc>
          <w:tcPr>
            <w:tcW w:w="4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interest expense and foreign currency gains (losses).</w:t>
      </w:r>
    </w:p>
    <w:p>
      <w:pPr>
        <w:ind w:left="160" w:hanging="152"/>
        <w:spacing w:after="0" w:line="211" w:lineRule="auto"/>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following tables represent additional significant segment expense categories: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36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00" w:type="dxa"/>
            <w:vAlign w:val="bottom"/>
          </w:tcPr>
          <w:p>
            <w:pPr>
              <w:spacing w:after="0"/>
              <w:rPr>
                <w:sz w:val="16"/>
                <w:szCs w:val="16"/>
                <w:color w:val="auto"/>
              </w:rPr>
            </w:pPr>
          </w:p>
        </w:tc>
        <w:tc>
          <w:tcPr>
            <w:tcW w:w="32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40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400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w:t>
            </w:r>
          </w:p>
        </w:tc>
      </w:tr>
      <w:tr>
        <w:trPr>
          <w:trHeight w:val="237"/>
        </w:trPr>
        <w:tc>
          <w:tcPr>
            <w:tcW w:w="4000" w:type="dxa"/>
            <w:vAlign w:val="bottom"/>
          </w:tcPr>
          <w:p>
            <w:pPr>
              <w:spacing w:after="0"/>
              <w:rPr>
                <w:sz w:val="20"/>
                <w:szCs w:val="20"/>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9,178</w:t>
            </w:r>
          </w:p>
        </w:tc>
      </w:tr>
      <w:tr>
        <w:trPr>
          <w:trHeight w:val="27"/>
        </w:trPr>
        <w:tc>
          <w:tcPr>
            <w:tcW w:w="40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524"/>
        </w:trPr>
        <w:tc>
          <w:tcPr>
            <w:tcW w:w="4000" w:type="dxa"/>
            <w:vAlign w:val="bottom"/>
          </w:tcPr>
          <w:p>
            <w:pPr>
              <w:spacing w:after="0"/>
              <w:rPr>
                <w:sz w:val="24"/>
                <w:szCs w:val="24"/>
                <w:color w:val="auto"/>
              </w:rPr>
            </w:pPr>
          </w:p>
        </w:tc>
        <w:tc>
          <w:tcPr>
            <w:tcW w:w="36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300" w:type="dxa"/>
            <w:vAlign w:val="bottom"/>
          </w:tcPr>
          <w:p>
            <w:pPr>
              <w:spacing w:after="0"/>
              <w:rPr>
                <w:sz w:val="24"/>
                <w:szCs w:val="24"/>
                <w:color w:val="auto"/>
              </w:rPr>
            </w:pPr>
          </w:p>
        </w:tc>
        <w:tc>
          <w:tcPr>
            <w:tcW w:w="328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37"/>
        </w:trPr>
        <w:tc>
          <w:tcPr>
            <w:tcW w:w="40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400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0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1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products and services sold</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7"/>
        </w:trPr>
        <w:tc>
          <w:tcPr>
            <w:tcW w:w="4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36"/>
        </w:trPr>
        <w:tc>
          <w:tcPr>
            <w:tcW w:w="4000" w:type="dxa"/>
            <w:vAlign w:val="bottom"/>
          </w:tcPr>
          <w:p>
            <w:pPr>
              <w:spacing w:after="0"/>
              <w:rPr>
                <w:sz w:val="20"/>
                <w:szCs w:val="20"/>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w:t>
            </w:r>
          </w:p>
        </w:tc>
      </w:tr>
      <w:tr>
        <w:trPr>
          <w:trHeight w:val="27"/>
        </w:trPr>
        <w:tc>
          <w:tcPr>
            <w:tcW w:w="4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013"/>
        </w:trPr>
        <w:tc>
          <w:tcPr>
            <w:tcW w:w="40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Sherlock Biosciences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19, 2024, the Company acquired all of the outstanding stock of Sherlock, pursuant to the terms of a merger agreement (the "Merger Agreement"). The Company began operating this entity as of the December 19, 2024 closing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reason for the acquisition was Sherlock's first test for Chlamydia Trachomatis (CT) and Neisseria Gonorrhoeae (NG), which is in clinical studies and is expected to be submitted to the FDA in late 2025 or early 2026 for r. Subject to regulatory approvals, this test is expected to expand the Company's portfolio for rapid diagnostics for sexually transmitted infections.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The initial aggregate purchase price of this transaction was funded with cash on hand as shown in the table below:</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43"/>
        </w:trPr>
        <w:tc>
          <w:tcPr>
            <w:tcW w:w="9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contingent consideration</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based contingent consideration</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to Sherlock</w:t>
            </w: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expenses</w:t>
            </w: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9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policy expense</w:t>
            </w: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aggregate purchase price</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28,349</w:t>
            </w:r>
          </w:p>
        </w:tc>
      </w:tr>
      <w:tr>
        <w:trPr>
          <w:trHeight w:val="21"/>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the Company agreed to pay up to $20.0 million of contingent consideration based on the achievement of a regulatory milestone on or before December 31, 2026 as defined in the Merger Agreement. The acquisition-date fair value of the milestone contingent consideration was $15.9 million. The range of outcome for the milestone contingent consideration is zero to $20.0 million. There is also a mid-single digits quarterly royalty fee based on future sales until 2034 as defined in the Merger Agreement, the fair value of which was determined as part of the contingent consideration. The estimated acquisition-date fair value of the royalty fee acquisition-related contingent consideration was $7.0 million. The range of outcome for the royalty payment cannot be determined due to the fact it is based on future sales associated with the acquired in-process research and development technology through 2034 and thus does not have an upper limit.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the Company incurred a total of $1.0 million of acquisition related costs, including accounting, legal, and other professional fees, all of which were expensed and reported as a component of general and administrative expenses in the consolidated statement of operations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the assets acquired and liabilities assumed as of the acquisition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technology intangible asset</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w:t>
            </w:r>
          </w:p>
        </w:tc>
      </w:tr>
      <w:tr>
        <w:trPr>
          <w:trHeight w:val="237"/>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39,738</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43"/>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7"/>
        </w:trPr>
        <w:tc>
          <w:tcPr>
            <w:tcW w:w="9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37"/>
        </w:trPr>
        <w:tc>
          <w:tcPr>
            <w:tcW w:w="9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11,791</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fair value of contingent consideration</w:t>
            </w: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(22,910)</w:t>
            </w:r>
          </w:p>
        </w:tc>
      </w:tr>
      <w:tr>
        <w:trPr>
          <w:trHeight w:val="27"/>
        </w:trPr>
        <w:tc>
          <w:tcPr>
            <w:tcW w:w="95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Paid (net of cash acquired of $402)</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price was allocated to the tangible assets and identifiable intangible assets acquired and liabilities assumed based on their acquisition-date estimate fair values. The identifiable intangible assets included in-process research and development technology ("IPR&amp;D Technology"), which is an indefinite lived asset.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with the assistance of an independent valuation specialist, assessed the fair value of the assets and contingent consideration of Sherlock. The income approach was used to value the acquired intangibles and the fair value measurements were primarily based on significant inputs that are not observable in the market and are considered Level 3 fair value measurements. The income approach estimates fair value for an asset based on the present value of cash flows projected to be generated by the asset. Projected cash flows are discounted at a required rate of return that reflects the relative risk of achieving the cash flows and the time value of money.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regulatory milestone scenario based model was used to value the assumed milestone contingent consideration, were primarily based on significant unobservable inputs and are considered Level 3 fair value measurements. The regulatory milestone scenario based model estimates fair value for contingent consideration based on the probability of on the achievement of a certain milestone as defined under the agreements and the discount 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approach was used to value the royalty based contingent consideration, were primarily based on significant unobservable inputs and are considered Level 3 fair value measurements. The fair value of contingent payments approach were primarily based on projected cash flows, probability of on the achievement of a regulatory milestone as defined under the agreements, and discount rate.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calculated as the difference between the acquisition date fair value of the consideration transferred and the fair value of the net assets acquired, and represents the future economic benefits that we expect to achieve as a result of the acquisition. The Company believes the goodwill related to the acquisition was a result of Sherlock providing a product offering that will enable the Company to leverage those products with existing and new customers. The goodwill is not deductible for income tax purposes.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completed the fair value of the assets acquired and liabilities assumed.</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from Sherlock primarily consist of grant revenues for research and development purposes. Effective as of December 19, 2024, the financial results of Sherlock are included in the consolidated financial results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Unaudited Pro Forma Financial Information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results presented below include the results of the Sherlock acquisition as if it had been consummated as of January 1, 2024. The unaudited pro forma results include depreciation of the acquired property plant and equipment and the estimated tax effect of adjustments to income before income taxes but do not include changes in the fair value of the Company's contingent consideration obligations. Material nonrecurring charges, directly attributable to the transactions, including direct acquisition costs, are also excluded. In addition, the unaudited pro forma results do not include any expected benefits of the acquisitions. Accordingly, the unaudited pro forma results are not necessarily indicative of either future results of operations or results that might have been achieved had the acquisition been consummated as of January 1, 2024.</w:t>
      </w:r>
    </w:p>
    <w:p>
      <w:pPr>
        <w:sectPr>
          <w:pgSz w:w="11900" w:h="16838" w:orient="portrait"/>
          <w:cols w:equalWidth="0" w:num="1">
            <w:col w:w="11240"/>
          </w:cols>
          <w:pgMar w:left="320" w:top="121" w:right="339" w:bottom="1440" w:gutter="0" w:footer="0" w:header="0"/>
        </w:sectPr>
      </w:pPr>
    </w:p>
    <w:p>
      <w:pPr>
        <w:spacing w:after="0" w:line="262"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41910</wp:posOffset>
            </wp:positionV>
            <wp:extent cx="22542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62"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41910</wp:posOffset>
            </wp:positionV>
            <wp:extent cx="21945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46" w:lineRule="exact"/>
        <w:rPr>
          <w:sz w:val="20"/>
          <w:szCs w:val="20"/>
          <w:color w:val="auto"/>
        </w:rPr>
      </w:pPr>
    </w:p>
    <w:p>
      <w:pPr>
        <w:sectPr>
          <w:pgSz w:w="11900" w:h="16838" w:orient="portrait"/>
          <w:cols w:equalWidth="0" w:num="2">
            <w:col w:w="7480" w:space="720"/>
            <w:col w:w="30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500" w:type="dxa"/>
            <w:vAlign w:val="bottom"/>
            <w:tcBorders>
              <w:top w:val="single" w:sz="8" w:color="auto"/>
              <w:bottom w:val="single" w:sz="8" w:color="CCEEFF"/>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bottom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149,462</w:t>
            </w:r>
          </w:p>
        </w:tc>
      </w:tr>
      <w:tr>
        <w:trPr>
          <w:trHeight w:val="24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100" w:type="dxa"/>
            <w:vAlign w:val="bottom"/>
          </w:tcPr>
          <w:p>
            <w:pPr>
              <w:spacing w:after="0"/>
              <w:rPr>
                <w:sz w:val="21"/>
                <w:szCs w:val="21"/>
                <w:color w:val="auto"/>
              </w:rPr>
            </w:pPr>
          </w:p>
        </w:tc>
        <w:tc>
          <w:tcPr>
            <w:tcW w:w="14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(36,675)</w:t>
            </w:r>
          </w:p>
        </w:tc>
      </w:tr>
    </w:tbl>
    <w:p>
      <w:pPr>
        <w:spacing w:after="0" w:line="200" w:lineRule="exact"/>
        <w:rPr>
          <w:sz w:val="20"/>
          <w:szCs w:val="20"/>
          <w:color w:val="auto"/>
        </w:rPr>
      </w:pPr>
    </w:p>
    <w:p>
      <w:pPr>
        <w:spacing w:after="0" w:line="22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The case is currently in the discovery phase and the schedule for any further proceedings is currently pending.</w:t>
      </w:r>
    </w:p>
    <w:p>
      <w:pPr>
        <w:spacing w:after="0" w:line="200" w:lineRule="exact"/>
        <w:rPr>
          <w:sz w:val="20"/>
          <w:szCs w:val="20"/>
          <w:color w:val="auto"/>
        </w:rPr>
      </w:pPr>
    </w:p>
    <w:p>
      <w:pPr>
        <w:spacing w:after="0" w:line="339"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3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5, 2025, the Company signed a definitive merger agreement ( the "Agreement") with BioMedomics, Inc. (“BioMedomics”), pursuant to which BioMedomics will become a wholly-owned subsidiary of the Company. The closing of the foregoing transaction is subject to various customary conditions, and is expected to occur within the fourth quarter of 2025. The upfront purchase price is $4.0 million in cash, adjusted for certain transaction costs, indebtedness, holdback amounts and working capital adjustments. In addition, pursuant to the Agreement, the Company has agreed to pay certain contingent consideration based on achievement of defined revenue targets by December 31, 2031. Under certain circumstances, the original BioMedomics shareholders may opt to forgo a portion of the final revenue milestone, and instead choose either (i) different revenue milestones related to sales of certain products currently in development by BioMedomics (the “BM Pipeline Products”), or (ii) to share in a portion of the proceeds in the event that the Company enters into a disposition of any of the BM Pipeline Products on or prior to December 31, 2030.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Company's financial condition and results of operations should be read in conjunction with (i) the Company's unaudited condensed consolidated financial statements and related notes appearing elsewhere in this Quarterly Report on Form 10-Q and (ii) the Company's audited consolidated financial statements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i w:val="1"/>
          <w:iCs w:val="1"/>
          <w:color w:val="auto"/>
        </w:rPr>
        <w:t>related notes and management’s discussion and analysis of financial condition and results of operations included in the Company's Annual Report on Form 10-K for the year ended December 31, 2024 filed with the Securities and Exchange Commission on March 7, 2025. Some of the information contained in this discussion and analysis or set forth elsewhere in this Quarterly Report on Form 10-Q, including information with respect to the Company's plans and strategy for its business and impact and potential impacts on its business, includes forward-looking statements that involve risks and uncertainties. As a result of many factors, including, without limitation, those factors set forth in the “Risk Factors” section of the Company's Annual Report on Form 10-K for the year ended December 31, 2024 and the “Risk Factors” section of subsequent Quarterly Reports on Form 10-Q, the Company's actual results or timing of certain events could differ materially from the results or timing described in, or implied by, these forward-looking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business consists of the development, manufacture, marketing and sale of simple, easy to use diagnostic products and specimen collection devices using the Company's proprietary technologies, as well as other diagnostic products including immunoassays and other in vitro diagnostic tests that are used on other specimen types. These products include tests for diseases including HIV, Hepatitis C, Syphilis, and COVID-19 that are performed on a rapid basis at the point of care.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HIV and COVID-19 products are also sold in a consumer-friendly format in the over-the-counter (“OTC”) market in the U.S. and, in the case of the HIV product, as a self-test to individuals in a number of other countries, including as an oral swab in-home test for HIV-1 and HIV-2 in Europe.</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business also includes sample management solutions and services that are used by clinical laboratories, direct-to-consumer laboratories, researchers, pharmaceutical companies, and animal health service and product providers. The revenues from sample management solutions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 Testing</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third quarter of 2024, the Company announced the discontinuance of sales of its risk assessment product line which was completed in the second quarter of 2025. Sales of its risk assessment products did not contribute to revenues during the three months ended September 30, 2025. Sales of its risk assessment products contributed $1.9 million to revenues during the three months ended September 30, 2025 and 2024. Sales of its risk assessment products contributed $1.9 million and $6.3 million to revenues during the nine months ended September 30, 2025 and 2024, respectively. During the first quarter of 2025, the Company sold certain assets that made up the risk assessment product line including certain intellectual property, contracts, permits, and equipment.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BioMedomics, Inc.</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5, 2025, the Company signed a definitive merger agreement ( the "Agreement") with BioMedomics, Inc. (“BioMedomics”), pursuant to which BioMedomics will become a wholly-owned subsidiary of the Company. The closing of the foregoing transaction is subject to various customary conditions, and is expected to occur within the fourth quarter of 2025. The upfront purchase price is $4.0 million in cash, adjusted for certain transaction costs, indebtedness, holdback amounts and working capital adjustments. In addition, pursuant to the Agreement, the Company has agreed to pay certain contingent consideration based on achievement of defined revenue targets by December 31, 2031. Under certain circumstances, the original BioMedomics shareholders may opt to forgo a portion of the final revenue milestone, and instead choose either (i) different revenue milestones related to sales of certain products currently in development by BioMedomics (the “BM Pipeline Products”), or (ii) to share in a portion of the proceeds in the event that the Company enters into a disposition of any of the BM Pipeline Products on or prior to December 31,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 tables are presented in thousands.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2025 compared to September 30, 2024.</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total consolidated net revenues for the three months ended September 30, 2025 and 2024:</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gridSpan w:val="3"/>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0" w:type="dxa"/>
            <w:vAlign w:val="bottom"/>
          </w:tcPr>
          <w:p>
            <w:pPr>
              <w:spacing w:after="0"/>
              <w:rPr>
                <w:sz w:val="1"/>
                <w:szCs w:val="1"/>
                <w:color w:val="auto"/>
              </w:rPr>
            </w:pPr>
          </w:p>
        </w:tc>
      </w:tr>
      <w:tr>
        <w:trPr>
          <w:trHeight w:val="37"/>
        </w:trPr>
        <w:tc>
          <w:tcPr>
            <w:tcW w:w="3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9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7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3"/>
                <w:szCs w:val="23"/>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products and services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1"/>
                <w:szCs w:val="21"/>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39,652</w:t>
            </w:r>
          </w:p>
        </w:tc>
        <w:tc>
          <w:tcPr>
            <w:tcW w:w="10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3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40" w:type="dxa"/>
            <w:vAlign w:val="bottom"/>
            <w:tcBorders>
              <w:bottom w:val="single" w:sz="8" w:color="CCEEFF"/>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9"/>
        </w:trPr>
        <w:tc>
          <w:tcPr>
            <w:tcW w:w="3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39,915</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HCV, Syphilis, and SureQuick</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Colli-Pee</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2"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COVID-19 Sample Management Solutions product revenues.</w:t>
      </w:r>
    </w:p>
    <w:p>
      <w:pPr>
        <w:spacing w:after="0" w:line="12"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substance abuse testing product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32% to $27.1 million for the three months ended September 30, 2025 from $39.9 million for the three months ended September 30,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the Company's Diagnostics products decreased 34% to $14.5 million for the three months ended September 30, 2025 from $22.0 million for the three months ended September 30, 2024. This decrease in revenues is largely due to lower international HIV revenues driven by reduced funding and customer ordering patterns. Sales of domestic HIV also declined driven by reduced funding and due to a decrease in orders under the Together Take Me Home program.</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Sample Management Solutions revenues decreased 20% to $10.3 million for the three months ended September 30, 2025 from $12.8 million for the three months ended September 30, 2024. Sales of the Company's genomics products are being impacted by a large customer's bankruptcy proceedings.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Assessment revenue decreased 100% to nil for the three months ended September 30, 2025 from $1.9 million for the three months ended September 30, 2024. The Company discontinued this line of business at the end of 2024 and business wound down in early 2025.</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COVID-19 Diagnostics revenues decreased 96% to $0.09 million for the three months ended September 30, 2025 compared to $2.2 million for the three months ended September 30, 2024 due to decreased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We expect this level of revenue to continue throughout the remainder of 2025 and for the foreseeable future due to the fulfillment of these contracts and lower overall demand for COVID-19 testing.</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Non-product and services revenues increased 565% to $1.7 million for the three months ended September 30, 2025 from $0.3 million for the three months ended September 30, 2024 primarily due to the recognition of revenue under funded R&amp;D contracts that were assumed by the Company as a result of the Sherlock acquisition at the end of 2024 as well as an increase in funded R&amp;D under other BARDA contracts.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gross profit margin increased to 43.5% for the three months ended September 30, 2025 compared to 42.8% for the three months ended September 30, 2024. The largest drivers of the margin increase were an improved product mix of higher margin product sales and higher non-product revenues which contribute 100% to gross margin. Offsetting these increases in gross margin was lower manufacturing absorption as a result of lower sales volume and higher scrap expense in the 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operating loss for the three months ended September 30, 2025 was $16.1 million compared to a $6.0 million operating loss reported for the three months ended September 30, 2024. The higher operating loss reported in the third quarter of 2025 was largely a result of lower revenues coupled with an increased spend on clinical trials.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80% to $10.1 million for the three months ended September 30, 2025 from $5.6 million for the three months ended September 30, 2024 largely due to higher spend incurred for clinical trials associated with the Chlamydia Trachomatis (CT) and Neisseria Gonorrhoeae (NG) device and additional R&amp;D operational expense layered in from the acquired Sherlock companies.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17% to $6.3 million for the three months ended September 30, 2025 from $7.6 million for the three months ended September 30, 2024 due to lower employee costs as a result of reduced headcount from reduction in force initiatives taken in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13% to $11.1 million for the three months ended September 30, 2025 from $9.8 million for the three months ended September 30, 2024 largely due an increase in legal fees and additional general and administrative costs incurred from the newly acquired Sherlock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recorded a non-cash adjustment of $0.4 million, reflecting the change in the estimated fair value of the Sherlock acquisition-related contingent consideration. The Sherlock acquisition was completed in December 2024 and there was no comparable amount in the third quarter of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$16.1 million for the three months ended September 30, 2025, which included non-cash charges of $2.8 million for stock-based compensation, $2.5 million for depreciation and amortization, and $0.4 million for the change in the estimated fair value of acquisition-related contingent consideration. The Company's operating loss of $6.0 million for the three months ended September 30, 2024 included non-cash charges of $2.9 million for stock-based compensation, and $3.0 million for depreciation and amortization.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For the three months ended September 30, 2025 and 2024, the Company recorded income tax expense of $47.0 thousand and $0.7 million, respectively. The decrease in the income tax expense is largely due to lower pre-tax earnings in both state and foreign jurisdictions.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compared to September 30, 2024.</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an outline of total consolidated net revenues for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14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Percentage of Total Net Revenues</w:t>
            </w:r>
          </w:p>
        </w:tc>
        <w:tc>
          <w:tcPr>
            <w:tcW w:w="0" w:type="dxa"/>
            <w:vAlign w:val="bottom"/>
          </w:tcPr>
          <w:p>
            <w:pPr>
              <w:spacing w:after="0"/>
              <w:rPr>
                <w:sz w:val="1"/>
                <w:szCs w:val="1"/>
                <w:color w:val="auto"/>
              </w:rPr>
            </w:pPr>
          </w:p>
        </w:tc>
      </w:tr>
      <w:tr>
        <w:trPr>
          <w:trHeight w:val="37"/>
        </w:trPr>
        <w:tc>
          <w:tcPr>
            <w:tcW w:w="39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39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Diagnostics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Sample Management Solutions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36,237</w:t>
            </w: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3"/>
                <w:szCs w:val="23"/>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Risk Assessment Testing </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5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Other products and services </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3"/>
                <w:szCs w:val="23"/>
                <w:color w:val="auto"/>
              </w:rPr>
            </w:pPr>
          </w:p>
        </w:tc>
        <w:tc>
          <w:tcPr>
            <w:tcW w:w="14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Diagnostics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44,186</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Molecular Services</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5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product and services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147,380</w:t>
            </w:r>
          </w:p>
        </w:tc>
        <w:tc>
          <w:tcPr>
            <w:tcW w:w="15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 xml:space="preserve">Non-product and services revenues </w:t>
            </w:r>
            <w:r>
              <w:rPr>
                <w:rFonts w:ascii="Times New Roman" w:cs="Times New Roman" w:eastAsia="Times New Roman" w:hAnsi="Times New Roman"/>
                <w:sz w:val="23"/>
                <w:szCs w:val="23"/>
                <w:color w:val="auto"/>
                <w:vertAlign w:val="superscript"/>
              </w:rPr>
              <w:t>(5)</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540" w:type="dxa"/>
            <w:vAlign w:val="bottom"/>
            <w:tcBorders>
              <w:bottom w:val="single" w:sz="8" w:color="CCEEFF"/>
            </w:tcBorders>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89"/>
        </w:trPr>
        <w:tc>
          <w:tcPr>
            <w:tcW w:w="3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HIV, HCV, Syphilis, and SureQuick</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 w:lineRule="exact"/>
        <w:rPr>
          <w:rFonts w:ascii="Times New Roman" w:cs="Times New Roman" w:eastAsia="Times New Roman" w:hAnsi="Times New Roman"/>
          <w:sz w:val="19"/>
          <w:szCs w:val="19"/>
          <w:color w:val="auto"/>
          <w:vertAlign w:val="superscript"/>
        </w:rPr>
      </w:pPr>
    </w:p>
    <w:p>
      <w:pPr>
        <w:ind w:left="240" w:hanging="232"/>
        <w:spacing w:after="0"/>
        <w:tabs>
          <w:tab w:leader="none" w:pos="2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Genomics, Microbiome, and Colli-Pee</w:t>
      </w:r>
      <w:r>
        <w:rPr>
          <w:rFonts w:ascii="Arial" w:cs="Arial" w:eastAsia="Arial" w:hAnsi="Arial"/>
          <w:sz w:val="14"/>
          <w:szCs w:val="14"/>
          <w:color w:val="auto"/>
        </w:rPr>
        <w:t>®</w:t>
      </w:r>
      <w:r>
        <w:rPr>
          <w:rFonts w:ascii="Times New Roman" w:cs="Times New Roman" w:eastAsia="Times New Roman" w:hAnsi="Times New Roman"/>
          <w:sz w:val="14"/>
          <w:szCs w:val="14"/>
          <w:color w:val="auto"/>
        </w:rPr>
        <w:t xml:space="preserve"> product revenues.</w:t>
      </w:r>
    </w:p>
    <w:p>
      <w:pPr>
        <w:spacing w:after="0" w:line="12" w:lineRule="exact"/>
        <w:rPr>
          <w:rFonts w:ascii="Times New Roman" w:cs="Times New Roman" w:eastAsia="Times New Roman" w:hAnsi="Times New Roman"/>
          <w:sz w:val="9"/>
          <w:szCs w:val="9"/>
          <w:color w:val="auto"/>
        </w:rPr>
      </w:pPr>
    </w:p>
    <w:p>
      <w:pPr>
        <w:ind w:left="240" w:hanging="232"/>
        <w:spacing w:after="0"/>
        <w:tabs>
          <w:tab w:leader="none" w:pos="2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substance abuse testing product revenues.</w:t>
      </w:r>
    </w:p>
    <w:p>
      <w:pPr>
        <w:spacing w:after="0" w:line="12"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COVID-19 Sample Management Solutions product revenues.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funded research and development contracts, royalty income, and grant revenues.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and Services Revenues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Consolidated net revenues decreased 41% to $88.3 million for the nine months ended September 30, 2025 from $148.4 million for the nine months ended September 30,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the Company's Diagnostics products decreased 10% to $51.4 million for the nine months ended September 30, 2025 from $57.2 million for the nine months ended September 30, 2024. This decrease in revenues is largely due to lower international HIV revenues primarily driven by a decrease in funding and customer ordering patterns in Africa and Asia. Lower sales of the Company's HIV domestic product due to a decrease in overall funding impacting HIV programs also contributed to the decline in diagnostic revenues. Offsetting these decreases in revenues is an increase in Syphilis revenue resulting from the launch in the second quarter of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Sample Management Solutions revenues decreased by 19% to $29.3 million for the nine months ended September 30, 2025 compared to $36.2 million for the nine months ended September 30, 2024. Sales of the Company's Sample Management Solutions are being impacted by a large customer's bankruptcy.</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COVID-19 Diagnostics revenues decreased 99% to $0.6 million for the nine months ended September 30, 2025 from $44.2 million for the nine months ended September 30, 2024 due to decreased sales of the Company's InteliSwab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tests through its U.S. government procurement contracts. The Company experienced a significant decline in COVID-19 revenues during 2024 due to the fulfillment of these contracts and lower overall demand for COVID-19 testing, and expects further declines in 2025.</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Risk Assessment testing revenues decreased 70% to $1.9 million for the nine months ended September 30, 2025 from $6.3 million for the nine months ended September 30, 2024. The Company discontinued this line of business at the end of 2024 and the business wound down in early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Molecular Services revenues, which were largely derived from the Company's microbiome molecular sequencing services, were nil for the nine months ended September 30, 2025 compared to $1.7 million for the nine months ended September 30, 2024. The decrease in services revenues was due to the decision to exit this line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Non-Product and Services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Non-product and services revenues increased 307% to $4.1 million for the nine months ended September 30, 2025 from $1.0 million for the nine months ended September 30, 2024 primarily due to the recognition of revenue under funded R&amp;D contracts that were assumed by the Company as a result of the Sherlock acquisition at the end of 2024 as well as an increase in funded R&amp;D under other BARDA contracts.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589915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gross profit margin decreased to 42.2% for the nine months ended September 30, 2025 from 44.4% for the nine months ended September 30, 2024. The largest driver of the margin decline was a negative product mix driven by lower InteliSwab® sales that generate higher gross margins and lower genomics sales that also generate higher gross margins. The termination of the microbiome molecular sequencing services business which historically dragged down the gross margin rate helped to improve the gross margin rate during the period along with the higher non-product revenues which contribute 100% to gross margin.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operating loss for the nine months ended September 30, 2025 was $51.9 million, compared to a $15.8 million operating loss reported for the nine months ended September 30, 2024. Results for the nine months ended September 30, 2025 were negatively impacted by the decrease in revenues, lower gross margins earned on the revenues and by higher operating expenses. Results for the nine months ended September 30, 2025 included change in the estimated fair value of acquisition-related contingent consideration of $1.6 million offset by gain on sale of assets of $1.0 million. Results for the nine months ended September 30, 2024 included impairment charges of $4.4 million.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56% to $31.1 million for the nine months ended September 30, 2025 from $20.0 million for the nine months ended September 30, 2024 largely due to higher spend incurred for clinical trials for the Chlamydia Trachomatis (CT) and Neisseria Gonorrhoeae (NG) device and additional R&amp;D operational expense layered in from the acquired Sherlock companies.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19% to $19.5 million for the nine months ended September 30, 2025 from $24.0 million for the nine months ended September 30, 2024 primarily due to decreased employee costs associated with a reduction in headcount, and lower advertising and bad debt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14% to $37.9 million for the nine months ended September 30, 2025 from $33.3 million for the nine months ended September 30, 2024 largely due to higher legal fees relating to the NowDx litigation (discussed further in Note 12, Commitments and Contingencies, to the consolidated financial statements included herein) and costs associated with the Sherlock acquisition. Also contributing to the higher expenses were increased severance, accounting fees, and operating expenses associated with the Company's acquisition of Sherlock in December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above contributed to the Company's operating loss of $51.9 million for the nine months ended September 30, 2025, which included non-cash charges of $8.7 million for stock-based compensation, $7.8 million for depreciation and amortization, and $1.6 million for change in the estimated fair value of acquisition-related contingent consideration. The Company's operating loss of $15.8 million for the nine months ended September 30, 2024 included a non-cash charge of $9.2 million for stock-based compensation, $8.4 million for depreciation and amortization, and impairment charges of $4.4 million.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for the nine months ended September 30, 2025 was $5.7 million compared to $9.3 million for the nine months ended September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other income is primarily due to lower interest income and foreign currency losses in 2025 versus foreign currency gains in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continues to believe the full valuation allowance established against its total U.S. deferred tax asset is appropriate as the facts and circumstances necessitating the allowance have not changed. Although the Company has achieved U.S. cumulative pre-tax earnings based on a rolling three year window the Company has not achieved a level of sustained profitability that would, in its judgment, support the release of the valuation allowance. For the nine months ended September 30, 2025 and 2024, the Company recorded income tax expense of $1.6 million and $1.0 million, respectively. The increase in income tax expense is largely due to recording an uncertain tax position for certain US tax matters, including penalties and interest in 2025 offset by lower pre-tax earnings in foreign jurisdictions in 2025 as compared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5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gridSpan w:val="3"/>
          </w:tcPr>
          <w:p>
            <w:pPr>
              <w:spacing w:after="0"/>
              <w:rPr>
                <w:sz w:val="3"/>
                <w:szCs w:val="3"/>
                <w:color w:val="auto"/>
              </w:rPr>
            </w:pPr>
          </w:p>
        </w:tc>
      </w:tr>
      <w:tr>
        <w:trPr>
          <w:trHeight w:val="186"/>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3"/>
          </w:tcPr>
          <w:p>
            <w:pPr>
              <w:jc w:val="right"/>
              <w:ind w:right="12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216,478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267,763</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242,763</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299,737</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decreased to $216.5 million at September 30, 2025 from $267.8 million at December 31, 2024. $84.7 million, or 39%, of the Company's $216.5 million in cash, cash equivalents and available-for-sale securities is held by DNAG, the Company's Canadian subsidiary.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working capital decreased to $242.8 million at September 30, 2025 from $299.7 million at December 31, 2024. Working capital is primarily a function of sales, purchase volumes, inventory requirements, and vendor payment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Analysis of the Company's Cash Flows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net cash used in operating activities was $40.0 million. Cash flows from operations can be significantly impacted by factors such as timing of receipt from customers, inventory purchases, and payments to vendors. The Company's net loss of $49.4 million included non-cash charges of stock-based compensation expense of $8.7 million and depreciation and amortization expense of $7.8 million, a loss on equity investment of $1.7 million, change in estimated fair value of acquisition-related contingent consideration of $1.6 million and other non-cash charges aggregating to $1.2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by the Company's working capital accounts included a decrease in accrued expenses and other liabilities of $5.3 million largely consisting of the payment of year-end bonuses in March 2025, an increase in prepaid expenses and other assets of $1.9 million as the Company is prepaying for clinical trials, a decrease of $1.7 million in accounts payable, and a decrease in deferred revenue of $1.1 million as work on grant projects is completed and earned. Offsetting these uses of cash is a decrease in inventory of $0.9 million as the Company experienced a decline in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$2.4 million for the nine months ended September 30, 2025, associated with proceeds from sale of property and equipment offset by the acquisition of new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$11.8 million for the nine months ended September 30, 2025, which was largely comprised of $10.0 million to repurchase common stock and $1.8 million used for the repurchase of common stock to satisfy withholding taxes related to the vesting of restricted stock awarded to the Company's employees.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contractual obligations are included in Note 12 of its consolidated financial statements. 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566420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more detailed review of the Company's critical accounting policies is contained in its Annual Report on Form 10-K for the year ended December 31, 2024 filed with the SEC. No material changes have been made to such critical accounting policies during the nine months ended September 30, 2025.</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Company's assessment of its sensitivity to market risk since its presentation set forth in Item 7A, "Quantitative and Qualitative Disclosures About Market Risk," in its Annual Report on Form 10-K for the year ended December 31, 2024.</w:t>
      </w:r>
    </w:p>
    <w:p>
      <w:pPr>
        <w:spacing w:after="0" w:line="26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21" w:lineRule="exact"/>
        <w:rPr>
          <w:sz w:val="20"/>
          <w:szCs w:val="20"/>
          <w:color w:val="auto"/>
        </w:rPr>
      </w:pPr>
    </w:p>
    <w:p>
      <w:pPr>
        <w:jc w:val="both"/>
        <w:ind w:firstLine="8"/>
        <w:spacing w:after="0" w:line="254" w:lineRule="auto"/>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September 30, 2025. Based on that evaluation, the Company’s management, including such officers, concluded that the Company’s disclosure controls and procedures were effective as of September 30, 2025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91"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 Over Financial Reporting</w:t>
      </w:r>
      <w:r>
        <w:rPr>
          <w:rFonts w:ascii="Times New Roman" w:cs="Times New Roman" w:eastAsia="Times New Roman" w:hAnsi="Times New Roman"/>
          <w:sz w:val="18"/>
          <w:szCs w:val="18"/>
          <w:color w:val="auto"/>
        </w:rPr>
        <w:t>. There was no change in the Company’s internal control over financial reporting that occurred during the three months ended September 30, 2025 that has materially affected, or is reasonably likely to materially affect,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NowDiagnostics Litigation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14, 2024 the Company filed a complaint against NowDiagnostics, Inc. ("NowDx"), Jody Berry ("Berry") and Janean Young ("Young") in the United States District Court for the Eastern District of Pennsylvania alleging misappropriation and misuse of the Company's proprietary information and trade secrets by NowDx, Berry and Young in violation of the Federal Defend Trade Secrets Act and the Pennsylvania Uniform Trade Secrets Act. The complaint also alleges breach of contract and duty of loyalty by Young, unfair competition by NowDx, and tortious interference with contractual relations by Berry and NowDx. NowDx filed Counterclaims against the Company on January 13, 2025 and the Company filed its Answer to the Counterclaims on February 3, 2025. Young filed a Motion to Dismiss the claims against her, which was denied by the court on February 4, 2025. NowDx, Berry, and Young agreed to a preliminary injunction which the Court entered on February 27, 2025. The case is currently in the discovery phase and the schedule for any further proceedings is currently pending.</w:t>
      </w:r>
    </w:p>
    <w:p>
      <w:pPr>
        <w:spacing w:after="0" w:line="29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entitled “Risk Factors,” in the Company's Annual Report on Form 10-K for the year ended December 31, 2024 filed with the SEC on March 7, 2025 and the Company’s Quarterly Reports on Form 10-Q for the quarter ended March 31, 2025 and June 30, 2025 filed with the SEC on May 7, 2025 and on August 6, 2025, respectively, other than as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Supplementing the following risk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Disruptions at the FDA and Other Government Agencies Caused By Reduction in Staffing or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beginning on October 1, 2025, the U.S. government shut down, during which time certain regulatory agencies, such as the FDA and the SEC,</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have furloughed critical employees and stopped critical activities. Additionally, on October 10, 2025, the U.S. government implemented substantial layoffs and workforce reductions in connection with the ongoing federal government shutdown, which has resulted in the suspension or delay of various government-funded programs. While we continue to monitor developments, there is no assurance that affected government employees or contractors will be reinstated and that government-funded programs will resume. Without appropriation of additional funding to federal agencies, our business operations related to our product development for the U.S. market could be impacted. 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Any such reduction in personnel may result in longer review times by the FDA, the SEC and other agencies.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and policy changes. Average review times at the agency have fluctuated in recent years as a result. In addition, government funding of other government agencies on which our operations may rely is subject to the impacts of political events, which are inherently fluid and unpredictable.</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Disruptions and personnel turnover, as a result of leadership changes, staff reductions or otherwise, at the FDA and other agencies may slow the time necessary for new products to be reviewed and/or approved by necessary government agencies, which could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or if staffing changes prevent the FDA, the SEC or other regulatory authorities from conducting their regular inspections, reviews, or other regulatory activities, including formal and informal interactions with product developers, it could significantly impact the ability of the FDA, the SEC or other regulatory authority to timely review and process our regulatory submissions, which could have a material adverse effect on our business and our timelines.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77" w:lineRule="exact"/>
        <w:rPr>
          <w:sz w:val="20"/>
          <w:szCs w:val="20"/>
          <w:color w:val="auto"/>
        </w:rPr>
      </w:pPr>
    </w:p>
    <w:tbl>
      <w:tblPr>
        <w:tblLayout w:type="fixed"/>
        <w:tblInd w:w="1800" w:type="dxa"/>
        <w:tblCellMar>
          <w:top w:w="0" w:type="dxa"/>
          <w:left w:w="0" w:type="dxa"/>
          <w:bottom w:w="0" w:type="dxa"/>
          <w:right w:w="0" w:type="dxa"/>
        </w:tblCellMar>
      </w:tblPr>
      <w:tr>
        <w:trPr>
          <w:trHeight w:val="176"/>
        </w:trPr>
        <w:tc>
          <w:tcPr>
            <w:tcW w:w="1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9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Maximum number (or</w:t>
            </w:r>
          </w:p>
        </w:tc>
      </w:tr>
      <w:tr>
        <w:trPr>
          <w:trHeight w:val="175"/>
        </w:trPr>
        <w:tc>
          <w:tcPr>
            <w:tcW w:w="1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9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62"/>
        </w:trPr>
        <w:tc>
          <w:tcPr>
            <w:tcW w:w="1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19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72"/>
        </w:trPr>
        <w:tc>
          <w:tcPr>
            <w:tcW w:w="1500" w:type="dxa"/>
            <w:vAlign w:val="bottom"/>
          </w:tcPr>
          <w:p>
            <w:pPr>
              <w:spacing w:after="0"/>
              <w:rPr>
                <w:sz w:val="14"/>
                <w:szCs w:val="14"/>
                <w:color w:val="auto"/>
              </w:rPr>
            </w:pPr>
          </w:p>
        </w:tc>
        <w:tc>
          <w:tcPr>
            <w:tcW w:w="258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9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repurchased under the plans</w:t>
            </w:r>
          </w:p>
        </w:tc>
      </w:tr>
      <w:tr>
        <w:trPr>
          <w:trHeight w:val="248"/>
        </w:trPr>
        <w:tc>
          <w:tcPr>
            <w:tcW w:w="1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58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96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 xml:space="preserve">or programs </w:t>
            </w:r>
            <w:r>
              <w:rPr>
                <w:rFonts w:ascii="Times New Roman" w:cs="Times New Roman" w:eastAsia="Times New Roman" w:hAnsi="Times New Roman"/>
                <w:sz w:val="18"/>
                <w:szCs w:val="18"/>
                <w:b w:val="1"/>
                <w:bCs w:val="1"/>
                <w:color w:val="auto"/>
                <w:w w:val="99"/>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5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620,831</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5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347,684</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5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576,822</w:t>
            </w:r>
          </w:p>
        </w:tc>
      </w:tr>
      <w:tr>
        <w:trPr>
          <w:trHeight w:val="27"/>
        </w:trPr>
        <w:tc>
          <w:tcPr>
            <w:tcW w:w="4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spacing w:after="0"/>
              <w:rPr>
                <w:sz w:val="20"/>
                <w:szCs w:val="20"/>
                <w:color w:val="auto"/>
              </w:rPr>
            </w:pPr>
          </w:p>
        </w:tc>
        <w:tc>
          <w:tcPr>
            <w:tcW w:w="158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1,545,337</w:t>
            </w:r>
          </w:p>
        </w:tc>
      </w:tr>
      <w:tr>
        <w:trPr>
          <w:trHeight w:val="27"/>
        </w:trPr>
        <w:tc>
          <w:tcPr>
            <w:tcW w:w="4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4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3.21</w:t>
            </w:r>
          </w:p>
        </w:tc>
        <w:tc>
          <w:tcPr>
            <w:tcW w:w="15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613,514</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33,000,000</w:t>
            </w:r>
          </w:p>
        </w:tc>
      </w:tr>
      <w:tr>
        <w:trPr>
          <w:trHeight w:val="270"/>
        </w:trPr>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c>
          <w:tcPr>
            <w:tcW w:w="15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335,160</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32,000,000</w:t>
            </w:r>
          </w:p>
        </w:tc>
      </w:tr>
      <w:tr>
        <w:trPr>
          <w:trHeight w:val="270"/>
        </w:trPr>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3.29</w:t>
            </w:r>
          </w:p>
        </w:tc>
        <w:tc>
          <w:tcPr>
            <w:tcW w:w="15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9"/>
              </w:rPr>
              <w:t>575,750</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r>
      <w:tr>
        <w:trPr>
          <w:trHeight w:val="27"/>
        </w:trPr>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99"/>
              </w:rPr>
              <w:t>1,524,424</w:t>
            </w: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0"/>
        </w:trPr>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700" w:space="0"/>
            <w:col w:w="140" w:space="160"/>
            <w:col w:w="5240"/>
          </w:cols>
          <w:pgMar w:left="320" w:top="121" w:right="339" w:bottom="1440" w:gutter="0" w:footer="0" w:header="0"/>
          <w:type w:val="continuous"/>
        </w:sectPr>
      </w:pPr>
    </w:p>
    <w:p>
      <w:pPr>
        <w:spacing w:after="0" w:line="335" w:lineRule="exact"/>
        <w:rPr>
          <w:sz w:val="20"/>
          <w:szCs w:val="20"/>
          <w:color w:val="auto"/>
        </w:rPr>
      </w:pPr>
    </w:p>
    <w:p>
      <w:pPr>
        <w:jc w:val="both"/>
        <w:ind w:left="980" w:hanging="972"/>
        <w:spacing w:after="0" w:line="255" w:lineRule="auto"/>
        <w:tabs>
          <w:tab w:leader="none" w:pos="9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the Company's board of directors authorized a stock repurchase program (the “Repurchase Program”) effective March 21, 2025, whereby the Company may purchase up to $40.0 million in shares of its common stock over a period of up to two years. The amount and timing of share repurchases under the Repurchase Program may be carried out at the discretion of management through various methods in compliance with applicable state and federal securities laws.</w:t>
      </w:r>
    </w:p>
    <w:p>
      <w:pPr>
        <w:spacing w:after="0" w:line="2" w:lineRule="exact"/>
        <w:rPr>
          <w:rFonts w:ascii="Times New Roman" w:cs="Times New Roman" w:eastAsia="Times New Roman" w:hAnsi="Times New Roman"/>
          <w:sz w:val="18"/>
          <w:szCs w:val="18"/>
          <w:color w:val="auto"/>
        </w:rPr>
      </w:pPr>
    </w:p>
    <w:p>
      <w:pPr>
        <w:ind w:left="980" w:hanging="972"/>
        <w:spacing w:after="0" w:line="260" w:lineRule="auto"/>
        <w:tabs>
          <w:tab w:leader="none" w:pos="97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retired to satisfy minimum tax withholdings, in connection with the vesting of restricted and performance shares, pursuant to the OraSure Technologies, Inc. Stock Award Plan.</w:t>
      </w:r>
    </w:p>
    <w:p>
      <w:pPr>
        <w:spacing w:after="0" w:line="2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in Part II - Item 2 above is incorporated herein by reference.</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none of our directors or officers adopted, amended, or terminated a “Rule 10b5-1 trading arrangement” or “non-Rule 10b5-1 trading arrangement,” as each term is defined in Item 408(a)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2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0"/>
        </w:trPr>
        <w:tc>
          <w:tcPr>
            <w:tcW w:w="12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680" w:type="dxa"/>
            <w:vAlign w:val="bottom"/>
            <w:gridSpan w:val="5"/>
          </w:tcPr>
          <w:p>
            <w:pPr>
              <w:ind w:left="2940"/>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37"/>
        </w:trPr>
        <w:tc>
          <w:tcPr>
            <w:tcW w:w="12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398"/>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9020" w:type="dxa"/>
            <w:vAlign w:val="bottom"/>
            <w:gridSpan w:val="6"/>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Third Amended and Restated Bylaws of OraSure Technologies, Inc. as of August 5, 2025 (incorporated by reference to</w:t>
              </w:r>
            </w:hyperlink>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FF"/>
            </w:tcBorders>
            <w:gridSpan w:val="5"/>
          </w:tcPr>
          <w:p>
            <w:pPr>
              <w:spacing w:after="0" w:line="196"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Exhibit 3.2 of the Company's Quarterly Report on Form 10-Q filed on August 6, 2025</w:t>
              </w:r>
              <w:r>
                <w:rPr>
                  <w:rFonts w:ascii="Times New Roman" w:cs="Times New Roman" w:eastAsia="Times New Roman" w:hAnsi="Times New Roman"/>
                  <w:sz w:val="18"/>
                  <w:szCs w:val="18"/>
                  <w:color w:val="000000"/>
                </w:rPr>
                <w:t>).</w:t>
              </w:r>
            </w:hyperlink>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9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13a-14(a) or Rule 15d-14(a) under the Securities Exchange Act of</w:t>
            </w: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7680" w:type="dxa"/>
            <w:vAlign w:val="bottom"/>
            <w:gridSpan w:val="5"/>
          </w:tcPr>
          <w:p>
            <w:pPr>
              <w:spacing w:after="0"/>
              <w:rPr>
                <w:sz w:val="17"/>
                <w:szCs w:val="17"/>
                <w:color w:val="auto"/>
              </w:rPr>
            </w:pPr>
          </w:p>
        </w:tc>
      </w:tr>
      <w:tr>
        <w:trPr>
          <w:trHeight w:val="46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13a-14(a) or Rule 15d-14(a) under the Securities Exchange Act of</w:t>
            </w:r>
          </w:p>
        </w:tc>
        <w:tc>
          <w:tcPr>
            <w:tcW w:w="2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1934, as amended.</w:t>
            </w:r>
          </w:p>
        </w:tc>
        <w:tc>
          <w:tcPr>
            <w:tcW w:w="7680" w:type="dxa"/>
            <w:vAlign w:val="bottom"/>
            <w:gridSpan w:val="5"/>
          </w:tcPr>
          <w:p>
            <w:pPr>
              <w:spacing w:after="0"/>
              <w:rPr>
                <w:sz w:val="17"/>
                <w:szCs w:val="17"/>
                <w:color w:val="auto"/>
              </w:rPr>
            </w:pPr>
          </w:p>
        </w:tc>
      </w:tr>
      <w:tr>
        <w:trPr>
          <w:trHeight w:val="46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Carrie Eglinton-Manner required by Rule 13a-14(b) or Rule 15d-14(b) under the Securities Exchange Act of</w:t>
            </w: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1934, as amended, and 18 U.S.C. Section 1350, as Adopted Pursuant to Section 906 of the Sarbanes-Oxley Act of 2002.</w:t>
            </w: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46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Kenneth J. McGrath required by Rule 13a-14(b) or Rule 15d-14(b) under the Securities Exchange Act of</w:t>
            </w:r>
          </w:p>
        </w:tc>
      </w:tr>
      <w:tr>
        <w:trPr>
          <w:trHeight w:val="196"/>
        </w:trPr>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1934, as amended, and 18 U.S.C. Section 1350, as Adopted Pursuant to Section 906 of the Sarbanes-Oxley Act of 2002</w:t>
            </w:r>
            <w:r>
              <w:rPr>
                <w:rFonts w:ascii="Times New Roman" w:cs="Times New Roman" w:eastAsia="Times New Roman" w:hAnsi="Times New Roman"/>
                <w:sz w:val="18"/>
                <w:szCs w:val="18"/>
                <w:color w:val="000000"/>
              </w:rPr>
              <w:t>.</w:t>
            </w:r>
          </w:p>
        </w:tc>
        <w:tc>
          <w:tcPr>
            <w:tcW w:w="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2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r>
      <w:tr>
        <w:trPr>
          <w:trHeight w:val="48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34"/>
        </w:trPr>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8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52" w:lineRule="exact"/>
        <w:rPr>
          <w:sz w:val="20"/>
          <w:szCs w:val="20"/>
          <w:color w:val="auto"/>
        </w:rPr>
      </w:pPr>
    </w:p>
    <w:p>
      <w:pPr>
        <w:ind w:left="1240" w:right="1000" w:hanging="1214"/>
        <w:spacing w:after="0" w:line="282" w:lineRule="auto"/>
        <w:tabs>
          <w:tab w:leader="none" w:pos="12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Interactive Data File (formatted as inline XBRL with applicable taxonomy extension information contained in exhibits 101).</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63" w:lineRule="exact"/>
        <w:rPr>
          <w:sz w:val="20"/>
          <w:szCs w:val="20"/>
          <w:color w:val="auto"/>
        </w:rPr>
      </w:pPr>
    </w:p>
    <w:p>
      <w:pPr>
        <w:ind w:left="180" w:hanging="172"/>
        <w:spacing w:after="0" w:line="282" w:lineRule="auto"/>
        <w:tabs>
          <w:tab w:leader="none" w:pos="1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ORASURE TECHNOLOGIES, INC.</w:t>
      </w:r>
    </w:p>
    <w:p>
      <w:pPr>
        <w:spacing w:after="0" w:line="3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35560</wp:posOffset>
            </wp:positionV>
            <wp:extent cx="3514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7"/>
          <w:szCs w:val="17"/>
          <w:color w:val="auto"/>
        </w:rPr>
        <w:t>Kenneth J. McGrath</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3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/s/Michele M.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35560</wp:posOffset>
            </wp:positionV>
            <wp:extent cx="3514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59"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8"/>
          <w:szCs w:val="18"/>
          <w:color w:val="auto"/>
        </w:rPr>
        <w:t>Michele M. Anthony</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Senior Vice President, Controller and Chief Accounting Officer</w:t>
      </w:r>
    </w:p>
    <w:p>
      <w:pPr>
        <w:spacing w:after="0" w:line="6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Eglinton Manner, certify that:</w:t>
      </w:r>
    </w:p>
    <w:p>
      <w:pPr>
        <w:spacing w:after="0" w:line="117" w:lineRule="exact"/>
        <w:rPr>
          <w:sz w:val="20"/>
          <w:szCs w:val="20"/>
          <w:color w:val="auto"/>
        </w:rPr>
      </w:pPr>
    </w:p>
    <w:p>
      <w:pPr>
        <w:ind w:left="1140" w:hanging="1132"/>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Executive Officer )</w:t>
      </w:r>
    </w:p>
    <w:p>
      <w:pPr>
        <w:sectPr>
          <w:pgSz w:w="11900" w:h="16838" w:orient="portrait"/>
          <w:cols w:equalWidth="0" w:num="1">
            <w:col w:w="11240"/>
          </w:cols>
          <w:pgMar w:left="320" w:top="125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J. McGrath, certify that:</w:t>
      </w:r>
    </w:p>
    <w:p>
      <w:pPr>
        <w:spacing w:after="0" w:line="117" w:lineRule="exact"/>
        <w:rPr>
          <w:sz w:val="20"/>
          <w:szCs w:val="20"/>
          <w:color w:val="auto"/>
        </w:rPr>
      </w:pPr>
    </w:p>
    <w:p>
      <w:pPr>
        <w:ind w:left="1140" w:hanging="113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OraSure Technologies, Inc.</w:t>
      </w:r>
    </w:p>
    <w:p>
      <w:pPr>
        <w:spacing w:after="0" w:line="117" w:lineRule="exact"/>
        <w:rPr>
          <w:rFonts w:ascii="Times New Roman" w:cs="Times New Roman" w:eastAsia="Times New Roman" w:hAnsi="Times New Roman"/>
          <w:sz w:val="18"/>
          <w:szCs w:val="18"/>
          <w:color w:val="auto"/>
        </w:rPr>
      </w:pPr>
    </w:p>
    <w:p>
      <w:pPr>
        <w:ind w:left="1140" w:right="100" w:hanging="1132"/>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140" w:right="380" w:hanging="1132"/>
        <w:spacing w:after="0" w:line="312" w:lineRule="auto"/>
        <w:tabs>
          <w:tab w:leader="none" w:pos="11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jc w:val="both"/>
        <w:ind w:left="1140" w:hanging="1132"/>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2280" w:right="20" w:hanging="1138"/>
        <w:spacing w:after="0" w:line="266" w:lineRule="auto"/>
        <w:tabs>
          <w:tab w:leader="none" w:pos="22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1138"/>
        <w:spacing w:after="0" w:line="289" w:lineRule="auto"/>
        <w:tabs>
          <w:tab w:leader="none" w:pos="226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2280" w:right="320" w:hanging="1138"/>
        <w:spacing w:after="0" w:line="266" w:lineRule="auto"/>
        <w:tabs>
          <w:tab w:leader="none" w:pos="22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1138"/>
        <w:spacing w:after="0" w:line="266" w:lineRule="auto"/>
        <w:tabs>
          <w:tab w:leader="none" w:pos="22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140" w:right="720" w:hanging="1132"/>
        <w:spacing w:after="0" w:line="28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ind w:left="2280" w:right="240" w:hanging="1138"/>
        <w:spacing w:after="0" w:line="266" w:lineRule="auto"/>
        <w:tabs>
          <w:tab w:leader="none" w:pos="22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20" w:hanging="1138"/>
        <w:spacing w:after="0" w:line="282" w:lineRule="auto"/>
        <w:tabs>
          <w:tab w:leader="none" w:pos="226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7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18415</wp:posOffset>
            </wp:positionV>
            <wp:extent cx="28117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11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 Principal Financial Officer )</w:t>
      </w:r>
    </w:p>
    <w:p>
      <w:pPr>
        <w:sectPr>
          <w:pgSz w:w="11900" w:h="16838" w:orient="portrait"/>
          <w:cols w:equalWidth="0" w:num="1">
            <w:col w:w="11240"/>
          </w:cols>
          <w:pgMar w:left="320" w:top="125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September 30, 2025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Carrie Eglinton Manner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Eglinton Manner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2025</w:t>
      </w:r>
    </w:p>
    <w:p>
      <w:pPr>
        <w:sectPr>
          <w:pgSz w:w="11900" w:h="16838" w:orient="portrait"/>
          <w:cols w:equalWidth="0" w:num="1">
            <w:col w:w="11240"/>
          </w:cols>
          <w:pgMar w:left="320" w:top="125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18 U.S.C.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OraSure Technologies, Inc. (the “Company”) on Form 10-Q for the quarter ended September 30, 2025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68" w:lineRule="exact"/>
        <w:rPr>
          <w:sz w:val="20"/>
          <w:szCs w:val="20"/>
          <w:color w:val="auto"/>
        </w:rPr>
      </w:pPr>
    </w:p>
    <w:p>
      <w:pPr>
        <w:ind w:left="1620" w:hanging="316"/>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620" w:right="220" w:hanging="316"/>
        <w:spacing w:after="0" w:line="282" w:lineRule="auto"/>
        <w:tabs>
          <w:tab w:leader="none" w:pos="16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Kenneth J. McGrath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J. McGrath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2025</w:t>
      </w:r>
    </w:p>
    <w:sectPr>
      <w:pgSz w:w="11900" w:h="16838" w:orient="portrait"/>
      <w:cols w:equalWidth="0" w:num="1">
        <w:col w:w="11240"/>
      </w:cols>
      <w:pgMar w:left="320" w:top="12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9"/>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13"/>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lvl w:ilvl="1">
      <w:lvlJc w:val="left"/>
      <w:lvlText w:val="%2"/>
      <w:numFmt w:val="decimal"/>
      <w:start w:val="104"/>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64" Type="http://schemas.openxmlformats.org/officeDocument/2006/relationships/hyperlink" Target="https://www.sec.gov/Archives/edgar/data/1116463/000162828025038379/exhibit32-osurxthirdamend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2025-11-05T16:34:52Z</dcterms:created>
  <dcterms:modified xsi:type="dcterms:W3CDTF">2025-11-05T16:34:52Z</dcterms:modified>
</cp:coreProperties>
</file>