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OraSure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Islet Management, LP</w:t>
              <w:br/>
              <w:t xml:space="preserve">590 Madison Avenue, 27th Floor, </w:t>
              <w:br/>
              <w:t>New York, NY, 10022</w:t>
              <w:br/>
              <w:t>212-381-1990</w:t>
            </w:r>
          </w:p>
          <w:p>
            <w:pPr>
              <w:pStyle w:val="TableContents"/>
              <w:bidi w:val="0"/>
              <w:jc w:val="left"/>
              <w:rPr/>
            </w:pPr>
            <w:r>
              <w:rPr/>
            </w:r>
          </w:p>
          <w:p>
            <w:pPr>
              <w:pStyle w:val="TableContents"/>
              <w:bidi w:val="0"/>
              <w:spacing w:before="0" w:after="0"/>
              <w:jc w:val="center"/>
              <w:rPr>
                <w:b/>
                <w:color w:val="0000FF"/>
              </w:rPr>
            </w:pPr>
            <w:r>
              <w:rPr>
                <w:b/>
                <w:color w:val="0000FF"/>
              </w:rPr>
              <w:t>Stephen M. Leitzell, Esq.</w:t>
              <w:br/>
              <w:t>Dechert LLP, Cira Centre, 2929 Arch Street</w:t>
              <w:br/>
              <w:t>Philadelphia, PA, 19104</w:t>
              <w:br/>
              <w:t>215-994-4000</w:t>
            </w:r>
          </w:p>
          <w:p>
            <w:pPr>
              <w:pStyle w:val="TableContents"/>
              <w:bidi w:val="0"/>
              <w:jc w:val="left"/>
              <w:rPr/>
            </w:pPr>
            <w:r>
              <w:rPr/>
            </w:r>
          </w:p>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Islet Management,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Samuels, Joseph Aron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YA II PN,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YA Global Investments II (U.S.),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Yorkville Advisors Global,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Yorkville Advisors Global 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YAII GP,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YAII GP 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ANGELO, MARK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3,918,634.00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3,918,634.00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3,918,634.00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OraSure Technologies,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East First Street, Bethlehem, PENNSYLVANIA , 18015.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"Statement") relates to the Common Stock, par value $0.000001 per share (the "Shares") of OraSure Technologies, Inc. (the "Issuer").</w:t>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(i) Islet Management, LP, a Delaware limited partnership ("Islet Management"); (ii) Joseph Samuels (together with Islet Management, "Islet"); (iii) YA II PN, Ltd., an exempted limited company organized under the laws of the Cayman Islands ("YA II"); (iv) YA Global Investments II (U.S.), LP, a Delaware limited partnership ("YA Feeder"); (v) Yorkville Advisors Global, LP, a Delaware limited partnership ("YA Advisor"); (vi) Yorkville Advisors Global II, LLC, a Delaware limited liability company ("YA Advisor GP"); (vii) YAII GP, LP, a Delaware limited partnership ("YA GP"); (viii) YAII GP II, LLC, a Delaware limited liability company ("Yorkville GP"); and (ix) Mark Angelo (together with YA II, YA Feeder, YA Advisor, YA Advisor GP, YA GP and Yorkville GP, "Yorkville"). Each of the foregoing is referred to as a "Reporting Person" and collectively as the "Reporting Persons." Each of the Reporting Persons is party to that certain Group Agreement as further described in Item 6. Accordingly, the Reporting Persons are hereby filing a joint Schedule 13D. Set forth in Exhibit 1 attached hereto is the name and present principal occupation or employment, principal business address and citizenship of the equivalent of the directors of YA II. To the best of the Reporting Persons' knowledge, except as otherwise set forth herein, none of the persons listed on Exhibit 1 beneficially owns any securities of the Issuer or is a party to any contract, agreement or understanding required to be disclosed 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The address of the principal office of each of Islet Management and Mr. Samuels is 590 Madison Avenue, 27th Floor, New York, New York 10022. The address of the principal office of each of YA II, YA Feeder, YA Advisor, YA Advisor GP, YA GP, Yorkville GP and Mr. Angelo is 1012 Springfield Avenue, Mountainside, New Jersey 07092.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The principal business of Islet Management is serving as an investment manager to certain managed accounts. The principal occupation of Mr. Samuels is serving as the Chief Executive Officer and Chief Investment Officer of Islet Management. The principal business of YA II is investing in securities. YA Feeder beneficially owns YA II. The principal business of YA Advisor is serving as the investment manager of YA II. The principal business of YA Advisor GP is serving as the general partner of YA Advisor. The principal business of YA GP is serving as the general partner of YA Feeder. The principal business of Yorkville GP is serving as the general partner of YA GP. The principal occupation of Mr. Angelo is serving as the Partner and President of Yorkville Advisors, LLC. Mr. Angelo also serves as a director of YA II and a manager of each of Yorkville GP and YA Advisor GP.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0"/>
              <w:jc w:val="left"/>
              <w:rPr/>
            </w:pPr>
            <w:r>
              <w:rPr/>
              <w:t>No Reporting Person, nor any person listed in Exhibit 1,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No Reporting Person, nor any person listed in Exhibit 1,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0"/>
              <w:jc w:val="left"/>
              <w:rPr/>
            </w:pPr>
            <w:r>
              <w:rPr/>
              <w:t>Each of Islet Management, YA Feeder, YA Advisor, YA Advisor GP, YA GP and Yorkville GP is organized under the laws of the State of Delaware. YA II is organized under the laws of the Cayman Islands. Each of Messrs. Samuels and Angelo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The Shares disclosed in this Statement as beneficially owned by Islet were purchased with working capital (which may, at any given time, include margin loans made by brokerage firms in the ordinary course of Islet's business). The aggregate purchase price of the 490,000 Shares beneficially owned by Islet is approximately $1,682,891, including brokerage commissions. The Shares purchased by YA II were purchased with working capital (which may, at any given time, include margin loans made by brokerage firms in the ordinary course of business). The aggregate purchase price of the 3,918,634 Shares beneficially owned by YA II is approximately $15,317,013,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The Reporting Persons purchased the Shares disclosed in this Statement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have engaged, and intend to continue to engage, in communications with the Issuer's Board of Directors (the "Board") and management team regarding opportunities to enhance stockholder value, including potential changes to the composition of the Board such as the addition of one or more directors. The Reporting Persons intend to discuss their views with respect to the foregoing matters with the Issuer, its stockholders and other market participants.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engaging in discussions with stockholders of the Issuer or third parties, including, without limitation, potential acquirers and service providers about the Issuer and the Reporting Persons' investment, making proposals to the Issuer concerning changes to the capital allocation strategy, capitalization, ownership structure, including, without limitation, a sale of the Issuer as a whole or in parts (in which the Reporting Persons may participate), Board structure (including, without limitation,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The aggregate percentage of Shares reported beneficially owned by each person named herein is based on 68,968,627 Shares outstanding as of July 31, 2026, which is the total number of Shares outstanding as reported in the Issuer's Quarterly Report on Form 10-Q filed with the Securities and Exchange Commission on August 7, 2026. As of the date hereof, Islet Management beneficially owns 490,000 Shares, constituting approximately 0.7% of the Shares outstanding. Mr. Samuels, as the Chief Executive Officer and Chief Investment Officer of Islet Management, may be deemed to beneficially own the 490,000 Shares beneficially owned by Islet Management, constituting approximately 0.7% of the Shares outstanding. As of the date hereof, YA II directly beneficially owns 3,918,634 Shares, constituting approximately 5.7% of the Shares outstanding. YA Feeder, as the beneficial owner of YA II, may be deemed to beneficially own the 3,918,634 Shares beneficially owned directly by YA II, constituting approximately 5.7% of the Shares outstanding. YA Advisor, as the investment manager of YA II, may be deemed to beneficially own the 3,918,634 Shares beneficially owned directly by YA II, constituting approximately 5.7% of the Shares outstanding. YA Advisor GP, as the general partner of YA Advisor, may be deemed to beneficially own the 3,918,634 Shares beneficially owned directly by YA II, constituting approximately 5.7% of the Shares outstanding. YA GP, as the general partner of YA Feeder, may be deemed to beneficially own the 3,918,634 Shares beneficially owned directly by YA II, constituting approximately 5.7% of the Shares outstanding. Yorkville GP, as the general partner of YA GP, may be deemed to beneficially own the 3,918,634 Shares beneficially owned directly by YA II, constituting approximately 5.7% of the Shares outstanding. Mr. Angelo, as a manager of each of Yorkville GP and YA Advisor GP, may be deemed to beneficially own the 3,918,634 Shares beneficially owned directly by YA II, constituting approximately 5.7% of the Shares outstanding. Each Reporting Person may be deemed to be a member of a "group" with the other Reporting Persons for the purposes of Section 13(d)(3) of the Securities Exchange Act of 1934, as amended, and such group may be deemed to beneficially own the 4,408,634 Shares owned in the aggregate by all of the Reporting Persons, constituting approximately 6.4% of the Shares outstanding. Each Reporting Person disclaims beneficial ownership of the Shares disclosed in this Statement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Each of Islet Management and Mr. Samuels may be deemed to share the power to vote and dispose of the Shares beneficially owned by Islet Management. Each of YA Feeder, YA Advisor, YA Advisor GP, YA GP, Yorkville GP and Mr. Angelo may be deemed to share the power to vote and dispose of the Shares beneficially owned directly by YA II.</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The transactions in securities of the Issuer by the Reporting Persons during the past 60 days are set forth in Exhibit 2 and are incorporated herein by reference. All of such transactions were effected in the open market unless otherwise noted therein.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 disclosed in this Statement.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On September 11, 2026, members of Yorkville and Islet (collectively, the "Group") entered into a Group Agreement (the "Group Agreement") with respect to the Issuer pursuant to which, among other things, (a) the Group agreed to file, separately or jointly, statements on Schedule 13D and amendments thereto with respect to the securities of the Issuer, (b) the Group agreed to work together to enhance stockholder value at the Issuer, including the potential nomination of individuals to the Board at the Issuer's 2027 annual meeting of stockholders, (c) certain transactions in securities of the Issuer are subject to advance notice and pre-clearance requirements and (d) SEC filings and communications relating to the Group's activities require the approval of both Yorkville and Islet. The foregoing description of the Group Agreement is qualified in its entirety by reference to the full text of the Group Agreement, a copy of which is filed as Exhibit 99.1 hereto and is incorporated herein by reference. Islet Management has entered into certain cash-settled total return swap agreements (the "Cash-Settled Swaps") with an unaffiliated third-party financial institution, which provide economic exposure to an aggregate of 500,000 notional Shares, representing approximately 0.7% of the outstanding Shares. The Cash-Settled Swaps provide economic results that are comparable to the economic results of ownership, but do not provide the power to vote or direct the voting or dispose of or direct the disposition of the Shares that are the subject of the Cash-Settled Swaps. Other than as described herein, there are no contracts, arrangements, understandings or relationships between the Reporting Persons and any other person with respect to the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Exhibit 1 - Directors. Exhibit 2 - Transactions in Securities. Exhibit 99.1 - Group Agreement, dated September 11,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Islet Management,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Rebecca Waldman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Counsel</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Samuels, Joseph Aron</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Joseph Samuels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General Counsel</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YA II PN, Ltd.</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YA Global Investments II (U.S.),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Yorkville Advisors Global,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Yorkville Advisors Global II,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YAII GP, LP</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Gonzalez/s/ David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YAII GP II, LLC</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Gonzalez/s/ David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ANGELO, MARK</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Mark Angelo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bookmarkStart w:id="46" w:name="exh_1.htm"/>
      <w:bookmarkStart w:id="47" w:name="ksexh_1"/>
      <w:bookmarkEnd w:id="46"/>
      <w:bookmarkEnd w:id="47"/>
      <w:r>
        <w:rPr/>
        <w:t xml:space="preserve">  </w:t>
      </w:r>
      <w:r>
        <w:br w:type="page"/>
      </w:r>
    </w:p>
    <w:p>
      <w:pPr>
        <w:pStyle w:val="TextBody"/>
        <w:bidi w:val="0"/>
        <w:spacing w:before="0" w:after="0"/>
        <w:jc w:val="right"/>
        <w:rPr/>
      </w:pPr>
      <w:r>
        <w:rPr/>
        <w:t xml:space="preserve">Exhibit 1 </w:t>
      </w:r>
    </w:p>
    <w:p>
      <w:pPr>
        <w:pStyle w:val="TextBody"/>
        <w:bidi w:val="0"/>
        <w:spacing w:before="0" w:after="0"/>
        <w:jc w:val="left"/>
        <w:rPr/>
      </w:pPr>
      <w:r>
        <w:rPr/>
        <w:t xml:space="preserve">  </w:t>
      </w:r>
    </w:p>
    <w:p>
      <w:pPr>
        <w:pStyle w:val="TextBody"/>
        <w:bidi w:val="0"/>
        <w:spacing w:before="0" w:after="0"/>
        <w:jc w:val="center"/>
        <w:rPr/>
      </w:pPr>
      <w:r>
        <w:rPr>
          <w:b/>
          <w:u w:val="single"/>
        </w:rPr>
        <w:t>Equivalent of Directors of YA II PN, Ltd.</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79"/>
        <w:gridCol w:w="3254"/>
        <w:gridCol w:w="3592"/>
        <w:gridCol w:w="1880"/>
      </w:tblGrid>
      <w:tr>
        <w:trPr/>
        <w:tc>
          <w:tcPr>
            <w:tcW w:w="1479" w:type="dxa"/>
            <w:tcBorders/>
            <w:vAlign w:val="center"/>
          </w:tcPr>
          <w:p>
            <w:pPr>
              <w:pStyle w:val="TableContents"/>
              <w:bidi w:val="0"/>
              <w:spacing w:lineRule="atLeast" w:line="240" w:before="0" w:after="0"/>
              <w:jc w:val="left"/>
              <w:rPr>
                <w:sz w:val="22"/>
              </w:rPr>
            </w:pPr>
            <w:r>
              <w:rPr>
                <w:sz w:val="22"/>
                <w:u w:val="single"/>
              </w:rPr>
              <w:t>Name and Position</w:t>
            </w:r>
            <w:r>
              <w:rPr>
                <w:sz w:val="22"/>
              </w:rPr>
              <w:t xml:space="preserve"> </w:t>
            </w:r>
          </w:p>
        </w:tc>
        <w:tc>
          <w:tcPr>
            <w:tcW w:w="3254" w:type="dxa"/>
            <w:tcBorders/>
            <w:vAlign w:val="center"/>
          </w:tcPr>
          <w:p>
            <w:pPr>
              <w:pStyle w:val="TableContents"/>
              <w:bidi w:val="0"/>
              <w:spacing w:lineRule="atLeast" w:line="240" w:before="0" w:after="0"/>
              <w:jc w:val="left"/>
              <w:rPr>
                <w:sz w:val="22"/>
              </w:rPr>
            </w:pPr>
            <w:r>
              <w:rPr>
                <w:sz w:val="22"/>
                <w:u w:val="single"/>
              </w:rPr>
              <w:t>Principal Occupation</w:t>
            </w:r>
            <w:r>
              <w:rPr>
                <w:sz w:val="22"/>
              </w:rPr>
              <w:t xml:space="preserve"> </w:t>
            </w:r>
          </w:p>
        </w:tc>
        <w:tc>
          <w:tcPr>
            <w:tcW w:w="3592" w:type="dxa"/>
            <w:tcBorders/>
            <w:vAlign w:val="center"/>
          </w:tcPr>
          <w:p>
            <w:pPr>
              <w:pStyle w:val="TableContents"/>
              <w:bidi w:val="0"/>
              <w:spacing w:lineRule="atLeast" w:line="240" w:before="0" w:after="0"/>
              <w:jc w:val="left"/>
              <w:rPr>
                <w:sz w:val="22"/>
              </w:rPr>
            </w:pPr>
            <w:r>
              <w:rPr>
                <w:sz w:val="22"/>
                <w:u w:val="single"/>
              </w:rPr>
              <w:t>Principal Business Address</w:t>
            </w:r>
            <w:r>
              <w:rPr>
                <w:sz w:val="22"/>
              </w:rPr>
              <w:t xml:space="preserve"> </w:t>
            </w:r>
          </w:p>
        </w:tc>
        <w:tc>
          <w:tcPr>
            <w:tcW w:w="1880" w:type="dxa"/>
            <w:tcBorders/>
            <w:vAlign w:val="center"/>
          </w:tcPr>
          <w:p>
            <w:pPr>
              <w:pStyle w:val="TableContents"/>
              <w:bidi w:val="0"/>
              <w:spacing w:lineRule="atLeast" w:line="240" w:before="0" w:after="0"/>
              <w:jc w:val="left"/>
              <w:rPr>
                <w:sz w:val="22"/>
              </w:rPr>
            </w:pPr>
            <w:r>
              <w:rPr>
                <w:sz w:val="22"/>
                <w:u w:val="single"/>
              </w:rPr>
              <w:t>Citizenship</w:t>
            </w:r>
            <w:r>
              <w:rPr>
                <w:sz w:val="22"/>
              </w:rPr>
              <w:t xml:space="preserve"> </w:t>
            </w:r>
          </w:p>
        </w:tc>
      </w:tr>
      <w:tr>
        <w:trPr/>
        <w:tc>
          <w:tcPr>
            <w:tcW w:w="1479" w:type="dxa"/>
            <w:tcBorders/>
            <w:vAlign w:val="center"/>
          </w:tcPr>
          <w:p>
            <w:pPr>
              <w:pStyle w:val="TableContents"/>
              <w:bidi w:val="0"/>
              <w:spacing w:lineRule="atLeast" w:line="240" w:before="0" w:after="0"/>
              <w:jc w:val="left"/>
              <w:rPr>
                <w:sz w:val="22"/>
              </w:rPr>
            </w:pPr>
            <w:r>
              <w:rPr>
                <w:sz w:val="22"/>
              </w:rPr>
              <w:t xml:space="preserve">Mark Angelo </w:t>
            </w:r>
          </w:p>
          <w:p>
            <w:pPr>
              <w:pStyle w:val="TableContents"/>
              <w:bidi w:val="0"/>
              <w:spacing w:lineRule="atLeast" w:line="240" w:before="0" w:after="0"/>
              <w:jc w:val="left"/>
              <w:rPr/>
            </w:pPr>
            <w:r>
              <w:rPr/>
              <w:t xml:space="preserve">Director </w:t>
            </w:r>
          </w:p>
        </w:tc>
        <w:tc>
          <w:tcPr>
            <w:tcW w:w="3254" w:type="dxa"/>
            <w:tcBorders/>
            <w:vAlign w:val="center"/>
          </w:tcPr>
          <w:p>
            <w:pPr>
              <w:pStyle w:val="TableContents"/>
              <w:bidi w:val="0"/>
              <w:spacing w:lineRule="atLeast" w:line="240" w:before="0" w:after="0"/>
              <w:jc w:val="left"/>
              <w:rPr>
                <w:sz w:val="22"/>
              </w:rPr>
            </w:pPr>
            <w:r>
              <w:rPr>
                <w:sz w:val="22"/>
              </w:rPr>
              <w:t xml:space="preserve">President and Partner of Yorkville Advisors Global, LP </w:t>
            </w:r>
          </w:p>
        </w:tc>
        <w:tc>
          <w:tcPr>
            <w:tcW w:w="3592" w:type="dxa"/>
            <w:tcBorders/>
            <w:vAlign w:val="center"/>
          </w:tcPr>
          <w:p>
            <w:pPr>
              <w:pStyle w:val="TableContents"/>
              <w:bidi w:val="0"/>
              <w:spacing w:lineRule="atLeast" w:line="240" w:before="0" w:after="0"/>
              <w:jc w:val="left"/>
              <w:rPr>
                <w:sz w:val="22"/>
              </w:rPr>
            </w:pPr>
            <w:r>
              <w:rPr>
                <w:sz w:val="22"/>
              </w:rPr>
              <w:t xml:space="preserve">1012 Springfield Avenue Mountainside, New Jersey 07092 </w:t>
            </w:r>
          </w:p>
        </w:tc>
        <w:tc>
          <w:tcPr>
            <w:tcW w:w="1880" w:type="dxa"/>
            <w:tcBorders/>
            <w:vAlign w:val="center"/>
          </w:tcPr>
          <w:p>
            <w:pPr>
              <w:pStyle w:val="TableContents"/>
              <w:bidi w:val="0"/>
              <w:spacing w:lineRule="atLeast" w:line="240" w:before="0" w:after="0"/>
              <w:jc w:val="left"/>
              <w:rPr>
                <w:sz w:val="22"/>
              </w:rPr>
            </w:pPr>
            <w:r>
              <w:rPr>
                <w:sz w:val="22"/>
              </w:rPr>
              <w:t xml:space="preserve">United States of America </w:t>
            </w:r>
          </w:p>
        </w:tc>
      </w:tr>
      <w:tr>
        <w:trPr/>
        <w:tc>
          <w:tcPr>
            <w:tcW w:w="1479" w:type="dxa"/>
            <w:tcBorders/>
            <w:vAlign w:val="center"/>
          </w:tcPr>
          <w:p>
            <w:pPr>
              <w:pStyle w:val="TableContents"/>
              <w:bidi w:val="0"/>
              <w:spacing w:lineRule="atLeast" w:line="240" w:before="0" w:after="0"/>
              <w:jc w:val="left"/>
              <w:rPr/>
            </w:pPr>
            <w:r>
              <w:rPr/>
              <w:t xml:space="preserve">  </w:t>
            </w:r>
          </w:p>
        </w:tc>
        <w:tc>
          <w:tcPr>
            <w:tcW w:w="3254" w:type="dxa"/>
            <w:tcBorders/>
            <w:vAlign w:val="center"/>
          </w:tcPr>
          <w:p>
            <w:pPr>
              <w:pStyle w:val="TableContents"/>
              <w:bidi w:val="0"/>
              <w:spacing w:lineRule="atLeast" w:line="240" w:before="0" w:after="0"/>
              <w:jc w:val="left"/>
              <w:rPr/>
            </w:pPr>
            <w:r>
              <w:rPr/>
              <w:t xml:space="preserve">  </w:t>
            </w:r>
          </w:p>
        </w:tc>
        <w:tc>
          <w:tcPr>
            <w:tcW w:w="3592" w:type="dxa"/>
            <w:tcBorders/>
            <w:vAlign w:val="center"/>
          </w:tcPr>
          <w:p>
            <w:pPr>
              <w:pStyle w:val="TableContents"/>
              <w:bidi w:val="0"/>
              <w:spacing w:lineRule="atLeast" w:line="240" w:before="0" w:after="0"/>
              <w:jc w:val="left"/>
              <w:rPr/>
            </w:pPr>
            <w:r>
              <w:rPr/>
              <w:t xml:space="preserve">  </w:t>
            </w:r>
          </w:p>
        </w:tc>
        <w:tc>
          <w:tcPr>
            <w:tcW w:w="1880" w:type="dxa"/>
            <w:tcBorders/>
            <w:vAlign w:val="center"/>
          </w:tcPr>
          <w:p>
            <w:pPr>
              <w:pStyle w:val="TableContents"/>
              <w:bidi w:val="0"/>
              <w:spacing w:lineRule="atLeast" w:line="240" w:before="0" w:after="0"/>
              <w:jc w:val="left"/>
              <w:rPr/>
            </w:pPr>
            <w:r>
              <w:rPr/>
              <w:t xml:space="preserve">  </w:t>
            </w:r>
          </w:p>
        </w:tc>
      </w:tr>
      <w:tr>
        <w:trPr/>
        <w:tc>
          <w:tcPr>
            <w:tcW w:w="1479" w:type="dxa"/>
            <w:tcBorders/>
            <w:vAlign w:val="center"/>
          </w:tcPr>
          <w:p>
            <w:pPr>
              <w:pStyle w:val="TableContents"/>
              <w:bidi w:val="0"/>
              <w:spacing w:lineRule="atLeast" w:line="240" w:before="0" w:after="0"/>
              <w:jc w:val="left"/>
              <w:rPr>
                <w:sz w:val="22"/>
              </w:rPr>
            </w:pPr>
            <w:r>
              <w:rPr>
                <w:sz w:val="22"/>
              </w:rPr>
              <w:t xml:space="preserve">Matthew Beckman </w:t>
            </w:r>
          </w:p>
          <w:p>
            <w:pPr>
              <w:pStyle w:val="TableContents"/>
              <w:bidi w:val="0"/>
              <w:spacing w:lineRule="atLeast" w:line="240" w:before="0" w:after="0"/>
              <w:jc w:val="left"/>
              <w:rPr/>
            </w:pPr>
            <w:r>
              <w:rPr/>
              <w:t xml:space="preserve">Director </w:t>
            </w:r>
          </w:p>
        </w:tc>
        <w:tc>
          <w:tcPr>
            <w:tcW w:w="3254" w:type="dxa"/>
            <w:tcBorders/>
            <w:vAlign w:val="center"/>
          </w:tcPr>
          <w:p>
            <w:pPr>
              <w:pStyle w:val="TableContents"/>
              <w:bidi w:val="0"/>
              <w:spacing w:lineRule="atLeast" w:line="240" w:before="0" w:after="0"/>
              <w:jc w:val="left"/>
              <w:rPr>
                <w:sz w:val="22"/>
              </w:rPr>
            </w:pPr>
            <w:r>
              <w:rPr>
                <w:sz w:val="22"/>
              </w:rPr>
              <w:t xml:space="preserve">Partner of Yorkville Advisors Global, LP </w:t>
            </w:r>
          </w:p>
        </w:tc>
        <w:tc>
          <w:tcPr>
            <w:tcW w:w="3592" w:type="dxa"/>
            <w:tcBorders/>
            <w:vAlign w:val="center"/>
          </w:tcPr>
          <w:p>
            <w:pPr>
              <w:pStyle w:val="TableContents"/>
              <w:bidi w:val="0"/>
              <w:spacing w:lineRule="atLeast" w:line="240" w:before="0" w:after="0"/>
              <w:jc w:val="left"/>
              <w:rPr>
                <w:sz w:val="22"/>
              </w:rPr>
            </w:pPr>
            <w:r>
              <w:rPr>
                <w:sz w:val="22"/>
              </w:rPr>
              <w:t xml:space="preserve">1012 Springfield Avenue Mountainside, New Jersey 07092 </w:t>
            </w:r>
          </w:p>
        </w:tc>
        <w:tc>
          <w:tcPr>
            <w:tcW w:w="1880" w:type="dxa"/>
            <w:tcBorders/>
            <w:vAlign w:val="center"/>
          </w:tcPr>
          <w:p>
            <w:pPr>
              <w:pStyle w:val="TableContents"/>
              <w:bidi w:val="0"/>
              <w:spacing w:lineRule="atLeast" w:line="240" w:before="0" w:after="0"/>
              <w:jc w:val="left"/>
              <w:rPr>
                <w:sz w:val="22"/>
              </w:rPr>
            </w:pPr>
            <w:r>
              <w:rPr>
                <w:sz w:val="22"/>
              </w:rPr>
              <w:t xml:space="preserve">United States of America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left"/>
        <w:rPr/>
      </w:pPr>
      <w:bookmarkStart w:id="48" w:name="exh_2.htm"/>
      <w:bookmarkStart w:id="49" w:name="ksexh_2"/>
      <w:bookmarkEnd w:id="48"/>
      <w:bookmarkEnd w:id="49"/>
      <w:r>
        <w:rPr/>
        <w:t xml:space="preserve">  </w:t>
      </w:r>
      <w:r>
        <w:br w:type="page"/>
      </w:r>
    </w:p>
    <w:p>
      <w:pPr>
        <w:pStyle w:val="TextBody"/>
        <w:bidi w:val="0"/>
        <w:spacing w:lineRule="atLeast" w:line="240" w:before="0" w:after="0"/>
        <w:jc w:val="right"/>
        <w:rPr/>
      </w:pPr>
      <w:r>
        <w:rPr/>
        <w:t xml:space="preserve">Exhibit 2 </w:t>
      </w:r>
    </w:p>
    <w:p>
      <w:pPr>
        <w:pStyle w:val="TextBody"/>
        <w:bidi w:val="0"/>
        <w:spacing w:before="0" w:after="0"/>
        <w:jc w:val="left"/>
        <w:rPr/>
      </w:pPr>
      <w:r>
        <w:rPr/>
        <w:t xml:space="preserve">  </w:t>
      </w:r>
    </w:p>
    <w:p>
      <w:pPr>
        <w:pStyle w:val="TextBody"/>
        <w:bidi w:val="0"/>
        <w:spacing w:lineRule="atLeast" w:line="240" w:before="0" w:after="0"/>
        <w:jc w:val="left"/>
        <w:rPr/>
      </w:pPr>
      <w:r>
        <w:rPr/>
        <w:t>                                           </w:t>
      </w:r>
      <w:r>
        <w:rPr>
          <w:b/>
        </w:rPr>
        <w:t xml:space="preserve">Transactions in Securities of the Issuer During the Past 60 Days </w:t>
      </w:r>
    </w:p>
    <w:p>
      <w:pPr>
        <w:pStyle w:val="TextBody"/>
        <w:bidi w:val="0"/>
        <w:spacing w:before="0" w:after="0"/>
        <w:jc w:val="left"/>
        <w:rPr/>
      </w:pPr>
      <w:r>
        <w:rPr/>
        <w:t xml:space="preserve">  </w:t>
      </w:r>
    </w:p>
    <w:tbl>
      <w:tblPr>
        <w:tblW w:w="7129" w:type="dxa"/>
        <w:jc w:val="left"/>
        <w:tblInd w:w="0" w:type="dxa"/>
        <w:tblLayout w:type="fixed"/>
        <w:tblCellMar>
          <w:top w:w="0" w:type="dxa"/>
          <w:left w:w="0" w:type="dxa"/>
          <w:bottom w:w="0" w:type="dxa"/>
          <w:right w:w="0" w:type="dxa"/>
        </w:tblCellMar>
      </w:tblPr>
      <w:tblGrid>
        <w:gridCol w:w="2596"/>
        <w:gridCol w:w="1786"/>
        <w:gridCol w:w="1216"/>
        <w:gridCol w:w="1531"/>
      </w:tblGrid>
      <w:tr>
        <w:trPr/>
        <w:tc>
          <w:tcPr>
            <w:tcW w:w="2596" w:type="dxa"/>
            <w:tcBorders/>
            <w:vAlign w:val="center"/>
          </w:tcPr>
          <w:p>
            <w:pPr>
              <w:pStyle w:val="TableContents"/>
              <w:bidi w:val="0"/>
              <w:spacing w:before="0" w:after="0"/>
              <w:jc w:val="left"/>
              <w:rPr/>
            </w:pPr>
            <w:r>
              <w:rPr>
                <w:color w:val="000000"/>
              </w:rPr>
              <w:t>Nature of the Transaction</w:t>
            </w:r>
            <w:r>
              <w:rPr/>
              <w:t xml:space="preserve"> </w:t>
            </w:r>
          </w:p>
        </w:tc>
        <w:tc>
          <w:tcPr>
            <w:tcW w:w="1786" w:type="dxa"/>
            <w:tcBorders/>
            <w:vAlign w:val="center"/>
          </w:tcPr>
          <w:p>
            <w:pPr>
              <w:pStyle w:val="TableContents"/>
              <w:bidi w:val="0"/>
              <w:spacing w:before="0" w:after="0"/>
              <w:jc w:val="left"/>
              <w:rPr/>
            </w:pPr>
            <w:r>
              <w:rPr/>
              <w:t xml:space="preserve">Securities </w:t>
            </w:r>
          </w:p>
          <w:p>
            <w:pPr>
              <w:pStyle w:val="TableContents"/>
              <w:bidi w:val="0"/>
              <w:spacing w:before="0" w:after="0"/>
              <w:jc w:val="left"/>
              <w:rPr/>
            </w:pPr>
            <w:r>
              <w:rPr/>
              <w:t xml:space="preserve">Purchased/(Sold) </w:t>
            </w:r>
          </w:p>
        </w:tc>
        <w:tc>
          <w:tcPr>
            <w:tcW w:w="1216" w:type="dxa"/>
            <w:tcBorders/>
            <w:vAlign w:val="center"/>
          </w:tcPr>
          <w:p>
            <w:pPr>
              <w:pStyle w:val="TableContents"/>
              <w:bidi w:val="0"/>
              <w:spacing w:before="0" w:after="0"/>
              <w:jc w:val="left"/>
              <w:rPr/>
            </w:pPr>
            <w:r>
              <w:rPr/>
              <w:t xml:space="preserve">Price Per </w:t>
            </w:r>
          </w:p>
          <w:p>
            <w:pPr>
              <w:pStyle w:val="TableContents"/>
              <w:bidi w:val="0"/>
              <w:spacing w:before="0" w:after="0"/>
              <w:jc w:val="left"/>
              <w:rPr/>
            </w:pPr>
            <w:r>
              <w:rPr/>
              <w:t xml:space="preserve">Security($) </w:t>
            </w:r>
          </w:p>
        </w:tc>
        <w:tc>
          <w:tcPr>
            <w:tcW w:w="1531" w:type="dxa"/>
            <w:tcBorders/>
            <w:vAlign w:val="center"/>
          </w:tcPr>
          <w:p>
            <w:pPr>
              <w:pStyle w:val="TableContents"/>
              <w:bidi w:val="0"/>
              <w:spacing w:before="0" w:after="0"/>
              <w:jc w:val="left"/>
              <w:rPr/>
            </w:pPr>
            <w:r>
              <w:rPr/>
              <w:t xml:space="preserve">Date of </w:t>
            </w:r>
          </w:p>
          <w:p>
            <w:pPr>
              <w:pStyle w:val="TableContents"/>
              <w:bidi w:val="0"/>
              <w:spacing w:before="0" w:after="0"/>
              <w:jc w:val="left"/>
              <w:rPr/>
            </w:pPr>
            <w:r>
              <w:rPr/>
              <w:t xml:space="preserve">Purchase/Sale </w:t>
            </w:r>
          </w:p>
        </w:tc>
      </w:tr>
    </w:tbl>
    <w:p>
      <w:pPr>
        <w:pStyle w:val="TextBody"/>
        <w:bidi w:val="0"/>
        <w:spacing w:before="0" w:after="0"/>
        <w:jc w:val="left"/>
        <w:rPr/>
      </w:pPr>
      <w:r>
        <w:rPr/>
        <w:t xml:space="preserve">  </w:t>
      </w:r>
    </w:p>
    <w:p>
      <w:pPr>
        <w:pStyle w:val="TextBody"/>
        <w:bidi w:val="0"/>
        <w:spacing w:before="0" w:after="240"/>
        <w:jc w:val="left"/>
        <w:rPr/>
      </w:pPr>
      <w:r>
        <w:rPr/>
        <w:t>                                                                             </w:t>
      </w:r>
      <w:r>
        <w:rPr>
          <w:b/>
        </w:rPr>
        <w:t xml:space="preserve">Islet Management, LP </w:t>
      </w:r>
    </w:p>
    <w:tbl>
      <w:tblPr>
        <w:tblW w:w="7594" w:type="dxa"/>
        <w:jc w:val="left"/>
        <w:tblInd w:w="0" w:type="dxa"/>
        <w:tblLayout w:type="fixed"/>
        <w:tblCellMar>
          <w:top w:w="0" w:type="dxa"/>
          <w:left w:w="0" w:type="dxa"/>
          <w:bottom w:w="0" w:type="dxa"/>
          <w:right w:w="0" w:type="dxa"/>
        </w:tblCellMar>
      </w:tblPr>
      <w:tblGrid>
        <w:gridCol w:w="4411"/>
        <w:gridCol w:w="946"/>
        <w:gridCol w:w="946"/>
        <w:gridCol w:w="1291"/>
      </w:tblGrid>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$3.7897 </w:t>
            </w:r>
          </w:p>
        </w:tc>
        <w:tc>
          <w:tcPr>
            <w:tcW w:w="1291" w:type="dxa"/>
            <w:tcBorders/>
            <w:vAlign w:val="center"/>
          </w:tcPr>
          <w:p>
            <w:pPr>
              <w:pStyle w:val="TableContents"/>
              <w:bidi w:val="0"/>
              <w:spacing w:before="0" w:after="0"/>
              <w:jc w:val="center"/>
              <w:rPr/>
            </w:pPr>
            <w:r>
              <w:rPr/>
              <w:t xml:space="preserve">07/22/2026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10,000 </w:t>
            </w:r>
          </w:p>
        </w:tc>
        <w:tc>
          <w:tcPr>
            <w:tcW w:w="946" w:type="dxa"/>
            <w:tcBorders/>
            <w:vAlign w:val="center"/>
          </w:tcPr>
          <w:p>
            <w:pPr>
              <w:pStyle w:val="TableContents"/>
              <w:bidi w:val="0"/>
              <w:spacing w:before="0" w:after="0"/>
              <w:jc w:val="center"/>
              <w:rPr/>
            </w:pPr>
            <w:r>
              <w:rPr/>
              <w:t xml:space="preserve">$3.9957 </w:t>
            </w:r>
          </w:p>
        </w:tc>
        <w:tc>
          <w:tcPr>
            <w:tcW w:w="1291" w:type="dxa"/>
            <w:tcBorders/>
            <w:vAlign w:val="center"/>
          </w:tcPr>
          <w:p>
            <w:pPr>
              <w:pStyle w:val="TableContents"/>
              <w:bidi w:val="0"/>
              <w:spacing w:before="0" w:after="0"/>
              <w:jc w:val="center"/>
              <w:rPr/>
            </w:pPr>
            <w:r>
              <w:rPr/>
              <w:t xml:space="preserve">07/23/2026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20,000 </w:t>
            </w:r>
          </w:p>
        </w:tc>
        <w:tc>
          <w:tcPr>
            <w:tcW w:w="946" w:type="dxa"/>
            <w:tcBorders/>
            <w:vAlign w:val="center"/>
          </w:tcPr>
          <w:p>
            <w:pPr>
              <w:pStyle w:val="TableContents"/>
              <w:bidi w:val="0"/>
              <w:spacing w:before="0" w:after="0"/>
              <w:jc w:val="center"/>
              <w:rPr/>
            </w:pPr>
            <w:r>
              <w:rPr/>
              <w:t xml:space="preserve">$4.0199 </w:t>
            </w:r>
          </w:p>
        </w:tc>
        <w:tc>
          <w:tcPr>
            <w:tcW w:w="1291" w:type="dxa"/>
            <w:tcBorders/>
            <w:vAlign w:val="center"/>
          </w:tcPr>
          <w:p>
            <w:pPr>
              <w:pStyle w:val="TableContents"/>
              <w:bidi w:val="0"/>
              <w:spacing w:before="0" w:after="0"/>
              <w:jc w:val="center"/>
              <w:rPr/>
            </w:pPr>
            <w:r>
              <w:rPr/>
              <w:t xml:space="preserve">07/24/2026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20,000 </w:t>
            </w:r>
          </w:p>
        </w:tc>
        <w:tc>
          <w:tcPr>
            <w:tcW w:w="946" w:type="dxa"/>
            <w:tcBorders/>
            <w:vAlign w:val="center"/>
          </w:tcPr>
          <w:p>
            <w:pPr>
              <w:pStyle w:val="TableContents"/>
              <w:bidi w:val="0"/>
              <w:spacing w:before="0" w:after="0"/>
              <w:jc w:val="center"/>
              <w:rPr/>
            </w:pPr>
            <w:r>
              <w:rPr/>
              <w:t xml:space="preserve">$3.9666 </w:t>
            </w:r>
          </w:p>
        </w:tc>
        <w:tc>
          <w:tcPr>
            <w:tcW w:w="1291" w:type="dxa"/>
            <w:tcBorders/>
            <w:vAlign w:val="center"/>
          </w:tcPr>
          <w:p>
            <w:pPr>
              <w:pStyle w:val="TableContents"/>
              <w:bidi w:val="0"/>
              <w:spacing w:before="0" w:after="0"/>
              <w:jc w:val="center"/>
              <w:rPr/>
            </w:pPr>
            <w:r>
              <w:rPr/>
              <w:t xml:space="preserve">07/27/2026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$4.0173 </w:t>
            </w:r>
          </w:p>
        </w:tc>
        <w:tc>
          <w:tcPr>
            <w:tcW w:w="1291" w:type="dxa"/>
            <w:tcBorders/>
            <w:vAlign w:val="center"/>
          </w:tcPr>
          <w:p>
            <w:pPr>
              <w:pStyle w:val="TableContents"/>
              <w:bidi w:val="0"/>
              <w:spacing w:before="0" w:after="0"/>
              <w:jc w:val="center"/>
              <w:rPr/>
            </w:pPr>
            <w:r>
              <w:rPr/>
              <w:t xml:space="preserve">07/28/2026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27,420 </w:t>
            </w:r>
          </w:p>
        </w:tc>
        <w:tc>
          <w:tcPr>
            <w:tcW w:w="946" w:type="dxa"/>
            <w:tcBorders/>
            <w:vAlign w:val="center"/>
          </w:tcPr>
          <w:p>
            <w:pPr>
              <w:pStyle w:val="TableContents"/>
              <w:bidi w:val="0"/>
              <w:spacing w:before="0" w:after="0"/>
              <w:jc w:val="center"/>
              <w:rPr/>
            </w:pPr>
            <w:r>
              <w:rPr/>
              <w:t xml:space="preserve">$3.9777 </w:t>
            </w:r>
          </w:p>
        </w:tc>
        <w:tc>
          <w:tcPr>
            <w:tcW w:w="1291" w:type="dxa"/>
            <w:tcBorders/>
            <w:vAlign w:val="center"/>
          </w:tcPr>
          <w:p>
            <w:pPr>
              <w:pStyle w:val="TableContents"/>
              <w:bidi w:val="0"/>
              <w:spacing w:before="0" w:after="0"/>
              <w:jc w:val="center"/>
              <w:rPr/>
            </w:pPr>
            <w:r>
              <w:rPr/>
              <w:t xml:space="preserve">07/29/2026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$3.9843 </w:t>
            </w:r>
          </w:p>
        </w:tc>
        <w:tc>
          <w:tcPr>
            <w:tcW w:w="1291" w:type="dxa"/>
            <w:tcBorders/>
            <w:vAlign w:val="center"/>
          </w:tcPr>
          <w:p>
            <w:pPr>
              <w:pStyle w:val="TableContents"/>
              <w:bidi w:val="0"/>
              <w:spacing w:before="0" w:after="0"/>
              <w:jc w:val="center"/>
              <w:rPr/>
            </w:pPr>
            <w:r>
              <w:rPr/>
              <w:t xml:space="preserve">07/30/2026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97,580 </w:t>
            </w:r>
          </w:p>
        </w:tc>
        <w:tc>
          <w:tcPr>
            <w:tcW w:w="946" w:type="dxa"/>
            <w:tcBorders/>
            <w:vAlign w:val="center"/>
          </w:tcPr>
          <w:p>
            <w:pPr>
              <w:pStyle w:val="TableContents"/>
              <w:bidi w:val="0"/>
              <w:spacing w:before="0" w:after="0"/>
              <w:jc w:val="center"/>
              <w:rPr/>
            </w:pPr>
            <w:r>
              <w:rPr/>
              <w:t xml:space="preserve">$4.0088 </w:t>
            </w:r>
          </w:p>
        </w:tc>
        <w:tc>
          <w:tcPr>
            <w:tcW w:w="1291" w:type="dxa"/>
            <w:tcBorders/>
            <w:vAlign w:val="center"/>
          </w:tcPr>
          <w:p>
            <w:pPr>
              <w:pStyle w:val="TableContents"/>
              <w:bidi w:val="0"/>
              <w:spacing w:before="0" w:after="0"/>
              <w:jc w:val="center"/>
              <w:rPr/>
            </w:pPr>
            <w:r>
              <w:rPr/>
              <w:t xml:space="preserve">07/31/2026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5,000 </w:t>
            </w:r>
          </w:p>
        </w:tc>
        <w:tc>
          <w:tcPr>
            <w:tcW w:w="946" w:type="dxa"/>
            <w:tcBorders/>
            <w:vAlign w:val="center"/>
          </w:tcPr>
          <w:p>
            <w:pPr>
              <w:pStyle w:val="TableContents"/>
              <w:bidi w:val="0"/>
              <w:spacing w:before="0" w:after="0"/>
              <w:jc w:val="center"/>
              <w:rPr/>
            </w:pPr>
            <w:r>
              <w:rPr/>
              <w:t xml:space="preserve">$4.1721 </w:t>
            </w:r>
          </w:p>
        </w:tc>
        <w:tc>
          <w:tcPr>
            <w:tcW w:w="1291" w:type="dxa"/>
            <w:tcBorders/>
            <w:vAlign w:val="center"/>
          </w:tcPr>
          <w:p>
            <w:pPr>
              <w:pStyle w:val="TableContents"/>
              <w:bidi w:val="0"/>
              <w:spacing w:before="0" w:after="0"/>
              <w:jc w:val="center"/>
              <w:rPr/>
            </w:pPr>
            <w:r>
              <w:rPr/>
              <w:t xml:space="preserve">08/03/2026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210,737 </w:t>
            </w:r>
          </w:p>
        </w:tc>
        <w:tc>
          <w:tcPr>
            <w:tcW w:w="946" w:type="dxa"/>
            <w:tcBorders/>
            <w:vAlign w:val="center"/>
          </w:tcPr>
          <w:p>
            <w:pPr>
              <w:pStyle w:val="TableContents"/>
              <w:bidi w:val="0"/>
              <w:spacing w:before="0" w:after="0"/>
              <w:jc w:val="center"/>
              <w:rPr/>
            </w:pPr>
            <w:r>
              <w:rPr/>
              <w:t xml:space="preserve">$3.9600 </w:t>
            </w:r>
          </w:p>
        </w:tc>
        <w:tc>
          <w:tcPr>
            <w:tcW w:w="1291" w:type="dxa"/>
            <w:tcBorders/>
            <w:vAlign w:val="center"/>
          </w:tcPr>
          <w:p>
            <w:pPr>
              <w:pStyle w:val="TableContents"/>
              <w:bidi w:val="0"/>
              <w:spacing w:before="0" w:after="0"/>
              <w:jc w:val="center"/>
              <w:rPr/>
            </w:pPr>
            <w:r>
              <w:rPr/>
              <w:t xml:space="preserve">08/06/2026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34,263 </w:t>
            </w:r>
          </w:p>
        </w:tc>
        <w:tc>
          <w:tcPr>
            <w:tcW w:w="946" w:type="dxa"/>
            <w:tcBorders/>
            <w:vAlign w:val="center"/>
          </w:tcPr>
          <w:p>
            <w:pPr>
              <w:pStyle w:val="TableContents"/>
              <w:bidi w:val="0"/>
              <w:spacing w:before="0" w:after="0"/>
              <w:jc w:val="center"/>
              <w:rPr/>
            </w:pPr>
            <w:r>
              <w:rPr/>
              <w:t xml:space="preserve">$4.0370 </w:t>
            </w:r>
          </w:p>
        </w:tc>
        <w:tc>
          <w:tcPr>
            <w:tcW w:w="1291" w:type="dxa"/>
            <w:tcBorders/>
            <w:vAlign w:val="center"/>
          </w:tcPr>
          <w:p>
            <w:pPr>
              <w:pStyle w:val="TableContents"/>
              <w:bidi w:val="0"/>
              <w:spacing w:before="0" w:after="0"/>
              <w:jc w:val="center"/>
              <w:rPr/>
            </w:pPr>
            <w:r>
              <w:rPr/>
              <w:t xml:space="preserve">08/07/2026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62,666 </w:t>
            </w:r>
          </w:p>
        </w:tc>
        <w:tc>
          <w:tcPr>
            <w:tcW w:w="946" w:type="dxa"/>
            <w:tcBorders/>
            <w:vAlign w:val="center"/>
          </w:tcPr>
          <w:p>
            <w:pPr>
              <w:pStyle w:val="TableContents"/>
              <w:bidi w:val="0"/>
              <w:spacing w:before="0" w:after="0"/>
              <w:jc w:val="center"/>
              <w:rPr/>
            </w:pPr>
            <w:r>
              <w:rPr/>
              <w:t xml:space="preserve">$3.9914 </w:t>
            </w:r>
          </w:p>
        </w:tc>
        <w:tc>
          <w:tcPr>
            <w:tcW w:w="1291" w:type="dxa"/>
            <w:tcBorders/>
            <w:vAlign w:val="center"/>
          </w:tcPr>
          <w:p>
            <w:pPr>
              <w:pStyle w:val="TableContents"/>
              <w:bidi w:val="0"/>
              <w:spacing w:before="0" w:after="0"/>
              <w:jc w:val="center"/>
              <w:rPr/>
            </w:pPr>
            <w:r>
              <w:rPr/>
              <w:t xml:space="preserve">08/10/2026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50,000 </w:t>
            </w:r>
          </w:p>
        </w:tc>
        <w:tc>
          <w:tcPr>
            <w:tcW w:w="946" w:type="dxa"/>
            <w:tcBorders/>
            <w:vAlign w:val="center"/>
          </w:tcPr>
          <w:p>
            <w:pPr>
              <w:pStyle w:val="TableContents"/>
              <w:bidi w:val="0"/>
              <w:spacing w:before="0" w:after="0"/>
              <w:jc w:val="center"/>
              <w:rPr/>
            </w:pPr>
            <w:r>
              <w:rPr/>
              <w:t xml:space="preserve">$3.9247 </w:t>
            </w:r>
          </w:p>
        </w:tc>
        <w:tc>
          <w:tcPr>
            <w:tcW w:w="1291" w:type="dxa"/>
            <w:tcBorders/>
            <w:vAlign w:val="center"/>
          </w:tcPr>
          <w:p>
            <w:pPr>
              <w:pStyle w:val="TableContents"/>
              <w:bidi w:val="0"/>
              <w:spacing w:before="0" w:after="0"/>
              <w:jc w:val="center"/>
              <w:rPr/>
            </w:pPr>
            <w:r>
              <w:rPr/>
              <w:t xml:space="preserve">08/11/2026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137,334 </w:t>
            </w:r>
          </w:p>
        </w:tc>
        <w:tc>
          <w:tcPr>
            <w:tcW w:w="946" w:type="dxa"/>
            <w:tcBorders/>
            <w:vAlign w:val="center"/>
          </w:tcPr>
          <w:p>
            <w:pPr>
              <w:pStyle w:val="TableContents"/>
              <w:bidi w:val="0"/>
              <w:spacing w:before="0" w:after="0"/>
              <w:jc w:val="center"/>
              <w:rPr/>
            </w:pPr>
            <w:r>
              <w:rPr/>
              <w:t xml:space="preserve">$3.9435 </w:t>
            </w:r>
          </w:p>
        </w:tc>
        <w:tc>
          <w:tcPr>
            <w:tcW w:w="1291" w:type="dxa"/>
            <w:tcBorders/>
            <w:vAlign w:val="center"/>
          </w:tcPr>
          <w:p>
            <w:pPr>
              <w:pStyle w:val="TableContents"/>
              <w:bidi w:val="0"/>
              <w:spacing w:before="0" w:after="0"/>
              <w:jc w:val="center"/>
              <w:rPr/>
            </w:pPr>
            <w:r>
              <w:rPr/>
              <w:t xml:space="preserve">08/13/2026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125,000 </w:t>
            </w:r>
          </w:p>
        </w:tc>
        <w:tc>
          <w:tcPr>
            <w:tcW w:w="946" w:type="dxa"/>
            <w:tcBorders/>
            <w:vAlign w:val="center"/>
          </w:tcPr>
          <w:p>
            <w:pPr>
              <w:pStyle w:val="TableContents"/>
              <w:bidi w:val="0"/>
              <w:spacing w:before="0" w:after="0"/>
              <w:jc w:val="center"/>
              <w:rPr/>
            </w:pPr>
            <w:r>
              <w:rPr/>
              <w:t xml:space="preserve">$3.9156 </w:t>
            </w:r>
          </w:p>
        </w:tc>
        <w:tc>
          <w:tcPr>
            <w:tcW w:w="1291" w:type="dxa"/>
            <w:tcBorders/>
            <w:vAlign w:val="center"/>
          </w:tcPr>
          <w:p>
            <w:pPr>
              <w:pStyle w:val="TableContents"/>
              <w:bidi w:val="0"/>
              <w:spacing w:before="0" w:after="0"/>
              <w:jc w:val="center"/>
              <w:rPr/>
            </w:pPr>
            <w:r>
              <w:rPr/>
              <w:t xml:space="preserve">08/14/2026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50,000 </w:t>
            </w:r>
          </w:p>
        </w:tc>
        <w:tc>
          <w:tcPr>
            <w:tcW w:w="946" w:type="dxa"/>
            <w:tcBorders/>
            <w:vAlign w:val="center"/>
          </w:tcPr>
          <w:p>
            <w:pPr>
              <w:pStyle w:val="TableContents"/>
              <w:bidi w:val="0"/>
              <w:spacing w:before="0" w:after="0"/>
              <w:jc w:val="center"/>
              <w:rPr/>
            </w:pPr>
            <w:r>
              <w:rPr/>
              <w:t xml:space="preserve">$3.8150 </w:t>
            </w:r>
          </w:p>
        </w:tc>
        <w:tc>
          <w:tcPr>
            <w:tcW w:w="1291" w:type="dxa"/>
            <w:tcBorders/>
            <w:vAlign w:val="center"/>
          </w:tcPr>
          <w:p>
            <w:pPr>
              <w:pStyle w:val="TableContents"/>
              <w:bidi w:val="0"/>
              <w:spacing w:before="0" w:after="0"/>
              <w:jc w:val="center"/>
              <w:rPr/>
            </w:pPr>
            <w:r>
              <w:rPr/>
              <w:t xml:space="preserve">08/17/2026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75,000 </w:t>
            </w:r>
          </w:p>
        </w:tc>
        <w:tc>
          <w:tcPr>
            <w:tcW w:w="946" w:type="dxa"/>
            <w:tcBorders/>
            <w:vAlign w:val="center"/>
          </w:tcPr>
          <w:p>
            <w:pPr>
              <w:pStyle w:val="TableContents"/>
              <w:bidi w:val="0"/>
              <w:spacing w:before="0" w:after="0"/>
              <w:jc w:val="center"/>
              <w:rPr/>
            </w:pPr>
            <w:r>
              <w:rPr/>
              <w:t xml:space="preserve">$3.7675 </w:t>
            </w:r>
          </w:p>
        </w:tc>
        <w:tc>
          <w:tcPr>
            <w:tcW w:w="1291" w:type="dxa"/>
            <w:tcBorders/>
            <w:vAlign w:val="center"/>
          </w:tcPr>
          <w:p>
            <w:pPr>
              <w:pStyle w:val="TableContents"/>
              <w:bidi w:val="0"/>
              <w:spacing w:before="0" w:after="0"/>
              <w:jc w:val="center"/>
              <w:rPr/>
            </w:pPr>
            <w:r>
              <w:rPr/>
              <w:t xml:space="preserve">08/18/2026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$3.7617 </w:t>
            </w:r>
          </w:p>
        </w:tc>
        <w:tc>
          <w:tcPr>
            <w:tcW w:w="1291" w:type="dxa"/>
            <w:tcBorders/>
            <w:vAlign w:val="center"/>
          </w:tcPr>
          <w:p>
            <w:pPr>
              <w:pStyle w:val="TableContents"/>
              <w:bidi w:val="0"/>
              <w:spacing w:before="0" w:after="0"/>
              <w:jc w:val="center"/>
              <w:rPr/>
            </w:pPr>
            <w:r>
              <w:rPr/>
              <w:t xml:space="preserve">08/19/2026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946" w:type="dxa"/>
            <w:tcBorders/>
            <w:vAlign w:val="center"/>
          </w:tcPr>
          <w:p>
            <w:pPr>
              <w:pStyle w:val="TableContents"/>
              <w:bidi w:val="0"/>
              <w:spacing w:before="0" w:after="0"/>
              <w:jc w:val="center"/>
              <w:rPr/>
            </w:pPr>
            <w:r>
              <w:rPr/>
              <w:t xml:space="preserve">40,000 </w:t>
            </w:r>
          </w:p>
        </w:tc>
        <w:tc>
          <w:tcPr>
            <w:tcW w:w="946" w:type="dxa"/>
            <w:tcBorders/>
            <w:vAlign w:val="center"/>
          </w:tcPr>
          <w:p>
            <w:pPr>
              <w:pStyle w:val="TableContents"/>
              <w:bidi w:val="0"/>
              <w:spacing w:before="0" w:after="0"/>
              <w:jc w:val="center"/>
              <w:rPr/>
            </w:pPr>
            <w:r>
              <w:rPr/>
              <w:t xml:space="preserve">$3.7116 </w:t>
            </w:r>
          </w:p>
        </w:tc>
        <w:tc>
          <w:tcPr>
            <w:tcW w:w="1291" w:type="dxa"/>
            <w:tcBorders/>
            <w:vAlign w:val="center"/>
          </w:tcPr>
          <w:p>
            <w:pPr>
              <w:pStyle w:val="TableContents"/>
              <w:bidi w:val="0"/>
              <w:spacing w:before="0" w:after="0"/>
              <w:jc w:val="center"/>
              <w:rPr/>
            </w:pPr>
            <w:r>
              <w:rPr/>
              <w:t xml:space="preserve">08/20/2026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tbl>
      <w:tblPr>
        <w:tblW w:w="7744" w:type="dxa"/>
        <w:jc w:val="left"/>
        <w:tblInd w:w="0" w:type="dxa"/>
        <w:tblLayout w:type="fixed"/>
        <w:tblCellMar>
          <w:top w:w="0" w:type="dxa"/>
          <w:left w:w="0" w:type="dxa"/>
          <w:bottom w:w="0" w:type="dxa"/>
          <w:right w:w="0" w:type="dxa"/>
        </w:tblCellMar>
      </w:tblPr>
      <w:tblGrid>
        <w:gridCol w:w="4411"/>
        <w:gridCol w:w="1096"/>
        <w:gridCol w:w="946"/>
        <w:gridCol w:w="1291"/>
      </w:tblGrid>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75,000 </w:t>
            </w:r>
          </w:p>
        </w:tc>
        <w:tc>
          <w:tcPr>
            <w:tcW w:w="946" w:type="dxa"/>
            <w:tcBorders/>
            <w:vAlign w:val="center"/>
          </w:tcPr>
          <w:p>
            <w:pPr>
              <w:pStyle w:val="TableContents"/>
              <w:bidi w:val="0"/>
              <w:spacing w:before="0" w:after="0"/>
              <w:jc w:val="center"/>
              <w:rPr/>
            </w:pPr>
            <w:r>
              <w:rPr/>
              <w:t xml:space="preserve">$3.8557 </w:t>
            </w:r>
          </w:p>
        </w:tc>
        <w:tc>
          <w:tcPr>
            <w:tcW w:w="1291" w:type="dxa"/>
            <w:tcBorders/>
            <w:vAlign w:val="center"/>
          </w:tcPr>
          <w:p>
            <w:pPr>
              <w:pStyle w:val="TableContents"/>
              <w:bidi w:val="0"/>
              <w:spacing w:before="0" w:after="0"/>
              <w:jc w:val="center"/>
              <w:rPr/>
            </w:pPr>
            <w:r>
              <w:rPr/>
              <w:t xml:space="preserve">08/21/2026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65,000 </w:t>
            </w:r>
          </w:p>
        </w:tc>
        <w:tc>
          <w:tcPr>
            <w:tcW w:w="946" w:type="dxa"/>
            <w:tcBorders/>
            <w:vAlign w:val="center"/>
          </w:tcPr>
          <w:p>
            <w:pPr>
              <w:pStyle w:val="TableContents"/>
              <w:bidi w:val="0"/>
              <w:spacing w:before="0" w:after="0"/>
              <w:jc w:val="center"/>
              <w:rPr/>
            </w:pPr>
            <w:r>
              <w:rPr/>
              <w:t xml:space="preserve">$3.8241 </w:t>
            </w:r>
          </w:p>
        </w:tc>
        <w:tc>
          <w:tcPr>
            <w:tcW w:w="1291" w:type="dxa"/>
            <w:tcBorders/>
            <w:vAlign w:val="center"/>
          </w:tcPr>
          <w:p>
            <w:pPr>
              <w:pStyle w:val="TableContents"/>
              <w:bidi w:val="0"/>
              <w:spacing w:before="0" w:after="0"/>
              <w:jc w:val="center"/>
              <w:rPr/>
            </w:pPr>
            <w:r>
              <w:rPr/>
              <w:t xml:space="preserve">08/24/2026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30,000 </w:t>
            </w:r>
          </w:p>
        </w:tc>
        <w:tc>
          <w:tcPr>
            <w:tcW w:w="946" w:type="dxa"/>
            <w:tcBorders/>
            <w:vAlign w:val="center"/>
          </w:tcPr>
          <w:p>
            <w:pPr>
              <w:pStyle w:val="TableContents"/>
              <w:bidi w:val="0"/>
              <w:spacing w:before="0" w:after="0"/>
              <w:jc w:val="center"/>
              <w:rPr/>
            </w:pPr>
            <w:r>
              <w:rPr/>
              <w:t xml:space="preserve">$3.7855 </w:t>
            </w:r>
          </w:p>
        </w:tc>
        <w:tc>
          <w:tcPr>
            <w:tcW w:w="1291" w:type="dxa"/>
            <w:tcBorders/>
            <w:vAlign w:val="center"/>
          </w:tcPr>
          <w:p>
            <w:pPr>
              <w:pStyle w:val="TableContents"/>
              <w:bidi w:val="0"/>
              <w:spacing w:before="0" w:after="0"/>
              <w:jc w:val="center"/>
              <w:rPr/>
            </w:pPr>
            <w:r>
              <w:rPr/>
              <w:t xml:space="preserve">08/25/2026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40,000 </w:t>
            </w:r>
          </w:p>
        </w:tc>
        <w:tc>
          <w:tcPr>
            <w:tcW w:w="946" w:type="dxa"/>
            <w:tcBorders/>
            <w:vAlign w:val="center"/>
          </w:tcPr>
          <w:p>
            <w:pPr>
              <w:pStyle w:val="TableContents"/>
              <w:bidi w:val="0"/>
              <w:spacing w:before="0" w:after="0"/>
              <w:jc w:val="center"/>
              <w:rPr/>
            </w:pPr>
            <w:r>
              <w:rPr/>
              <w:t xml:space="preserve">$3.7162 </w:t>
            </w:r>
          </w:p>
        </w:tc>
        <w:tc>
          <w:tcPr>
            <w:tcW w:w="1291" w:type="dxa"/>
            <w:tcBorders/>
            <w:vAlign w:val="center"/>
          </w:tcPr>
          <w:p>
            <w:pPr>
              <w:pStyle w:val="TableContents"/>
              <w:bidi w:val="0"/>
              <w:spacing w:before="0" w:after="0"/>
              <w:jc w:val="center"/>
              <w:rPr/>
            </w:pPr>
            <w:r>
              <w:rPr/>
              <w:t xml:space="preserve">08/26/2026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40,000 </w:t>
            </w:r>
          </w:p>
        </w:tc>
        <w:tc>
          <w:tcPr>
            <w:tcW w:w="946" w:type="dxa"/>
            <w:tcBorders/>
            <w:vAlign w:val="center"/>
          </w:tcPr>
          <w:p>
            <w:pPr>
              <w:pStyle w:val="TableContents"/>
              <w:bidi w:val="0"/>
              <w:spacing w:before="0" w:after="0"/>
              <w:jc w:val="center"/>
              <w:rPr/>
            </w:pPr>
            <w:r>
              <w:rPr/>
              <w:t xml:space="preserve">$3.7010 </w:t>
            </w:r>
          </w:p>
        </w:tc>
        <w:tc>
          <w:tcPr>
            <w:tcW w:w="1291" w:type="dxa"/>
            <w:tcBorders/>
            <w:vAlign w:val="center"/>
          </w:tcPr>
          <w:p>
            <w:pPr>
              <w:pStyle w:val="TableContents"/>
              <w:bidi w:val="0"/>
              <w:spacing w:before="0" w:after="0"/>
              <w:jc w:val="center"/>
              <w:rPr/>
            </w:pPr>
            <w:r>
              <w:rPr/>
              <w:t xml:space="preserve">08/27/2026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$3.6052 </w:t>
            </w:r>
          </w:p>
        </w:tc>
        <w:tc>
          <w:tcPr>
            <w:tcW w:w="1291" w:type="dxa"/>
            <w:tcBorders/>
            <w:vAlign w:val="center"/>
          </w:tcPr>
          <w:p>
            <w:pPr>
              <w:pStyle w:val="TableContents"/>
              <w:bidi w:val="0"/>
              <w:spacing w:before="0" w:after="0"/>
              <w:jc w:val="center"/>
              <w:rPr/>
            </w:pPr>
            <w:r>
              <w:rPr/>
              <w:t xml:space="preserve">08/28/2026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25,000 </w:t>
            </w:r>
          </w:p>
        </w:tc>
        <w:tc>
          <w:tcPr>
            <w:tcW w:w="946" w:type="dxa"/>
            <w:tcBorders/>
            <w:vAlign w:val="center"/>
          </w:tcPr>
          <w:p>
            <w:pPr>
              <w:pStyle w:val="TableContents"/>
              <w:bidi w:val="0"/>
              <w:spacing w:before="0" w:after="0"/>
              <w:jc w:val="center"/>
              <w:rPr/>
            </w:pPr>
            <w:r>
              <w:rPr/>
              <w:t xml:space="preserve">$3.5802 </w:t>
            </w:r>
          </w:p>
        </w:tc>
        <w:tc>
          <w:tcPr>
            <w:tcW w:w="1291" w:type="dxa"/>
            <w:tcBorders/>
            <w:vAlign w:val="center"/>
          </w:tcPr>
          <w:p>
            <w:pPr>
              <w:pStyle w:val="TableContents"/>
              <w:bidi w:val="0"/>
              <w:spacing w:before="0" w:after="0"/>
              <w:jc w:val="center"/>
              <w:rPr/>
            </w:pPr>
            <w:r>
              <w:rPr/>
              <w:t xml:space="preserve">08/31/2026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15,000 </w:t>
            </w:r>
          </w:p>
        </w:tc>
        <w:tc>
          <w:tcPr>
            <w:tcW w:w="946" w:type="dxa"/>
            <w:tcBorders/>
            <w:vAlign w:val="center"/>
          </w:tcPr>
          <w:p>
            <w:pPr>
              <w:pStyle w:val="TableContents"/>
              <w:bidi w:val="0"/>
              <w:spacing w:before="0" w:after="0"/>
              <w:jc w:val="center"/>
              <w:rPr/>
            </w:pPr>
            <w:r>
              <w:rPr/>
              <w:t xml:space="preserve">$3.6269 </w:t>
            </w:r>
          </w:p>
        </w:tc>
        <w:tc>
          <w:tcPr>
            <w:tcW w:w="1291" w:type="dxa"/>
            <w:tcBorders/>
            <w:vAlign w:val="center"/>
          </w:tcPr>
          <w:p>
            <w:pPr>
              <w:pStyle w:val="TableContents"/>
              <w:bidi w:val="0"/>
              <w:spacing w:before="0" w:after="0"/>
              <w:jc w:val="center"/>
              <w:rPr/>
            </w:pPr>
            <w:r>
              <w:rPr/>
              <w:t xml:space="preserve">09/02/2026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35,000 </w:t>
            </w:r>
          </w:p>
        </w:tc>
        <w:tc>
          <w:tcPr>
            <w:tcW w:w="946" w:type="dxa"/>
            <w:tcBorders/>
            <w:vAlign w:val="center"/>
          </w:tcPr>
          <w:p>
            <w:pPr>
              <w:pStyle w:val="TableContents"/>
              <w:bidi w:val="0"/>
              <w:spacing w:before="0" w:after="0"/>
              <w:jc w:val="center"/>
              <w:rPr/>
            </w:pPr>
            <w:r>
              <w:rPr/>
              <w:t xml:space="preserve">$3.5695 </w:t>
            </w:r>
          </w:p>
        </w:tc>
        <w:tc>
          <w:tcPr>
            <w:tcW w:w="1291" w:type="dxa"/>
            <w:tcBorders/>
            <w:vAlign w:val="center"/>
          </w:tcPr>
          <w:p>
            <w:pPr>
              <w:pStyle w:val="TableContents"/>
              <w:bidi w:val="0"/>
              <w:spacing w:before="0" w:after="0"/>
              <w:jc w:val="center"/>
              <w:rPr/>
            </w:pPr>
            <w:r>
              <w:rPr/>
              <w:t xml:space="preserve">09/03/2026 </w:t>
            </w:r>
          </w:p>
        </w:tc>
      </w:tr>
      <w:tr>
        <w:trPr/>
        <w:tc>
          <w:tcPr>
            <w:tcW w:w="4411" w:type="dxa"/>
            <w:tcBorders/>
            <w:vAlign w:val="center"/>
          </w:tcPr>
          <w:p>
            <w:pPr>
              <w:pStyle w:val="TableContents"/>
              <w:bidi w:val="0"/>
              <w:spacing w:before="0" w:after="0"/>
              <w:jc w:val="left"/>
              <w:rPr/>
            </w:pPr>
            <w:r>
              <w:rPr>
                <w:color w:val="000000"/>
              </w:rPr>
              <w:t>Purchase of Cash-Settled Total Return Swap</w:t>
            </w:r>
            <w:r>
              <w:rPr/>
              <w:t xml:space="preserve"> </w:t>
            </w:r>
          </w:p>
        </w:tc>
        <w:tc>
          <w:tcPr>
            <w:tcW w:w="1096" w:type="dxa"/>
            <w:tcBorders/>
            <w:vAlign w:val="center"/>
          </w:tcPr>
          <w:p>
            <w:pPr>
              <w:pStyle w:val="TableContents"/>
              <w:bidi w:val="0"/>
              <w:spacing w:before="0" w:after="0"/>
              <w:jc w:val="center"/>
              <w:rPr/>
            </w:pPr>
            <w:r>
              <w:rPr/>
              <w:t xml:space="preserve">153,940 </w:t>
            </w:r>
          </w:p>
        </w:tc>
        <w:tc>
          <w:tcPr>
            <w:tcW w:w="946" w:type="dxa"/>
            <w:tcBorders/>
            <w:vAlign w:val="center"/>
          </w:tcPr>
          <w:p>
            <w:pPr>
              <w:pStyle w:val="TableContents"/>
              <w:bidi w:val="0"/>
              <w:spacing w:before="0" w:after="0"/>
              <w:jc w:val="center"/>
              <w:rPr/>
            </w:pPr>
            <w:r>
              <w:rPr/>
              <w:t xml:space="preserve">$3.1918 </w:t>
            </w:r>
          </w:p>
        </w:tc>
        <w:tc>
          <w:tcPr>
            <w:tcW w:w="1291" w:type="dxa"/>
            <w:tcBorders/>
            <w:vAlign w:val="center"/>
          </w:tcPr>
          <w:p>
            <w:pPr>
              <w:pStyle w:val="TableContents"/>
              <w:bidi w:val="0"/>
              <w:spacing w:before="0" w:after="0"/>
              <w:jc w:val="center"/>
              <w:rPr/>
            </w:pPr>
            <w:r>
              <w:rPr/>
              <w:t xml:space="preserve">09/10/2026 </w:t>
            </w:r>
          </w:p>
        </w:tc>
      </w:tr>
      <w:tr>
        <w:trPr/>
        <w:tc>
          <w:tcPr>
            <w:tcW w:w="4411" w:type="dxa"/>
            <w:tcBorders/>
            <w:vAlign w:val="center"/>
          </w:tcPr>
          <w:p>
            <w:pPr>
              <w:pStyle w:val="TableContents"/>
              <w:bidi w:val="0"/>
              <w:spacing w:before="0" w:after="0"/>
              <w:jc w:val="left"/>
              <w:rPr/>
            </w:pPr>
            <w:r>
              <w:rPr>
                <w:color w:val="000000"/>
              </w:rPr>
              <w:t>Sale of Cash-Settled Total Return Swap</w:t>
            </w:r>
            <w:r>
              <w:rPr/>
              <w:t xml:space="preserve"> </w:t>
            </w:r>
          </w:p>
        </w:tc>
        <w:tc>
          <w:tcPr>
            <w:tcW w:w="1096" w:type="dxa"/>
            <w:tcBorders/>
            <w:vAlign w:val="center"/>
          </w:tcPr>
          <w:p>
            <w:pPr>
              <w:pStyle w:val="TableContents"/>
              <w:bidi w:val="0"/>
              <w:spacing w:before="0" w:after="0"/>
              <w:jc w:val="center"/>
              <w:rPr/>
            </w:pPr>
            <w:r>
              <w:rPr/>
              <w:t xml:space="preserve">(90,000) </w:t>
            </w:r>
          </w:p>
        </w:tc>
        <w:tc>
          <w:tcPr>
            <w:tcW w:w="946" w:type="dxa"/>
            <w:tcBorders/>
            <w:vAlign w:val="center"/>
          </w:tcPr>
          <w:p>
            <w:pPr>
              <w:pStyle w:val="TableContents"/>
              <w:bidi w:val="0"/>
              <w:spacing w:before="0" w:after="0"/>
              <w:jc w:val="center"/>
              <w:rPr/>
            </w:pPr>
            <w:r>
              <w:rPr/>
              <w:t xml:space="preserve">$3.1696 </w:t>
            </w:r>
          </w:p>
        </w:tc>
        <w:tc>
          <w:tcPr>
            <w:tcW w:w="1291" w:type="dxa"/>
            <w:tcBorders/>
            <w:vAlign w:val="center"/>
          </w:tcPr>
          <w:p>
            <w:pPr>
              <w:pStyle w:val="TableContents"/>
              <w:bidi w:val="0"/>
              <w:spacing w:before="0" w:after="0"/>
              <w:jc w:val="center"/>
              <w:rPr/>
            </w:pPr>
            <w:r>
              <w:rPr/>
              <w:t xml:space="preserve">09/10/2026 </w:t>
            </w:r>
          </w:p>
        </w:tc>
      </w:tr>
      <w:tr>
        <w:trPr/>
        <w:tc>
          <w:tcPr>
            <w:tcW w:w="4411" w:type="dxa"/>
            <w:tcBorders/>
            <w:vAlign w:val="center"/>
          </w:tcPr>
          <w:p>
            <w:pPr>
              <w:pStyle w:val="TableContents"/>
              <w:bidi w:val="0"/>
              <w:spacing w:before="0" w:after="0"/>
              <w:jc w:val="left"/>
              <w:rPr/>
            </w:pPr>
            <w:r>
              <w:rPr>
                <w:color w:val="000000"/>
              </w:rPr>
              <w:t>Sale of Cash-Settled Total Return Swap</w:t>
            </w:r>
            <w:r>
              <w:rPr/>
              <w:t xml:space="preserve"> </w:t>
            </w:r>
          </w:p>
        </w:tc>
        <w:tc>
          <w:tcPr>
            <w:tcW w:w="1096" w:type="dxa"/>
            <w:tcBorders/>
            <w:vAlign w:val="center"/>
          </w:tcPr>
          <w:p>
            <w:pPr>
              <w:pStyle w:val="TableContents"/>
              <w:bidi w:val="0"/>
              <w:spacing w:before="0" w:after="0"/>
              <w:jc w:val="center"/>
              <w:rPr/>
            </w:pPr>
            <w:r>
              <w:rPr/>
              <w:t xml:space="preserve">(250,000) </w:t>
            </w:r>
          </w:p>
        </w:tc>
        <w:tc>
          <w:tcPr>
            <w:tcW w:w="946" w:type="dxa"/>
            <w:tcBorders/>
            <w:vAlign w:val="center"/>
          </w:tcPr>
          <w:p>
            <w:pPr>
              <w:pStyle w:val="TableContents"/>
              <w:bidi w:val="0"/>
              <w:spacing w:before="0" w:after="0"/>
              <w:jc w:val="center"/>
              <w:rPr/>
            </w:pPr>
            <w:r>
              <w:rPr/>
              <w:t xml:space="preserve">$3.3500 </w:t>
            </w:r>
          </w:p>
        </w:tc>
        <w:tc>
          <w:tcPr>
            <w:tcW w:w="1291" w:type="dxa"/>
            <w:tcBorders/>
            <w:vAlign w:val="center"/>
          </w:tcPr>
          <w:p>
            <w:pPr>
              <w:pStyle w:val="TableContents"/>
              <w:bidi w:val="0"/>
              <w:spacing w:before="0" w:after="0"/>
              <w:jc w:val="center"/>
              <w:rPr/>
            </w:pPr>
            <w:r>
              <w:rPr/>
              <w:t xml:space="preserve">09/14/2026 </w:t>
            </w:r>
          </w:p>
        </w:tc>
      </w:tr>
      <w:tr>
        <w:trPr/>
        <w:tc>
          <w:tcPr>
            <w:tcW w:w="4411" w:type="dxa"/>
            <w:tcBorders/>
            <w:vAlign w:val="center"/>
          </w:tcPr>
          <w:p>
            <w:pPr>
              <w:pStyle w:val="TableContents"/>
              <w:bidi w:val="0"/>
              <w:spacing w:before="0" w:after="0"/>
              <w:jc w:val="left"/>
              <w:rPr/>
            </w:pPr>
            <w:r>
              <w:rPr/>
              <w:t xml:space="preserve">Purchase of Common Stock </w:t>
            </w:r>
          </w:p>
        </w:tc>
        <w:tc>
          <w:tcPr>
            <w:tcW w:w="1096" w:type="dxa"/>
            <w:tcBorders/>
            <w:vAlign w:val="center"/>
          </w:tcPr>
          <w:p>
            <w:pPr>
              <w:pStyle w:val="TableContents"/>
              <w:bidi w:val="0"/>
              <w:spacing w:before="0" w:after="0"/>
              <w:jc w:val="center"/>
              <w:rPr/>
            </w:pPr>
            <w:r>
              <w:rPr/>
              <w:t xml:space="preserve">75,000 </w:t>
            </w:r>
          </w:p>
        </w:tc>
        <w:tc>
          <w:tcPr>
            <w:tcW w:w="946" w:type="dxa"/>
            <w:tcBorders/>
            <w:vAlign w:val="center"/>
          </w:tcPr>
          <w:p>
            <w:pPr>
              <w:pStyle w:val="TableContents"/>
              <w:bidi w:val="0"/>
              <w:spacing w:before="0" w:after="0"/>
              <w:jc w:val="center"/>
              <w:rPr/>
            </w:pPr>
            <w:r>
              <w:rPr/>
              <w:t xml:space="preserve">$3.3600 </w:t>
            </w:r>
          </w:p>
        </w:tc>
        <w:tc>
          <w:tcPr>
            <w:tcW w:w="1291" w:type="dxa"/>
            <w:tcBorders/>
            <w:vAlign w:val="center"/>
          </w:tcPr>
          <w:p>
            <w:pPr>
              <w:pStyle w:val="TableContents"/>
              <w:bidi w:val="0"/>
              <w:spacing w:before="0" w:after="0"/>
              <w:jc w:val="center"/>
              <w:rPr/>
            </w:pPr>
            <w:r>
              <w:rPr/>
              <w:t xml:space="preserve">09/15/2026 </w:t>
            </w:r>
          </w:p>
        </w:tc>
      </w:tr>
      <w:tr>
        <w:trPr/>
        <w:tc>
          <w:tcPr>
            <w:tcW w:w="4411" w:type="dxa"/>
            <w:tcBorders/>
            <w:vAlign w:val="center"/>
          </w:tcPr>
          <w:p>
            <w:pPr>
              <w:pStyle w:val="TableContents"/>
              <w:bidi w:val="0"/>
              <w:spacing w:before="0" w:after="0"/>
              <w:jc w:val="left"/>
              <w:rPr/>
            </w:pPr>
            <w:r>
              <w:rPr>
                <w:color w:val="000000"/>
              </w:rPr>
              <w:t>Sale of Cash-Settled Total Return Swap</w:t>
            </w:r>
            <w:r>
              <w:rPr/>
              <w:t xml:space="preserve"> </w:t>
            </w:r>
          </w:p>
        </w:tc>
        <w:tc>
          <w:tcPr>
            <w:tcW w:w="1096" w:type="dxa"/>
            <w:tcBorders/>
            <w:vAlign w:val="center"/>
          </w:tcPr>
          <w:p>
            <w:pPr>
              <w:pStyle w:val="TableContents"/>
              <w:bidi w:val="0"/>
              <w:spacing w:before="0" w:after="0"/>
              <w:jc w:val="center"/>
              <w:rPr/>
            </w:pPr>
            <w:r>
              <w:rPr/>
              <w:t xml:space="preserve">(728,940) </w:t>
            </w:r>
          </w:p>
        </w:tc>
        <w:tc>
          <w:tcPr>
            <w:tcW w:w="946" w:type="dxa"/>
            <w:tcBorders/>
            <w:vAlign w:val="center"/>
          </w:tcPr>
          <w:p>
            <w:pPr>
              <w:pStyle w:val="TableContents"/>
              <w:bidi w:val="0"/>
              <w:spacing w:before="0" w:after="0"/>
              <w:jc w:val="center"/>
              <w:rPr/>
            </w:pPr>
            <w:r>
              <w:rPr/>
              <w:t xml:space="preserve">$3.4526 </w:t>
            </w:r>
          </w:p>
        </w:tc>
        <w:tc>
          <w:tcPr>
            <w:tcW w:w="1291" w:type="dxa"/>
            <w:tcBorders/>
            <w:vAlign w:val="center"/>
          </w:tcPr>
          <w:p>
            <w:pPr>
              <w:pStyle w:val="TableContents"/>
              <w:bidi w:val="0"/>
              <w:spacing w:before="0" w:after="0"/>
              <w:jc w:val="center"/>
              <w:rPr/>
            </w:pPr>
            <w:r>
              <w:rPr/>
              <w:t xml:space="preserve">09/15/2026 </w:t>
            </w:r>
          </w:p>
        </w:tc>
      </w:tr>
      <w:tr>
        <w:trPr/>
        <w:tc>
          <w:tcPr>
            <w:tcW w:w="4411" w:type="dxa"/>
            <w:tcBorders/>
            <w:vAlign w:val="center"/>
          </w:tcPr>
          <w:p>
            <w:pPr>
              <w:pStyle w:val="TableContents"/>
              <w:bidi w:val="0"/>
              <w:spacing w:before="0" w:after="0"/>
              <w:jc w:val="left"/>
              <w:rPr/>
            </w:pPr>
            <w:r>
              <w:rPr/>
              <w:t xml:space="preserve">Purchase of Common Stock </w:t>
            </w:r>
          </w:p>
        </w:tc>
        <w:tc>
          <w:tcPr>
            <w:tcW w:w="1096" w:type="dxa"/>
            <w:tcBorders/>
            <w:vAlign w:val="center"/>
          </w:tcPr>
          <w:p>
            <w:pPr>
              <w:pStyle w:val="TableContents"/>
              <w:bidi w:val="0"/>
              <w:spacing w:before="0" w:after="0"/>
              <w:jc w:val="center"/>
              <w:rPr/>
            </w:pPr>
            <w:r>
              <w:rPr/>
              <w:t xml:space="preserve">415,000 </w:t>
            </w:r>
          </w:p>
        </w:tc>
        <w:tc>
          <w:tcPr>
            <w:tcW w:w="946" w:type="dxa"/>
            <w:tcBorders/>
            <w:vAlign w:val="center"/>
          </w:tcPr>
          <w:p>
            <w:pPr>
              <w:pStyle w:val="TableContents"/>
              <w:bidi w:val="0"/>
              <w:spacing w:before="0" w:after="0"/>
              <w:jc w:val="center"/>
              <w:rPr/>
            </w:pPr>
            <w:r>
              <w:rPr/>
              <w:t xml:space="preserve">$3.4412 </w:t>
            </w:r>
          </w:p>
        </w:tc>
        <w:tc>
          <w:tcPr>
            <w:tcW w:w="1291" w:type="dxa"/>
            <w:tcBorders/>
            <w:vAlign w:val="center"/>
          </w:tcPr>
          <w:p>
            <w:pPr>
              <w:pStyle w:val="TableContents"/>
              <w:bidi w:val="0"/>
              <w:spacing w:before="0" w:after="0"/>
              <w:jc w:val="center"/>
              <w:rPr/>
            </w:pPr>
            <w:r>
              <w:rPr/>
              <w:t xml:space="preserve">09/15/2026 </w:t>
            </w:r>
          </w:p>
        </w:tc>
      </w:tr>
    </w:tbl>
    <w:p>
      <w:pPr>
        <w:pStyle w:val="TextBody"/>
        <w:bidi w:val="0"/>
        <w:spacing w:before="0" w:after="0"/>
        <w:jc w:val="left"/>
        <w:rPr/>
      </w:pPr>
      <w:r>
        <w:rPr/>
        <w:t xml:space="preserve">  </w:t>
      </w:r>
    </w:p>
    <w:p>
      <w:pPr>
        <w:pStyle w:val="TextBody"/>
        <w:bidi w:val="0"/>
        <w:spacing w:before="0" w:after="240"/>
        <w:jc w:val="center"/>
        <w:rPr>
          <w:sz w:val="24"/>
        </w:rPr>
      </w:pPr>
      <w:r>
        <w:rPr>
          <w:b/>
          <w:sz w:val="24"/>
          <w:u w:val="single"/>
        </w:rPr>
        <w:t>YA II PN, Ltd.</w:t>
      </w:r>
      <w:r>
        <w:rPr>
          <w:sz w:val="24"/>
        </w:rPr>
        <w:t xml:space="preserve"> </w:t>
      </w:r>
    </w:p>
    <w:tbl>
      <w:tblPr>
        <w:tblW w:w="6019" w:type="dxa"/>
        <w:jc w:val="left"/>
        <w:tblInd w:w="0" w:type="dxa"/>
        <w:tblLayout w:type="fixed"/>
        <w:tblCellMar>
          <w:top w:w="0" w:type="dxa"/>
          <w:left w:w="0" w:type="dxa"/>
          <w:bottom w:w="0" w:type="dxa"/>
          <w:right w:w="0" w:type="dxa"/>
        </w:tblCellMar>
      </w:tblPr>
      <w:tblGrid>
        <w:gridCol w:w="2836"/>
        <w:gridCol w:w="946"/>
        <w:gridCol w:w="946"/>
        <w:gridCol w:w="1291"/>
      </w:tblGrid>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10,000</w:t>
            </w:r>
            <w:r>
              <w:rPr/>
              <w:t xml:space="preserve"> </w:t>
            </w:r>
          </w:p>
        </w:tc>
        <w:tc>
          <w:tcPr>
            <w:tcW w:w="946" w:type="dxa"/>
            <w:tcBorders/>
            <w:vAlign w:val="center"/>
          </w:tcPr>
          <w:p>
            <w:pPr>
              <w:pStyle w:val="TableContents"/>
              <w:bidi w:val="0"/>
              <w:spacing w:before="0" w:after="0"/>
              <w:jc w:val="center"/>
              <w:rPr/>
            </w:pPr>
            <w:r>
              <w:rPr>
                <w:color w:val="000000"/>
              </w:rPr>
              <w:t>$3.8629</w:t>
            </w:r>
            <w:r>
              <w:rPr/>
              <w:t xml:space="preserve"> </w:t>
            </w:r>
          </w:p>
        </w:tc>
        <w:tc>
          <w:tcPr>
            <w:tcW w:w="1291" w:type="dxa"/>
            <w:tcBorders/>
            <w:vAlign w:val="center"/>
          </w:tcPr>
          <w:p>
            <w:pPr>
              <w:pStyle w:val="TableContents"/>
              <w:bidi w:val="0"/>
              <w:spacing w:before="0" w:after="0"/>
              <w:jc w:val="center"/>
              <w:rPr/>
            </w:pPr>
            <w:r>
              <w:rPr>
                <w:color w:val="000000"/>
              </w:rPr>
              <w:t>07/17/2026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83,760</w:t>
            </w:r>
            <w:r>
              <w:rPr/>
              <w:t xml:space="preserve"> </w:t>
            </w:r>
          </w:p>
        </w:tc>
        <w:tc>
          <w:tcPr>
            <w:tcW w:w="946" w:type="dxa"/>
            <w:tcBorders/>
            <w:vAlign w:val="center"/>
          </w:tcPr>
          <w:p>
            <w:pPr>
              <w:pStyle w:val="TableContents"/>
              <w:bidi w:val="0"/>
              <w:spacing w:before="0" w:after="0"/>
              <w:jc w:val="center"/>
              <w:rPr/>
            </w:pPr>
            <w:r>
              <w:rPr>
                <w:color w:val="000000"/>
              </w:rPr>
              <w:t>$3.9276</w:t>
            </w:r>
            <w:r>
              <w:rPr/>
              <w:t xml:space="preserve"> </w:t>
            </w:r>
          </w:p>
        </w:tc>
        <w:tc>
          <w:tcPr>
            <w:tcW w:w="1291" w:type="dxa"/>
            <w:tcBorders/>
            <w:vAlign w:val="center"/>
          </w:tcPr>
          <w:p>
            <w:pPr>
              <w:pStyle w:val="TableContents"/>
              <w:bidi w:val="0"/>
              <w:spacing w:before="0" w:after="0"/>
              <w:jc w:val="center"/>
              <w:rPr/>
            </w:pPr>
            <w:r>
              <w:rPr>
                <w:color w:val="000000"/>
              </w:rPr>
              <w:t>07/17/2026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20,000</w:t>
            </w:r>
            <w:r>
              <w:rPr/>
              <w:t xml:space="preserve"> </w:t>
            </w:r>
          </w:p>
        </w:tc>
        <w:tc>
          <w:tcPr>
            <w:tcW w:w="946" w:type="dxa"/>
            <w:tcBorders/>
            <w:vAlign w:val="center"/>
          </w:tcPr>
          <w:p>
            <w:pPr>
              <w:pStyle w:val="TableContents"/>
              <w:bidi w:val="0"/>
              <w:spacing w:before="0" w:after="0"/>
              <w:jc w:val="center"/>
              <w:rPr/>
            </w:pPr>
            <w:r>
              <w:rPr>
                <w:color w:val="000000"/>
              </w:rPr>
              <w:t>$3.7719</w:t>
            </w:r>
            <w:r>
              <w:rPr/>
              <w:t xml:space="preserve"> </w:t>
            </w:r>
          </w:p>
        </w:tc>
        <w:tc>
          <w:tcPr>
            <w:tcW w:w="1291" w:type="dxa"/>
            <w:tcBorders/>
            <w:vAlign w:val="center"/>
          </w:tcPr>
          <w:p>
            <w:pPr>
              <w:pStyle w:val="TableContents"/>
              <w:bidi w:val="0"/>
              <w:spacing w:before="0" w:after="0"/>
              <w:jc w:val="center"/>
              <w:rPr/>
            </w:pPr>
            <w:r>
              <w:rPr>
                <w:color w:val="000000"/>
              </w:rPr>
              <w:t>07/21/2026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20,000</w:t>
            </w:r>
            <w:r>
              <w:rPr/>
              <w:t xml:space="preserve"> </w:t>
            </w:r>
          </w:p>
        </w:tc>
        <w:tc>
          <w:tcPr>
            <w:tcW w:w="946" w:type="dxa"/>
            <w:tcBorders/>
            <w:vAlign w:val="center"/>
          </w:tcPr>
          <w:p>
            <w:pPr>
              <w:pStyle w:val="TableContents"/>
              <w:bidi w:val="0"/>
              <w:spacing w:before="0" w:after="0"/>
              <w:jc w:val="center"/>
              <w:rPr/>
            </w:pPr>
            <w:r>
              <w:rPr>
                <w:color w:val="000000"/>
              </w:rPr>
              <w:t>$3.7450</w:t>
            </w:r>
            <w:r>
              <w:rPr/>
              <w:t xml:space="preserve"> </w:t>
            </w:r>
          </w:p>
        </w:tc>
        <w:tc>
          <w:tcPr>
            <w:tcW w:w="1291" w:type="dxa"/>
            <w:tcBorders/>
            <w:vAlign w:val="center"/>
          </w:tcPr>
          <w:p>
            <w:pPr>
              <w:pStyle w:val="TableContents"/>
              <w:bidi w:val="0"/>
              <w:spacing w:before="0" w:after="0"/>
              <w:jc w:val="center"/>
              <w:rPr/>
            </w:pPr>
            <w:r>
              <w:rPr>
                <w:color w:val="000000"/>
              </w:rPr>
              <w:t>07/22/2026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35,000</w:t>
            </w:r>
            <w:r>
              <w:rPr/>
              <w:t xml:space="preserve"> </w:t>
            </w:r>
          </w:p>
        </w:tc>
        <w:tc>
          <w:tcPr>
            <w:tcW w:w="946" w:type="dxa"/>
            <w:tcBorders/>
            <w:vAlign w:val="center"/>
          </w:tcPr>
          <w:p>
            <w:pPr>
              <w:pStyle w:val="TableContents"/>
              <w:bidi w:val="0"/>
              <w:spacing w:before="0" w:after="0"/>
              <w:jc w:val="center"/>
              <w:rPr/>
            </w:pPr>
            <w:r>
              <w:rPr>
                <w:color w:val="000000"/>
              </w:rPr>
              <w:t>$4.0224</w:t>
            </w:r>
            <w:r>
              <w:rPr/>
              <w:t xml:space="preserve"> </w:t>
            </w:r>
          </w:p>
        </w:tc>
        <w:tc>
          <w:tcPr>
            <w:tcW w:w="1291" w:type="dxa"/>
            <w:tcBorders/>
            <w:vAlign w:val="center"/>
          </w:tcPr>
          <w:p>
            <w:pPr>
              <w:pStyle w:val="TableContents"/>
              <w:bidi w:val="0"/>
              <w:spacing w:before="0" w:after="0"/>
              <w:jc w:val="center"/>
              <w:rPr/>
            </w:pPr>
            <w:r>
              <w:rPr>
                <w:color w:val="000000"/>
              </w:rPr>
              <w:t>07/31/2026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40,000</w:t>
            </w:r>
            <w:r>
              <w:rPr/>
              <w:t xml:space="preserve"> </w:t>
            </w:r>
          </w:p>
        </w:tc>
        <w:tc>
          <w:tcPr>
            <w:tcW w:w="946" w:type="dxa"/>
            <w:tcBorders/>
            <w:vAlign w:val="center"/>
          </w:tcPr>
          <w:p>
            <w:pPr>
              <w:pStyle w:val="TableContents"/>
              <w:bidi w:val="0"/>
              <w:spacing w:before="0" w:after="0"/>
              <w:jc w:val="center"/>
              <w:rPr/>
            </w:pPr>
            <w:r>
              <w:rPr>
                <w:color w:val="000000"/>
              </w:rPr>
              <w:t>$3.2455</w:t>
            </w:r>
            <w:r>
              <w:rPr/>
              <w:t xml:space="preserve"> </w:t>
            </w:r>
          </w:p>
        </w:tc>
        <w:tc>
          <w:tcPr>
            <w:tcW w:w="1291" w:type="dxa"/>
            <w:tcBorders/>
            <w:vAlign w:val="center"/>
          </w:tcPr>
          <w:p>
            <w:pPr>
              <w:pStyle w:val="TableContents"/>
              <w:bidi w:val="0"/>
              <w:spacing w:before="0" w:after="0"/>
              <w:jc w:val="center"/>
              <w:rPr/>
            </w:pPr>
            <w:r>
              <w:rPr>
                <w:color w:val="000000"/>
              </w:rPr>
              <w:t>09/11/2026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250,000</w:t>
            </w:r>
            <w:r>
              <w:rPr/>
              <w:t xml:space="preserve"> </w:t>
            </w:r>
          </w:p>
        </w:tc>
        <w:tc>
          <w:tcPr>
            <w:tcW w:w="946" w:type="dxa"/>
            <w:tcBorders/>
            <w:vAlign w:val="center"/>
          </w:tcPr>
          <w:p>
            <w:pPr>
              <w:pStyle w:val="TableContents"/>
              <w:bidi w:val="0"/>
              <w:spacing w:before="0" w:after="0"/>
              <w:jc w:val="center"/>
              <w:rPr/>
            </w:pPr>
            <w:r>
              <w:rPr>
                <w:color w:val="000000"/>
              </w:rPr>
              <w:t>$3.3500</w:t>
            </w:r>
            <w:r>
              <w:rPr/>
              <w:t xml:space="preserve"> </w:t>
            </w:r>
          </w:p>
        </w:tc>
        <w:tc>
          <w:tcPr>
            <w:tcW w:w="1291" w:type="dxa"/>
            <w:tcBorders/>
            <w:vAlign w:val="center"/>
          </w:tcPr>
          <w:p>
            <w:pPr>
              <w:pStyle w:val="TableContents"/>
              <w:bidi w:val="0"/>
              <w:spacing w:before="0" w:after="0"/>
              <w:jc w:val="center"/>
              <w:rPr/>
            </w:pPr>
            <w:r>
              <w:rPr>
                <w:color w:val="000000"/>
              </w:rPr>
              <w:t>09/14/2026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14,694</w:t>
            </w:r>
            <w:r>
              <w:rPr/>
              <w:t xml:space="preserve"> </w:t>
            </w:r>
          </w:p>
        </w:tc>
        <w:tc>
          <w:tcPr>
            <w:tcW w:w="946" w:type="dxa"/>
            <w:tcBorders/>
            <w:vAlign w:val="center"/>
          </w:tcPr>
          <w:p>
            <w:pPr>
              <w:pStyle w:val="TableContents"/>
              <w:bidi w:val="0"/>
              <w:spacing w:before="0" w:after="0"/>
              <w:jc w:val="center"/>
              <w:rPr/>
            </w:pPr>
            <w:r>
              <w:rPr>
                <w:color w:val="000000"/>
              </w:rPr>
              <w:t>$3.3175</w:t>
            </w:r>
            <w:r>
              <w:rPr/>
              <w:t xml:space="preserve"> </w:t>
            </w:r>
          </w:p>
        </w:tc>
        <w:tc>
          <w:tcPr>
            <w:tcW w:w="1291" w:type="dxa"/>
            <w:tcBorders/>
            <w:vAlign w:val="center"/>
          </w:tcPr>
          <w:p>
            <w:pPr>
              <w:pStyle w:val="TableContents"/>
              <w:bidi w:val="0"/>
              <w:spacing w:before="0" w:after="0"/>
              <w:jc w:val="center"/>
              <w:rPr/>
            </w:pPr>
            <w:r>
              <w:rPr>
                <w:color w:val="000000"/>
              </w:rPr>
              <w:t>09/14/2026</w:t>
            </w:r>
            <w:r>
              <w:rPr/>
              <w:t xml:space="preserve"> </w:t>
            </w:r>
          </w:p>
        </w:tc>
      </w:tr>
      <w:tr>
        <w:trPr/>
        <w:tc>
          <w:tcPr>
            <w:tcW w:w="2836" w:type="dxa"/>
            <w:tcBorders/>
            <w:vAlign w:val="center"/>
          </w:tcPr>
          <w:p>
            <w:pPr>
              <w:pStyle w:val="TableContents"/>
              <w:bidi w:val="0"/>
              <w:spacing w:before="0" w:after="0"/>
              <w:jc w:val="left"/>
              <w:rPr/>
            </w:pPr>
            <w:r>
              <w:rPr>
                <w:color w:val="000000"/>
              </w:rPr>
              <w:t>Purchase of Common Stock</w:t>
            </w:r>
            <w:r>
              <w:rPr/>
              <w:t xml:space="preserve"> </w:t>
            </w:r>
          </w:p>
        </w:tc>
        <w:tc>
          <w:tcPr>
            <w:tcW w:w="946" w:type="dxa"/>
            <w:tcBorders/>
            <w:vAlign w:val="center"/>
          </w:tcPr>
          <w:p>
            <w:pPr>
              <w:pStyle w:val="TableContents"/>
              <w:bidi w:val="0"/>
              <w:spacing w:before="0" w:after="0"/>
              <w:jc w:val="center"/>
              <w:rPr/>
            </w:pPr>
            <w:r>
              <w:rPr>
                <w:color w:val="000000"/>
              </w:rPr>
              <w:t>228,940</w:t>
            </w:r>
            <w:r>
              <w:rPr/>
              <w:t xml:space="preserve"> </w:t>
            </w:r>
          </w:p>
        </w:tc>
        <w:tc>
          <w:tcPr>
            <w:tcW w:w="946" w:type="dxa"/>
            <w:tcBorders/>
            <w:vAlign w:val="center"/>
          </w:tcPr>
          <w:p>
            <w:pPr>
              <w:pStyle w:val="TableContents"/>
              <w:bidi w:val="0"/>
              <w:spacing w:before="0" w:after="0"/>
              <w:jc w:val="center"/>
              <w:rPr/>
            </w:pPr>
            <w:r>
              <w:rPr>
                <w:color w:val="000000"/>
              </w:rPr>
              <w:t>$3.5000</w:t>
            </w:r>
            <w:r>
              <w:rPr/>
              <w:t xml:space="preserve"> </w:t>
            </w:r>
          </w:p>
        </w:tc>
        <w:tc>
          <w:tcPr>
            <w:tcW w:w="1291" w:type="dxa"/>
            <w:tcBorders/>
            <w:vAlign w:val="center"/>
          </w:tcPr>
          <w:p>
            <w:pPr>
              <w:pStyle w:val="TableContents"/>
              <w:bidi w:val="0"/>
              <w:spacing w:before="0" w:after="0"/>
              <w:jc w:val="center"/>
              <w:rPr/>
            </w:pPr>
            <w:r>
              <w:rPr>
                <w:color w:val="000000"/>
              </w:rPr>
              <w:t>09/15/2026</w:t>
            </w: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50" w:name="exh99_1.htm"/>
      <w:bookmarkStart w:id="51" w:name="ksexh99_1"/>
      <w:bookmarkEnd w:id="50"/>
      <w:bookmarkEnd w:id="51"/>
      <w:r>
        <w:rPr/>
        <w:t>Exhibit 99.1</w:t>
      </w:r>
      <w:r>
        <w:br w:type="page"/>
      </w:r>
    </w:p>
    <w:p>
      <w:pPr>
        <w:pStyle w:val="TextBody"/>
        <w:bidi w:val="0"/>
        <w:spacing w:before="0" w:after="0"/>
        <w:jc w:val="right"/>
        <w:rPr/>
      </w:pPr>
      <w:r>
        <w:rPr/>
        <w:t> </w:t>
      </w:r>
    </w:p>
    <w:p>
      <w:pPr>
        <w:pStyle w:val="TextBody"/>
        <w:bidi w:val="0"/>
        <w:spacing w:before="0" w:after="0"/>
        <w:jc w:val="center"/>
        <w:rPr/>
      </w:pPr>
      <w:r>
        <w:rPr>
          <w:b/>
          <w:sz w:val="22"/>
          <w:u w:val="single"/>
        </w:rPr>
        <w:t>GROUP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WHEREAS, certain of the undersigned are stockholders, direct or beneficial, of OraSure Technologies, Inc., a Delaware corporation (the “</w:t>
      </w:r>
      <w:r>
        <w:rPr>
          <w:sz w:val="22"/>
          <w:u w:val="single"/>
        </w:rPr>
        <w:t>Company</w:t>
      </w:r>
      <w:r>
        <w:rPr/>
        <w:t>”</w:t>
      </w:r>
      <w:r>
        <w:rPr>
          <w:sz w:val="22"/>
        </w:rPr>
        <w: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WHEREAS, YA II PN, Ltd., YA Global Investments II (U.S.), LP, Yorkville Advisors Global, LP, </w:t>
      </w:r>
      <w:r>
        <w:rPr>
          <w:color w:val="000000"/>
          <w:sz w:val="22"/>
        </w:rPr>
        <w:t xml:space="preserve">Yorkville Advisors Global II, LLC, YAII GP, LP, YAII GP II, LLC and Mark Angelo </w:t>
      </w:r>
      <w:r>
        <w:rPr>
          <w:sz w:val="22"/>
        </w:rPr>
        <w:t>(collectively, “</w:t>
      </w:r>
      <w:r>
        <w:rPr>
          <w:sz w:val="22"/>
          <w:u w:val="single"/>
        </w:rPr>
        <w:t>Yorkville</w:t>
      </w:r>
      <w:r>
        <w:rPr/>
        <w:t>”</w:t>
      </w:r>
      <w:r>
        <w:rPr>
          <w:sz w:val="22"/>
        </w:rPr>
        <w:t xml:space="preserve">), on the one hand, and Islet </w:t>
      </w:r>
      <w:r>
        <w:rPr>
          <w:color w:val="000000"/>
          <w:sz w:val="22"/>
        </w:rPr>
        <w:t xml:space="preserve">Management, LP </w:t>
      </w:r>
      <w:r>
        <w:rPr>
          <w:sz w:val="22"/>
        </w:rPr>
        <w:t>and Joseph Samuels, on the other hand (collectively, “</w:t>
      </w:r>
      <w:r>
        <w:rPr>
          <w:sz w:val="22"/>
          <w:u w:val="single"/>
        </w:rPr>
        <w:t>Islet</w:t>
      </w:r>
      <w:r>
        <w:rPr/>
        <w:t xml:space="preserve">” </w:t>
      </w:r>
      <w:r>
        <w:rPr>
          <w:sz w:val="22"/>
        </w:rPr>
        <w:t>and together with Yorkville, the “</w:t>
      </w:r>
      <w:r>
        <w:rPr>
          <w:sz w:val="22"/>
          <w:u w:val="single"/>
        </w:rPr>
        <w:t>Group</w:t>
      </w:r>
      <w:r>
        <w:rPr/>
        <w:t>”</w:t>
      </w:r>
      <w:r>
        <w:rPr>
          <w:sz w:val="22"/>
        </w:rPr>
        <w:t>), wish to form the Group for the purpose of working together to enhance shareholder value at the Company and to take such other actions as the Group may determine are necessary or advisable to achieve the foregoing, including the potential nomination of certain individuals to the board of directors of the Company at the Company’s 2027 annual meeting of stockholders (collectively, the “</w:t>
      </w:r>
      <w:r>
        <w:rPr>
          <w:sz w:val="22"/>
          <w:u w:val="single"/>
        </w:rPr>
        <w:t>Purposes</w:t>
      </w:r>
      <w:r>
        <w:rPr/>
        <w:t>”</w:t>
      </w:r>
      <w:r>
        <w:rPr>
          <w:sz w:val="22"/>
        </w:rPr>
        <w:t>). Each of Yorkville and Islet (and the respective members thereof) is referred to herein as a “Party” and together as the “Parties.</w:t>
      </w:r>
      <w:r>
        <w:rPr>
          <w:color w:val="000000"/>
        </w:rPr>
        <w:t xml:space="preserve">” </w:t>
      </w:r>
      <w:r>
        <w:rPr>
          <w:color w:val="000000"/>
          <w:sz w:val="22"/>
        </w:rPr>
        <w:t>For the avoidance of doubt, no member of a Party shall be deemed to be a member of the other Party for any purpose under this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NOW, IT IS AGREED, this 11th day of September 2026 by the Parties hereto:</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Each Party agrees to form a “group” (as such term is defined in Section 13(d)(3) of the Securities Exchange Act of 1934, as amended (the “</w:t>
      </w:r>
      <w:r>
        <w:rPr>
          <w:sz w:val="22"/>
          <w:u w:val="single"/>
        </w:rPr>
        <w:t>Exchange Act</w:t>
      </w:r>
      <w:r>
        <w:rPr/>
        <w:t>”</w:t>
      </w:r>
      <w:r>
        <w:rPr>
          <w:sz w:val="22"/>
        </w:rPr>
        <w:t>)) with respect to the securities of the Company. In furtherance of the foregoing and in accordance with Rule 13d-1(k) of the Exchange Act, each Party shall file, separately or jointly, a Schedule 13D and any amendments thereto and any other Securities and Exchange Commission (“</w:t>
      </w:r>
      <w:r>
        <w:rPr>
          <w:sz w:val="22"/>
          <w:u w:val="single"/>
        </w:rPr>
        <w:t>SEC</w:t>
      </w:r>
      <w:r>
        <w:rPr/>
        <w:t>”</w:t>
      </w:r>
      <w:r>
        <w:rPr>
          <w:sz w:val="22"/>
        </w:rPr>
        <w:t>) filing with respect to the securities of the Company to the extent required by applicable law. Each Party shall be responsible for the accuracy and completeness of its own disclosure therein, and is not responsible for the accuracy and completeness of the information concerning the other Party, unless such Party knows or has reason to know that such information is inaccurate</w:t>
      </w:r>
      <w:r>
        <w:rPr>
          <w:color w:val="000000"/>
          <w:sz w:val="22"/>
        </w:rPr>
        <w:t>.</w:t>
      </w:r>
      <w:r>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At any time when the Group’s aggregate beneficial ownership exceeds 5% of the outstanding shares of the Company’s Common Stock while this group agreement (as the same may be amended, supplemented or otherwise modified from time to time, this “</w:t>
      </w:r>
      <w:r>
        <w:rPr>
          <w:sz w:val="22"/>
          <w:u w:val="single"/>
        </w:rPr>
        <w:t>Agreement</w:t>
      </w:r>
      <w:r>
        <w:rPr/>
        <w:t>”</w:t>
      </w:r>
      <w:r>
        <w:rPr>
          <w:sz w:val="22"/>
        </w:rPr>
        <w:t xml:space="preserve">) is in effect, each Party agrees to provide the other Party advance written notice prior to effecting any purchase, sale, acquisition or disposition of any </w:t>
      </w:r>
      <w:r>
        <w:rPr>
          <w:color w:val="000000"/>
          <w:sz w:val="22"/>
        </w:rPr>
        <w:t xml:space="preserve">securities </w:t>
      </w:r>
      <w:r>
        <w:rPr>
          <w:sz w:val="22"/>
        </w:rPr>
        <w:t xml:space="preserve">of the Company which such Party has, or would have, direct or indirect beneficial ownership </w:t>
      </w:r>
      <w:r>
        <w:rPr>
          <w:color w:val="000000"/>
          <w:sz w:val="22"/>
        </w:rPr>
        <w:t xml:space="preserve">and which would require an amendment to, or the filing of, a Schedule 13D or other SEC filing </w:t>
      </w:r>
      <w:r>
        <w:rPr>
          <w:sz w:val="22"/>
        </w:rPr>
        <w:t xml:space="preserve">so that the other Party has an opportunity to review the potential implications of any such transaction in the </w:t>
      </w:r>
      <w:r>
        <w:rPr>
          <w:color w:val="000000"/>
          <w:sz w:val="22"/>
        </w:rPr>
        <w:t xml:space="preserve">securities </w:t>
      </w:r>
      <w:r>
        <w:rPr>
          <w:sz w:val="22"/>
        </w:rPr>
        <w:t xml:space="preserve">of the Company and pre-clear any such potential transaction in the </w:t>
      </w:r>
      <w:r>
        <w:rPr>
          <w:color w:val="000000"/>
          <w:sz w:val="22"/>
        </w:rPr>
        <w:t xml:space="preserve">securities </w:t>
      </w:r>
      <w:r>
        <w:rPr>
          <w:sz w:val="22"/>
        </w:rPr>
        <w:t>of the Company by such Party. For purposes of this Agreement, the term “</w:t>
      </w:r>
      <w:r>
        <w:rPr>
          <w:sz w:val="22"/>
          <w:u w:val="single"/>
        </w:rPr>
        <w:t>beneficial ownership</w:t>
      </w:r>
      <w:r>
        <w:rPr/>
        <w:t xml:space="preserve">” </w:t>
      </w:r>
      <w:r>
        <w:rPr>
          <w:sz w:val="22"/>
        </w:rPr>
        <w:t xml:space="preserve">shall have the meaning of such term set forth in Rule 13d-3 under the Exchange Act. Each Party agrees, upon the request of the other Party, to provide such Party with written representations and any other information regarding the number of </w:t>
      </w:r>
      <w:r>
        <w:rPr>
          <w:color w:val="000000"/>
          <w:sz w:val="22"/>
        </w:rPr>
        <w:t>shares</w:t>
      </w:r>
      <w:r>
        <w:rPr/>
        <w:t xml:space="preserve"> </w:t>
      </w:r>
      <w:r>
        <w:rPr>
          <w:sz w:val="22"/>
        </w:rPr>
        <w:t xml:space="preserve">of </w:t>
      </w:r>
      <w:r>
        <w:rPr>
          <w:color w:val="000000"/>
          <w:sz w:val="22"/>
        </w:rPr>
        <w:t xml:space="preserve">Common Stock of </w:t>
      </w:r>
      <w:r>
        <w:rPr>
          <w:sz w:val="22"/>
        </w:rPr>
        <w:t xml:space="preserve">the Company beneficially owned by such other Party.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At any time when the Group’s aggregate beneficial ownership exceeds 5% of the outstanding shares of the Company’s Common Stock while this Agreement is in effect, each Party shall provide written notice to Olshan Frome Wolosky LLP (“</w:t>
      </w:r>
      <w:r>
        <w:rPr>
          <w:sz w:val="22"/>
          <w:u w:val="single"/>
        </w:rPr>
        <w:t>Olshan</w:t>
      </w:r>
      <w:r>
        <w:rPr/>
        <w:t>”</w:t>
      </w:r>
      <w:r>
        <w:rPr>
          <w:sz w:val="22"/>
        </w:rPr>
        <w:t>) and Dechert LLP (“</w:t>
      </w:r>
      <w:r>
        <w:rPr>
          <w:sz w:val="22"/>
          <w:u w:val="single"/>
        </w:rPr>
        <w:t>Dechert</w:t>
      </w:r>
      <w:r>
        <w:rPr/>
        <w:t>”</w:t>
      </w:r>
      <w:r>
        <w:rPr>
          <w:sz w:val="22"/>
        </w:rPr>
        <w:t xml:space="preserve">), such notice to be given no later than 24 hours after each such transaction, of (i) any of such Party’s purchases or sales of </w:t>
      </w:r>
      <w:r>
        <w:rPr>
          <w:color w:val="000000"/>
          <w:sz w:val="22"/>
        </w:rPr>
        <w:t xml:space="preserve">securities </w:t>
      </w:r>
      <w:r>
        <w:rPr>
          <w:sz w:val="22"/>
        </w:rPr>
        <w:t xml:space="preserve">of the Company or (ii) any </w:t>
      </w:r>
      <w:r>
        <w:rPr>
          <w:color w:val="000000"/>
          <w:sz w:val="22"/>
        </w:rPr>
        <w:t xml:space="preserve">securities </w:t>
      </w:r>
      <w:r>
        <w:rPr>
          <w:sz w:val="22"/>
        </w:rPr>
        <w:t>of the Company over which such Party acquires or disposes of beneficial ownership</w:t>
      </w:r>
      <w:r>
        <w:rPr>
          <w:color w:val="000000"/>
          <w:sz w:val="22"/>
        </w:rPr>
        <w:t>.</w:t>
      </w:r>
      <w:r>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Each Party agrees to form the Group with the other Party for the Purposes as set forth above.</w:t>
      </w:r>
      <w:r>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Each Party agrees that any SEC filing, press release, public stockholder communication or Company communication proposed to be made or issued by the Group or any member of the Group in connection with the Group’s activities set forth in Section 4 shall be approved by both Parties.  The Parties hereby agree to work in good faith to resolve any disagreement that may arise between or among any of the members of the Group concerning decisions to be made, actions to be taken or statements to be made in connection with the Group’s activities.</w:t>
      </w:r>
      <w:r>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Each Party agrees to provide written notice to the other Party, or its representatives at Olshan or Dechert, as applicable, of any communications made by or on behalf of the Company or its representatives to such Party within 24 hours of such communications occurring.</w:t>
      </w:r>
      <w:r>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60655"/>
                <wp:effectExtent l="0" t="0" r="0" b="0"/>
                <wp:wrapSquare wrapText="right"/>
                <wp:docPr id="43" name="Frame6"/>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 xml:space="preserve">6. </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6.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Nothing herein shall be construed to authorize any Party to act as an agent for the other Party, or to create a joint venture or partnership, or to create any duties (including any fiduciary duties) among the members of the Group except for the obligations expressly set forth in this Agreement or as otherwise expressly agreed between or among them. Nothing herein shall restrict either Party’s right to purchase, sell, acquire or dispose of </w:t>
      </w:r>
      <w:r>
        <w:rPr>
          <w:color w:val="000000"/>
          <w:sz w:val="22"/>
        </w:rPr>
        <w:t xml:space="preserve">securities </w:t>
      </w:r>
      <w:r>
        <w:rPr>
          <w:sz w:val="22"/>
        </w:rPr>
        <w:t>of the Company, as such Party deems appropriate, in its sole and absolute discretion, provided that all such transactions are made in compliance with all applicable securities laws and the terms of this Agreement.</w:t>
      </w:r>
      <w:r>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7.</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This Agreement may be executed in counterparts, each of which shall be deemed an original and all of which, taken together, shall constitute but one and the same instrument, which may be sufficiently evidenced by one counterpart.</w:t>
      </w:r>
      <w:r>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8.</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This Agreement is governed by and will be construed in accordance with the laws of the State of New York</w:t>
      </w:r>
      <w:r>
        <w:rPr>
          <w:color w:val="000000"/>
        </w:rPr>
        <w:t xml:space="preserve"> </w:t>
      </w:r>
      <w:r>
        <w:rPr>
          <w:color w:val="000000"/>
          <w:sz w:val="22"/>
        </w:rPr>
        <w:t>applicable to contracts made and to be entirely performed in such state</w:t>
      </w:r>
      <w:r>
        <w:rPr>
          <w:sz w:val="22"/>
        </w:rPr>
        <w:t xml:space="preserve">. </w:t>
      </w:r>
      <w:r>
        <w:rPr>
          <w:color w:val="000000"/>
          <w:sz w:val="22"/>
        </w:rPr>
        <w:t>Any and all disputes or controversies</w:t>
      </w:r>
      <w:r>
        <w:rPr/>
        <w:t xml:space="preserve"> </w:t>
      </w:r>
      <w:r>
        <w:rPr>
          <w:sz w:val="22"/>
        </w:rPr>
        <w:t xml:space="preserve">arising out of </w:t>
      </w:r>
      <w:r>
        <w:rPr>
          <w:color w:val="000000"/>
          <w:sz w:val="22"/>
        </w:rPr>
        <w:t>or relating to</w:t>
      </w:r>
      <w:r>
        <w:rPr/>
        <w:t xml:space="preserve"> </w:t>
      </w:r>
      <w:r>
        <w:rPr>
          <w:sz w:val="22"/>
        </w:rPr>
        <w:t xml:space="preserve">this Agreement or </w:t>
      </w:r>
      <w:r>
        <w:rPr>
          <w:color w:val="000000"/>
          <w:sz w:val="22"/>
        </w:rPr>
        <w:t xml:space="preserve">the interpretation hereof and/or </w:t>
      </w:r>
      <w:r>
        <w:rPr>
          <w:sz w:val="22"/>
        </w:rPr>
        <w:t xml:space="preserve">the </w:t>
      </w:r>
      <w:r>
        <w:rPr>
          <w:color w:val="000000"/>
          <w:sz w:val="22"/>
        </w:rPr>
        <w:t xml:space="preserve">relationship among </w:t>
      </w:r>
      <w:r>
        <w:rPr>
          <w:sz w:val="22"/>
        </w:rPr>
        <w:t xml:space="preserve">the </w:t>
      </w:r>
      <w:r>
        <w:rPr>
          <w:color w:val="000000"/>
          <w:sz w:val="22"/>
        </w:rPr>
        <w:t xml:space="preserve">Parties resulting from this Agreement, will be adjudicated </w:t>
      </w:r>
      <w:r>
        <w:rPr>
          <w:sz w:val="22"/>
        </w:rPr>
        <w:t xml:space="preserve">and </w:t>
      </w:r>
      <w:r>
        <w:rPr>
          <w:color w:val="000000"/>
          <w:sz w:val="22"/>
        </w:rPr>
        <w:t xml:space="preserve">settled by arbitration, </w:t>
      </w:r>
      <w:r>
        <w:rPr>
          <w:sz w:val="22"/>
        </w:rPr>
        <w:t xml:space="preserve">to </w:t>
      </w:r>
      <w:r>
        <w:rPr>
          <w:color w:val="000000"/>
          <w:sz w:val="22"/>
        </w:rPr>
        <w:t xml:space="preserve">be held in New York, New York in accordance with </w:t>
      </w:r>
      <w:r>
        <w:rPr>
          <w:sz w:val="22"/>
        </w:rPr>
        <w:t xml:space="preserve">the </w:t>
      </w:r>
      <w:r>
        <w:rPr>
          <w:color w:val="000000"/>
          <w:sz w:val="22"/>
        </w:rPr>
        <w:t>Commercial Arbitration Rules, then in effect, of the American Arbitration Association (the “</w:t>
      </w:r>
      <w:r>
        <w:rPr>
          <w:color w:val="000000"/>
          <w:sz w:val="22"/>
          <w:u w:val="single"/>
        </w:rPr>
        <w:t>AAA</w:t>
      </w:r>
      <w:r>
        <w:rPr>
          <w:color w:val="000000"/>
        </w:rPr>
        <w:t>”</w:t>
      </w:r>
      <w:r>
        <w:rPr>
          <w:color w:val="000000"/>
          <w:sz w:val="22"/>
        </w:rPr>
        <w:t xml:space="preserve">), which shall be the </w:t>
      </w:r>
      <w:r>
        <w:rPr>
          <w:sz w:val="22"/>
        </w:rPr>
        <w:t xml:space="preserve">exclusive jurisdiction </w:t>
      </w:r>
      <w:r>
        <w:rPr>
          <w:color w:val="000000"/>
          <w:sz w:val="22"/>
        </w:rPr>
        <w:t xml:space="preserve">and venue for any such disputes. A single arbitrator knowledgeable in respect </w:t>
      </w:r>
      <w:r>
        <w:rPr>
          <w:sz w:val="22"/>
        </w:rPr>
        <w:t xml:space="preserve">of the </w:t>
      </w:r>
      <w:r>
        <w:rPr>
          <w:color w:val="000000"/>
          <w:sz w:val="22"/>
        </w:rPr>
        <w:t xml:space="preserve">alternative investment area and having previously arbitrated disputes relating to private investment funds shall be appointed to resolve any such dispute or controversy. Each Party waives any and all rights, under law or in equity, to object or contest </w:t>
      </w:r>
      <w:r>
        <w:rPr>
          <w:sz w:val="22"/>
        </w:rPr>
        <w:t xml:space="preserve">the </w:t>
      </w:r>
      <w:r>
        <w:rPr>
          <w:color w:val="000000"/>
          <w:sz w:val="22"/>
        </w:rPr>
        <w:t xml:space="preserve">jurisdiction and venue </w:t>
      </w:r>
      <w:r>
        <w:rPr>
          <w:sz w:val="22"/>
        </w:rPr>
        <w:t xml:space="preserve">of </w:t>
      </w:r>
      <w:r>
        <w:rPr>
          <w:color w:val="000000"/>
          <w:sz w:val="22"/>
        </w:rPr>
        <w:t xml:space="preserve">said tribunal. Furthermore, each Party hereto agrees that </w:t>
      </w:r>
      <w:r>
        <w:rPr>
          <w:sz w:val="22"/>
        </w:rPr>
        <w:t xml:space="preserve">the </w:t>
      </w:r>
      <w:r>
        <w:rPr>
          <w:color w:val="000000"/>
          <w:sz w:val="22"/>
        </w:rPr>
        <w:t>determination</w:t>
      </w:r>
      <w:r>
        <w:rPr/>
        <w:t xml:space="preserve"> </w:t>
      </w:r>
      <w:r>
        <w:rPr>
          <w:sz w:val="22"/>
        </w:rPr>
        <w:t xml:space="preserve">of </w:t>
      </w:r>
      <w:r>
        <w:rPr>
          <w:color w:val="000000"/>
          <w:sz w:val="22"/>
        </w:rPr>
        <w:t xml:space="preserve">whether a particular dispute </w:t>
      </w:r>
      <w:r>
        <w:rPr>
          <w:sz w:val="22"/>
        </w:rPr>
        <w:t xml:space="preserve">or </w:t>
      </w:r>
      <w:r>
        <w:rPr>
          <w:color w:val="000000"/>
          <w:sz w:val="22"/>
        </w:rPr>
        <w:t xml:space="preserve">controversy is subject to arbitration hereunder shall itself be resolved by arbitration hereunder. The arbitrator shall state in writing </w:t>
      </w:r>
      <w:r>
        <w:rPr>
          <w:sz w:val="22"/>
        </w:rPr>
        <w:t xml:space="preserve">the </w:t>
      </w:r>
      <w:r>
        <w:rPr>
          <w:color w:val="000000"/>
          <w:sz w:val="22"/>
        </w:rPr>
        <w:t xml:space="preserve">reasons for his or her award and the legal and factual conclusions underlying the award. The award </w:t>
      </w:r>
      <w:r>
        <w:rPr>
          <w:sz w:val="22"/>
        </w:rPr>
        <w:t xml:space="preserve">of the </w:t>
      </w:r>
      <w:r>
        <w:rPr>
          <w:color w:val="000000"/>
          <w:sz w:val="22"/>
        </w:rPr>
        <w:t xml:space="preserve">arbitrator shall be final and binding, and judgment upon the award may be confirmed and entered in any court, state or federal, having jurisdiction in the premises. The Parties further agree that the AAA Optional Rules for Emergency Measures </w:t>
      </w:r>
      <w:r>
        <w:rPr>
          <w:sz w:val="22"/>
        </w:rPr>
        <w:t xml:space="preserve">of </w:t>
      </w:r>
      <w:r>
        <w:rPr>
          <w:color w:val="000000"/>
          <w:sz w:val="22"/>
        </w:rPr>
        <w:t xml:space="preserve">Protection shall apply to any disputes or controversies contemplated by this Section 9. Any arbitration proceeding shall be conducted </w:t>
      </w:r>
      <w:r>
        <w:rPr>
          <w:sz w:val="22"/>
        </w:rPr>
        <w:t xml:space="preserve">in </w:t>
      </w:r>
      <w:r>
        <w:rPr>
          <w:color w:val="000000"/>
          <w:sz w:val="22"/>
        </w:rPr>
        <w:t xml:space="preserve">a confidential manner and shall be identified to </w:t>
      </w:r>
      <w:r>
        <w:rPr>
          <w:sz w:val="22"/>
        </w:rPr>
        <w:t xml:space="preserve">the </w:t>
      </w:r>
      <w:r>
        <w:rPr>
          <w:color w:val="000000"/>
          <w:sz w:val="22"/>
        </w:rPr>
        <w:t xml:space="preserve">AAA as a confidential proceeding. Notwithstanding the foregoing, nothing contained herein shall be deemed to constitute a waiver </w:t>
      </w:r>
      <w:r>
        <w:rPr>
          <w:sz w:val="22"/>
        </w:rPr>
        <w:t xml:space="preserve">of </w:t>
      </w:r>
      <w:r>
        <w:rPr>
          <w:color w:val="000000"/>
          <w:sz w:val="22"/>
        </w:rPr>
        <w:t>any rights that any Person may have under law to the extent that such rights may not be waived, modified or limited under law (including U</w:t>
      </w:r>
      <w:r>
        <w:rPr>
          <w:sz w:val="22"/>
        </w:rPr>
        <w:t>.</w:t>
      </w:r>
      <w:r>
        <w:rPr>
          <w:color w:val="000000"/>
          <w:sz w:val="22"/>
        </w:rPr>
        <w:t>S. federal securities laws).</w:t>
      </w:r>
      <w:r>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The </w:t>
      </w:r>
      <w:r>
        <w:rPr>
          <w:color w:val="000000"/>
          <w:sz w:val="22"/>
        </w:rPr>
        <w:t>Parties</w:t>
      </w:r>
      <w:r>
        <w:rPr/>
        <w:t xml:space="preserve">’ </w:t>
      </w:r>
      <w:r>
        <w:rPr>
          <w:sz w:val="22"/>
        </w:rPr>
        <w:t xml:space="preserve">rights and obligations under this Agreement (other than the rights and obligations set forth in Section 9, Section 12, Section 13 and this Section 10, each of which shall survive any termination of this Agreement) shall terminate immediately after the conclusion of the activities set forth in Section 4 as determined by the </w:t>
      </w:r>
      <w:r>
        <w:rPr>
          <w:color w:val="000000"/>
          <w:sz w:val="22"/>
        </w:rPr>
        <w:t>Parties</w:t>
      </w:r>
      <w:r>
        <w:rPr/>
        <w:t xml:space="preserve"> </w:t>
      </w:r>
      <w:r>
        <w:rPr>
          <w:sz w:val="22"/>
        </w:rPr>
        <w:t xml:space="preserve">or as otherwise agreed to in writing by the </w:t>
      </w:r>
      <w:r>
        <w:rPr>
          <w:color w:val="000000"/>
          <w:sz w:val="22"/>
        </w:rPr>
        <w:t>Parties</w:t>
      </w:r>
      <w:r>
        <w:rPr>
          <w:sz w:val="22"/>
        </w:rPr>
        <w:t xml:space="preserve">. Notwithstanding the foregoing, </w:t>
      </w:r>
      <w:r>
        <w:rPr>
          <w:color w:val="000000"/>
          <w:sz w:val="22"/>
        </w:rPr>
        <w:t xml:space="preserve">either Party </w:t>
      </w:r>
      <w:r>
        <w:rPr>
          <w:sz w:val="22"/>
        </w:rPr>
        <w:t xml:space="preserve">may terminate its rights and obligations (subject to the surviving rights and obligations referred to in the parenthetical of the immediately preceding sentence) under this Agreement on 24 hours’ written notice (email being sufficient) to </w:t>
      </w:r>
      <w:r>
        <w:rPr>
          <w:color w:val="000000"/>
          <w:sz w:val="22"/>
        </w:rPr>
        <w:t>the</w:t>
      </w:r>
      <w:r>
        <w:rPr/>
        <w:t xml:space="preserve"> </w:t>
      </w:r>
      <w:r>
        <w:rPr>
          <w:sz w:val="22"/>
        </w:rPr>
        <w:t xml:space="preserve">other </w:t>
      </w:r>
      <w:r>
        <w:rPr>
          <w:color w:val="000000"/>
          <w:sz w:val="22"/>
        </w:rPr>
        <w:t>Party</w:t>
      </w:r>
      <w:r>
        <w:rPr>
          <w:sz w:val="22"/>
        </w:rPr>
        <w:t>, with a copy by email to Dorothy Sluszka at Olshan at *** and Stephen M. Leitzell at ***.</w:t>
      </w:r>
      <w:r>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10.</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Unless otherwise agreed, each Party shall be responsible for its own out-of-pocket costs and expenses incurred in connection with the Group's activities set forth in Section 4; provided, however, that if any amendment to the Schedule 13D is required due to a change of 1% or more in beneficial ownership, the cost of such amendment shall be allocated among the Parties on a pro rata basis calculated by dividing each Party's individual change in beneficial ownership by the total change in the Group's position since the prior Schedule 13D filing.</w:t>
      </w:r>
      <w:r>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Each </w:t>
      </w:r>
      <w:r>
        <w:rPr>
          <w:color w:val="000000"/>
          <w:sz w:val="22"/>
        </w:rPr>
        <w:t>Party</w:t>
      </w:r>
      <w:r>
        <w:rPr/>
        <w:t xml:space="preserve"> </w:t>
      </w:r>
      <w:r>
        <w:rPr>
          <w:sz w:val="22"/>
        </w:rPr>
        <w:t>hereby waives the application of any law, regulation, holding, or rule of construction providing that ambiguities in an agreement or other document will be construed against the party drafting such agreement or document, and also waives the right to a trial by jury in respect of this Agreement and the transactions contemplated hereby.</w:t>
      </w:r>
      <w:r>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The terms and provisions of this Agreement may not be modified, waived or amended without the written consent of each </w:t>
      </w:r>
      <w:r>
        <w:rPr>
          <w:color w:val="000000"/>
          <w:sz w:val="22"/>
        </w:rPr>
        <w:t>Party</w:t>
      </w:r>
      <w:r>
        <w:rPr>
          <w:sz w:val="22"/>
        </w:rPr>
        <w:t>.</w:t>
      </w:r>
      <w:r>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 xml:space="preserve">Each </w:t>
      </w:r>
      <w:r>
        <w:rPr>
          <w:color w:val="000000"/>
          <w:sz w:val="22"/>
        </w:rPr>
        <w:t>Party</w:t>
      </w:r>
      <w:r>
        <w:rPr/>
        <w:t xml:space="preserve"> </w:t>
      </w:r>
      <w:r>
        <w:rPr>
          <w:sz w:val="22"/>
        </w:rPr>
        <w:t>acknowledges that Olshan shall act as counsel for the Group and Yorkville relating to their investment in the Company</w:t>
      </w:r>
      <w:r>
        <w:rPr>
          <w:color w:val="000000"/>
          <w:sz w:val="22"/>
        </w:rPr>
        <w:t>, and that Dechert LLP shall act as counsel for Islet relating to its participation in the Group and the activities contemplated hereby</w:t>
      </w:r>
      <w:r>
        <w:rPr>
          <w:sz w:val="22"/>
        </w:rPr>
        <w:t>.</w:t>
      </w:r>
      <w:r>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pPr>
      <w:r>
        <w:rPr>
          <w:sz w:val="22"/>
        </w:rPr>
        <w:t>Each Party hereby agrees that this Agreement shall be filed as an exhibit to a Schedule 13D pursuant to Rule 13d-1(k)(1)(iii) under the Exchange Act that may in the future be required to be filed under applicable law.</w:t>
      </w:r>
      <w:r>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2"/>
                              </w:rPr>
                              <w:t>15.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15.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sz w:val="22"/>
        </w:rPr>
        <w:t>[</w:t>
      </w:r>
      <w:r>
        <w:rPr>
          <w:i/>
          <w:sz w:val="22"/>
        </w:rPr>
        <w:t>Signature Pages Follow</w:t>
      </w:r>
      <w:r>
        <w:rPr>
          <w:sz w:val="22"/>
        </w:rPr>
        <w:t>]</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sz w:val="22"/>
        </w:rPr>
        <w:t>IN WITNESS WHEREOF, the parties hereto have caused this Agreement to be executed as of the day and year first above written.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495" w:type="dxa"/>
        <w:jc w:val="left"/>
        <w:tblInd w:w="0" w:type="dxa"/>
        <w:tblLayout w:type="fixed"/>
        <w:tblCellMar>
          <w:top w:w="28" w:type="dxa"/>
          <w:left w:w="28" w:type="dxa"/>
          <w:bottom w:w="28" w:type="dxa"/>
          <w:right w:w="28" w:type="dxa"/>
        </w:tblCellMar>
      </w:tblPr>
      <w:tblGrid>
        <w:gridCol w:w="221"/>
        <w:gridCol w:w="653"/>
        <w:gridCol w:w="1029"/>
        <w:gridCol w:w="2592"/>
      </w:tblGrid>
      <w:tr>
        <w:trPr/>
        <w:tc>
          <w:tcPr>
            <w:tcW w:w="22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74" w:type="dxa"/>
            <w:gridSpan w:val="3"/>
            <w:tcBorders/>
            <w:tcMar>
              <w:top w:w="0" w:type="dxa"/>
              <w:left w:w="0" w:type="dxa"/>
              <w:bottom w:w="0" w:type="dxa"/>
              <w:right w:w="0" w:type="dxa"/>
            </w:tcMar>
            <w:vAlign w:val="center"/>
          </w:tcPr>
          <w:p>
            <w:pPr>
              <w:pStyle w:val="TableContents"/>
              <w:bidi w:val="0"/>
              <w:spacing w:before="0" w:after="0"/>
              <w:jc w:val="left"/>
              <w:rPr/>
            </w:pPr>
            <w:r>
              <w:rPr>
                <w:b/>
                <w:caps/>
                <w:sz w:val="22"/>
              </w:rPr>
              <w:t>Yorkville Advisors Global, LP</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74"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74" w:type="dxa"/>
            <w:gridSpan w:val="3"/>
            <w:tcBorders/>
            <w:tcMar>
              <w:top w:w="0" w:type="dxa"/>
              <w:left w:w="0" w:type="dxa"/>
              <w:bottom w:w="0" w:type="dxa"/>
              <w:right w:w="0" w:type="dxa"/>
            </w:tcMar>
            <w:vAlign w:val="center"/>
          </w:tcPr>
          <w:p>
            <w:pPr>
              <w:pStyle w:val="TableContents"/>
              <w:bidi w:val="0"/>
              <w:spacing w:before="0" w:after="0"/>
              <w:jc w:val="left"/>
              <w:rPr/>
            </w:pPr>
            <w:r>
              <w:rPr>
                <w:sz w:val="22"/>
              </w:rPr>
              <w:t>By: Yorkville Advisors Global II, LLC</w:t>
            </w:r>
            <w:r>
              <w:rPr/>
              <w:t xml:space="preserve"> </w:t>
            </w:r>
          </w:p>
          <w:p>
            <w:pPr>
              <w:pStyle w:val="TableContents"/>
              <w:bidi w:val="0"/>
              <w:spacing w:before="0" w:after="0"/>
              <w:jc w:val="left"/>
              <w:rPr/>
            </w:pPr>
            <w:r>
              <w:rPr>
                <w:sz w:val="22"/>
              </w:rPr>
              <w:t>Its: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5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621" w:type="dxa"/>
            <w:gridSpan w:val="2"/>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53"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3621"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Matthew Beckman</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5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9"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2592" w:type="dxa"/>
            <w:tcBorders/>
            <w:tcMar>
              <w:top w:w="0" w:type="dxa"/>
              <w:left w:w="0" w:type="dxa"/>
              <w:bottom w:w="0" w:type="dxa"/>
              <w:right w:w="0" w:type="dxa"/>
            </w:tcMar>
            <w:vAlign w:val="center"/>
          </w:tcPr>
          <w:p>
            <w:pPr>
              <w:pStyle w:val="TableContents"/>
              <w:bidi w:val="0"/>
              <w:spacing w:before="0" w:after="0"/>
              <w:jc w:val="left"/>
              <w:rPr/>
            </w:pPr>
            <w:r>
              <w:rPr>
                <w:sz w:val="22"/>
              </w:rPr>
              <w:t>Matthew 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53"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9"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2592"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tc>
      </w:tr>
    </w:tbl>
    <w:p>
      <w:pPr>
        <w:pStyle w:val="TextBody"/>
        <w:bidi w:val="0"/>
        <w:spacing w:before="0" w:after="0"/>
        <w:jc w:val="left"/>
        <w:rPr/>
      </w:pPr>
      <w:r>
        <w:rPr/>
        <w:t xml:space="preserve">  </w:t>
      </w:r>
    </w:p>
    <w:tbl>
      <w:tblPr>
        <w:tblW w:w="4915" w:type="dxa"/>
        <w:jc w:val="left"/>
        <w:tblInd w:w="0" w:type="dxa"/>
        <w:tblLayout w:type="fixed"/>
        <w:tblCellMar>
          <w:top w:w="28" w:type="dxa"/>
          <w:left w:w="28" w:type="dxa"/>
          <w:bottom w:w="28" w:type="dxa"/>
          <w:right w:w="28" w:type="dxa"/>
        </w:tblCellMar>
      </w:tblPr>
      <w:tblGrid>
        <w:gridCol w:w="221"/>
        <w:gridCol w:w="718"/>
        <w:gridCol w:w="1130"/>
        <w:gridCol w:w="2846"/>
      </w:tblGrid>
      <w:tr>
        <w:trPr/>
        <w:tc>
          <w:tcPr>
            <w:tcW w:w="221"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b/>
                <w:caps/>
                <w:sz w:val="22"/>
              </w:rPr>
              <w:t>Yorkville Advisors Global II, LLC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3976"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Matthew Beckman</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color w:val="000000"/>
                <w:sz w:val="22"/>
              </w:rPr>
              <w:t>Matthew</w:t>
            </w:r>
            <w:r>
              <w:rPr/>
              <w:t xml:space="preserve"> </w:t>
            </w:r>
            <w:r>
              <w:rPr>
                <w:sz w:val="22"/>
              </w:rPr>
              <w:t>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b/>
                <w:sz w:val="22"/>
              </w:rPr>
              <w:t>YA II PN, LTD.</w:t>
            </w:r>
            <w:r>
              <w:rPr/>
              <w:t xml:space="preserve"> </w:t>
            </w:r>
          </w:p>
          <w:p>
            <w:pPr>
              <w:pStyle w:val="TableContents"/>
              <w:bidi w:val="0"/>
              <w:spacing w:before="0" w:after="0"/>
              <w:jc w:val="left"/>
              <w:rPr/>
            </w:pPr>
            <w:r>
              <w:rPr/>
              <w:t xml:space="preserve">  </w:t>
            </w:r>
          </w:p>
          <w:p>
            <w:pPr>
              <w:pStyle w:val="TableContents"/>
              <w:bidi w:val="0"/>
              <w:spacing w:before="0" w:after="0"/>
              <w:jc w:val="left"/>
              <w:rPr/>
            </w:pPr>
            <w:r>
              <w:rPr>
                <w:sz w:val="22"/>
              </w:rPr>
              <w:t>By: Yorkville Advisors Global, LP</w:t>
            </w:r>
            <w:r>
              <w:rPr/>
              <w:t xml:space="preserve"> </w:t>
            </w:r>
          </w:p>
          <w:p>
            <w:pPr>
              <w:pStyle w:val="TableContents"/>
              <w:bidi w:val="0"/>
              <w:spacing w:before="0" w:after="0"/>
              <w:jc w:val="left"/>
              <w:rPr/>
            </w:pPr>
            <w:r>
              <w:rPr>
                <w:sz w:val="22"/>
              </w:rPr>
              <w:t>Its: Investment Manager</w:t>
            </w:r>
            <w:r>
              <w:rPr/>
              <w:t xml:space="preserve"> </w:t>
            </w:r>
          </w:p>
          <w:p>
            <w:pPr>
              <w:pStyle w:val="TableContents"/>
              <w:bidi w:val="0"/>
              <w:spacing w:before="0" w:after="0"/>
              <w:jc w:val="left"/>
              <w:rPr/>
            </w:pPr>
            <w:r>
              <w:rPr/>
              <w:t xml:space="preserve">  </w:t>
            </w:r>
          </w:p>
          <w:p>
            <w:pPr>
              <w:pStyle w:val="TableContents"/>
              <w:bidi w:val="0"/>
              <w:spacing w:before="0" w:after="0"/>
              <w:jc w:val="left"/>
              <w:rPr/>
            </w:pPr>
            <w:r>
              <w:rPr>
                <w:sz w:val="22"/>
              </w:rPr>
              <w:t>By: Yorkville Advisors Global II, LLC</w:t>
            </w:r>
            <w:r>
              <w:rPr/>
              <w:t xml:space="preserve"> </w:t>
            </w:r>
          </w:p>
          <w:p>
            <w:pPr>
              <w:pStyle w:val="TableContents"/>
              <w:bidi w:val="0"/>
              <w:spacing w:before="0" w:after="0"/>
              <w:jc w:val="left"/>
              <w:rPr/>
            </w:pPr>
            <w:r>
              <w:rPr>
                <w:sz w:val="22"/>
              </w:rPr>
              <w:t>Its: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3976"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bdr w:val="single" w:sz="8" w:space="1" w:color="000000"/>
              </w:rPr>
              <w:t> </w:t>
            </w:r>
            <w:r>
              <w:rPr>
                <w:sz w:val="22"/>
                <w:bdr w:val="single" w:sz="8" w:space="1" w:color="000000"/>
              </w:rPr>
              <w:t>/s/ Matthew Beckman</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sz w:val="22"/>
              </w:rPr>
              <w:t>Matthew 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p>
            <w:pPr>
              <w:pStyle w:val="TableContents"/>
              <w:bidi w:val="0"/>
              <w:spacing w:before="0" w:after="0"/>
              <w:jc w:val="left"/>
              <w:rPr/>
            </w:pP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p>
            <w:pPr>
              <w:pStyle w:val="TableContents"/>
              <w:bidi w:val="0"/>
              <w:spacing w:before="0" w:after="0"/>
              <w:jc w:val="left"/>
              <w:rPr/>
            </w:pPr>
            <w:r>
              <w:rPr>
                <w:b/>
                <w:sz w:val="22"/>
              </w:rPr>
              <w:t>YA GLOBAL INVESTMENTS II (U.S.), LP</w:t>
            </w:r>
            <w:r>
              <w:rPr/>
              <w:t xml:space="preserve"> </w:t>
            </w:r>
          </w:p>
          <w:p>
            <w:pPr>
              <w:pStyle w:val="TableContents"/>
              <w:bidi w:val="0"/>
              <w:spacing w:before="0" w:after="0"/>
              <w:jc w:val="left"/>
              <w:rPr/>
            </w:pPr>
            <w:r>
              <w:rPr/>
              <w:t xml:space="preserve">  </w:t>
            </w:r>
          </w:p>
          <w:p>
            <w:pPr>
              <w:pStyle w:val="TableContents"/>
              <w:bidi w:val="0"/>
              <w:spacing w:before="0" w:after="0"/>
              <w:jc w:val="left"/>
              <w:rPr/>
            </w:pPr>
            <w:r>
              <w:rPr>
                <w:sz w:val="22"/>
              </w:rPr>
              <w:t>By: YAII GP, LP</w:t>
            </w:r>
            <w:r>
              <w:rPr/>
              <w:t xml:space="preserve"> </w:t>
            </w:r>
          </w:p>
          <w:p>
            <w:pPr>
              <w:pStyle w:val="TableContents"/>
              <w:bidi w:val="0"/>
              <w:spacing w:before="0" w:after="0"/>
              <w:jc w:val="left"/>
              <w:rPr/>
            </w:pPr>
            <w:r>
              <w:rPr>
                <w:sz w:val="22"/>
              </w:rPr>
              <w:t>Its: General Partner</w:t>
            </w:r>
            <w:r>
              <w:rPr/>
              <w:t xml:space="preserve"> </w:t>
            </w:r>
          </w:p>
          <w:p>
            <w:pPr>
              <w:pStyle w:val="TableContents"/>
              <w:bidi w:val="0"/>
              <w:spacing w:before="0" w:after="0"/>
              <w:jc w:val="left"/>
              <w:rPr/>
            </w:pPr>
            <w:r>
              <w:rPr/>
              <w:t xml:space="preserve">  </w:t>
            </w:r>
          </w:p>
          <w:p>
            <w:pPr>
              <w:pStyle w:val="TableContents"/>
              <w:bidi w:val="0"/>
              <w:spacing w:before="0" w:after="0"/>
              <w:jc w:val="left"/>
              <w:rPr/>
            </w:pPr>
            <w:r>
              <w:rPr>
                <w:sz w:val="22"/>
              </w:rPr>
              <w:t>By: YAII GP II, LLC</w:t>
            </w:r>
            <w:r>
              <w:rPr/>
              <w:t xml:space="preserve"> </w:t>
            </w:r>
          </w:p>
          <w:p>
            <w:pPr>
              <w:pStyle w:val="TableContents"/>
              <w:bidi w:val="0"/>
              <w:spacing w:before="0" w:after="0"/>
              <w:jc w:val="left"/>
              <w:rPr/>
            </w:pPr>
            <w:r>
              <w:rPr>
                <w:sz w:val="22"/>
              </w:rPr>
              <w:t>Its: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3976"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Matthew Beckman</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sz w:val="22"/>
              </w:rPr>
              <w:t>Matthew 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1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30"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2846"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tbl>
      <w:tblPr>
        <w:tblW w:w="3464" w:type="dxa"/>
        <w:jc w:val="left"/>
        <w:tblInd w:w="0" w:type="dxa"/>
        <w:tblLayout w:type="fixed"/>
        <w:tblCellMar>
          <w:top w:w="28" w:type="dxa"/>
          <w:left w:w="28" w:type="dxa"/>
          <w:bottom w:w="28" w:type="dxa"/>
          <w:right w:w="28" w:type="dxa"/>
        </w:tblCellMar>
      </w:tblPr>
      <w:tblGrid>
        <w:gridCol w:w="221"/>
        <w:gridCol w:w="496"/>
        <w:gridCol w:w="781"/>
        <w:gridCol w:w="1966"/>
      </w:tblGrid>
      <w:tr>
        <w:trPr/>
        <w:tc>
          <w:tcPr>
            <w:tcW w:w="2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pPr>
            <w:r>
              <w:rPr>
                <w:b/>
                <w:sz w:val="22"/>
              </w:rPr>
              <w:t>YAII GP, LP</w:t>
            </w:r>
            <w:r>
              <w:rPr/>
              <w:t xml:space="preserve"> </w:t>
            </w:r>
          </w:p>
          <w:p>
            <w:pPr>
              <w:pStyle w:val="TableContents"/>
              <w:bidi w:val="0"/>
              <w:spacing w:before="0" w:after="0"/>
              <w:jc w:val="left"/>
              <w:rPr/>
            </w:pPr>
            <w:r>
              <w:rPr/>
              <w:t xml:space="preserve">  </w:t>
            </w:r>
          </w:p>
          <w:p>
            <w:pPr>
              <w:pStyle w:val="TableContents"/>
              <w:bidi w:val="0"/>
              <w:spacing w:before="0" w:after="0"/>
              <w:jc w:val="left"/>
              <w:rPr/>
            </w:pPr>
            <w:r>
              <w:rPr>
                <w:sz w:val="22"/>
              </w:rPr>
              <w:t>By: YAII GP II, LLC</w:t>
            </w:r>
            <w:r>
              <w:rPr/>
              <w:t xml:space="preserve"> </w:t>
            </w:r>
          </w:p>
          <w:p>
            <w:pPr>
              <w:pStyle w:val="TableContents"/>
              <w:bidi w:val="0"/>
              <w:spacing w:before="0" w:after="0"/>
              <w:jc w:val="left"/>
              <w:rPr/>
            </w:pPr>
            <w:r>
              <w:rPr>
                <w:sz w:val="22"/>
              </w:rPr>
              <w:t>Its: General Partner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2747"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Matthew Beckman</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1"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sz w:val="22"/>
              </w:rPr>
              <w:t>Matthew 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1"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pPr>
            <w:r>
              <w:rPr>
                <w:b/>
                <w:sz w:val="22"/>
              </w:rPr>
              <w:t>YAII GP II, LLC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2747"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Matthew Beckman</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1"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sz w:val="22"/>
              </w:rPr>
              <w:t>Matthew Beckman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81"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1966" w:type="dxa"/>
            <w:tcBorders/>
            <w:tcMar>
              <w:top w:w="0" w:type="dxa"/>
              <w:left w:w="0" w:type="dxa"/>
              <w:bottom w:w="0" w:type="dxa"/>
              <w:right w:w="0" w:type="dxa"/>
            </w:tcMar>
            <w:vAlign w:val="center"/>
          </w:tcPr>
          <w:p>
            <w:pPr>
              <w:pStyle w:val="TableContents"/>
              <w:bidi w:val="0"/>
              <w:spacing w:before="0" w:after="0"/>
              <w:jc w:val="left"/>
              <w:rPr/>
            </w:pPr>
            <w:r>
              <w:rPr>
                <w:sz w:val="22"/>
              </w:rPr>
              <w:t>Manager</w:t>
            </w:r>
            <w:r>
              <w:rPr/>
              <w:t xml:space="preserve"> </w:t>
            </w:r>
          </w:p>
          <w:p>
            <w:pPr>
              <w:pStyle w:val="TableContents"/>
              <w:bidi w:val="0"/>
              <w:spacing w:before="0" w:after="0"/>
              <w:jc w:val="left"/>
              <w:rPr/>
            </w:pP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Mark Angelo</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243" w:type="dxa"/>
            <w:gridSpan w:val="3"/>
            <w:tcBorders/>
            <w:tcMar>
              <w:top w:w="0" w:type="dxa"/>
              <w:left w:w="0" w:type="dxa"/>
              <w:bottom w:w="0" w:type="dxa"/>
              <w:right w:w="0" w:type="dxa"/>
            </w:tcMar>
            <w:vAlign w:val="center"/>
          </w:tcPr>
          <w:p>
            <w:pPr>
              <w:pStyle w:val="TableContents"/>
              <w:bidi w:val="0"/>
              <w:spacing w:before="0" w:after="0"/>
              <w:jc w:val="left"/>
              <w:rPr/>
            </w:pPr>
            <w:r>
              <w:rPr>
                <w:b/>
                <w:sz w:val="22"/>
              </w:rPr>
              <w:t>Mark Angelo</w:t>
            </w:r>
            <w:r>
              <w:rPr/>
              <w:t xml:space="preserve"> </w:t>
            </w:r>
          </w:p>
        </w:tc>
      </w:tr>
    </w:tbl>
    <w:p>
      <w:pPr>
        <w:pStyle w:val="TextBody"/>
        <w:bidi w:val="0"/>
        <w:spacing w:before="0" w:after="0"/>
        <w:jc w:val="left"/>
        <w:rPr/>
      </w:pPr>
      <w:r>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tbl>
      <w:tblPr>
        <w:tblW w:w="7091" w:type="dxa"/>
        <w:jc w:val="left"/>
        <w:tblInd w:w="0" w:type="dxa"/>
        <w:tblLayout w:type="fixed"/>
        <w:tblCellMar>
          <w:top w:w="28" w:type="dxa"/>
          <w:left w:w="28" w:type="dxa"/>
          <w:bottom w:w="28" w:type="dxa"/>
          <w:right w:w="28" w:type="dxa"/>
        </w:tblCellMar>
      </w:tblPr>
      <w:tblGrid>
        <w:gridCol w:w="221"/>
        <w:gridCol w:w="1027"/>
        <w:gridCol w:w="1617"/>
        <w:gridCol w:w="4226"/>
      </w:tblGrid>
      <w:tr>
        <w:trPr/>
        <w:tc>
          <w:tcPr>
            <w:tcW w:w="2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4226"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70" w:type="dxa"/>
            <w:gridSpan w:val="3"/>
            <w:tcBorders/>
            <w:tcMar>
              <w:top w:w="0" w:type="dxa"/>
              <w:left w:w="0" w:type="dxa"/>
              <w:bottom w:w="0" w:type="dxa"/>
              <w:right w:w="0" w:type="dxa"/>
            </w:tcMar>
            <w:vAlign w:val="center"/>
          </w:tcPr>
          <w:p>
            <w:pPr>
              <w:pStyle w:val="TableContents"/>
              <w:bidi w:val="0"/>
              <w:spacing w:before="0" w:after="0"/>
              <w:jc w:val="left"/>
              <w:rPr/>
            </w:pPr>
            <w:r>
              <w:rPr>
                <w:b/>
                <w:caps/>
                <w:sz w:val="22"/>
              </w:rPr>
              <w:t>ISLET MANAGEMENT, LP</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70" w:type="dxa"/>
            <w:gridSpan w:val="3"/>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870" w:type="dxa"/>
            <w:gridSpan w:val="3"/>
            <w:tcBorders/>
            <w:tcMar>
              <w:top w:w="0" w:type="dxa"/>
              <w:left w:w="0" w:type="dxa"/>
              <w:bottom w:w="0" w:type="dxa"/>
              <w:right w:w="0" w:type="dxa"/>
            </w:tcMar>
            <w:vAlign w:val="center"/>
          </w:tcPr>
          <w:p>
            <w:pPr>
              <w:pStyle w:val="TableContents"/>
              <w:bidi w:val="0"/>
              <w:spacing w:before="0" w:after="0"/>
              <w:jc w:val="left"/>
              <w:rPr/>
            </w:pPr>
            <w:r>
              <w:rPr>
                <w:b/>
                <w:sz w:val="22"/>
              </w:rPr>
              <w:t>BY: ISLET MANAGEMENT GP, LLC, ITS GENERAL PARTNER</w:t>
            </w:r>
            <w:r>
              <w:rPr/>
              <w:t xml:space="preserve"> </w:t>
            </w:r>
          </w:p>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843" w:type="dxa"/>
            <w:gridSpan w:val="2"/>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7" w:type="dxa"/>
            <w:tcBorders/>
            <w:tcMar>
              <w:top w:w="0" w:type="dxa"/>
              <w:left w:w="0" w:type="dxa"/>
              <w:bottom w:w="0" w:type="dxa"/>
              <w:right w:w="0" w:type="dxa"/>
            </w:tcMar>
            <w:vAlign w:val="center"/>
          </w:tcPr>
          <w:p>
            <w:pPr>
              <w:pStyle w:val="TableContents"/>
              <w:bidi w:val="0"/>
              <w:spacing w:before="0" w:after="0"/>
              <w:jc w:val="left"/>
              <w:rPr/>
            </w:pPr>
            <w:r>
              <w:rPr>
                <w:sz w:val="22"/>
              </w:rPr>
              <w:t>By:</w:t>
            </w:r>
            <w:r>
              <w:rPr/>
              <w:t xml:space="preserve"> </w:t>
            </w:r>
          </w:p>
        </w:tc>
        <w:tc>
          <w:tcPr>
            <w:tcW w:w="5843" w:type="dxa"/>
            <w:gridSpan w:val="2"/>
            <w:tcBorders/>
            <w:tcMar>
              <w:top w:w="0" w:type="dxa"/>
              <w:left w:w="0" w:type="dxa"/>
              <w:bottom w:w="0" w:type="dxa"/>
              <w:right w:w="0" w:type="dxa"/>
            </w:tcMar>
            <w:vAlign w:val="center"/>
          </w:tcPr>
          <w:p>
            <w:pPr>
              <w:pStyle w:val="TableContents"/>
              <w:bidi w:val="0"/>
              <w:spacing w:before="0" w:after="0"/>
              <w:jc w:val="left"/>
              <w:rPr>
                <w:bdr w:val="single" w:sz="8" w:space="1" w:color="000000"/>
              </w:rPr>
            </w:pPr>
            <w:r>
              <w:rPr>
                <w:sz w:val="22"/>
                <w:bdr w:val="single" w:sz="8" w:space="1" w:color="000000"/>
              </w:rPr>
              <w:t>/s/ Joseph Samuels</w:t>
            </w:r>
            <w:r>
              <w:rPr>
                <w:bdr w:val="single" w:sz="8" w:space="1" w:color="000000"/>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17" w:type="dxa"/>
            <w:tcBorders/>
            <w:tcMar>
              <w:top w:w="0" w:type="dxa"/>
              <w:left w:w="0" w:type="dxa"/>
              <w:bottom w:w="0" w:type="dxa"/>
              <w:right w:w="0" w:type="dxa"/>
            </w:tcMar>
            <w:vAlign w:val="center"/>
          </w:tcPr>
          <w:p>
            <w:pPr>
              <w:pStyle w:val="TableContents"/>
              <w:bidi w:val="0"/>
              <w:spacing w:before="0" w:after="0"/>
              <w:jc w:val="left"/>
              <w:rPr/>
            </w:pPr>
            <w:r>
              <w:rPr>
                <w:sz w:val="22"/>
              </w:rPr>
              <w:t>Name:</w:t>
            </w:r>
            <w:r>
              <w:rPr/>
              <w:t xml:space="preserve"> </w:t>
            </w:r>
          </w:p>
        </w:tc>
        <w:tc>
          <w:tcPr>
            <w:tcW w:w="4226" w:type="dxa"/>
            <w:tcBorders/>
            <w:tcMar>
              <w:top w:w="0" w:type="dxa"/>
              <w:left w:w="0" w:type="dxa"/>
              <w:bottom w:w="0" w:type="dxa"/>
              <w:right w:w="0" w:type="dxa"/>
            </w:tcMar>
            <w:vAlign w:val="center"/>
          </w:tcPr>
          <w:p>
            <w:pPr>
              <w:pStyle w:val="TableContents"/>
              <w:bidi w:val="0"/>
              <w:spacing w:before="0" w:after="0"/>
              <w:jc w:val="left"/>
              <w:rPr/>
            </w:pPr>
            <w:r>
              <w:rPr>
                <w:sz w:val="22"/>
              </w:rPr>
              <w:t>Joseph Samuels</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02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617" w:type="dxa"/>
            <w:tcBorders/>
            <w:tcMar>
              <w:top w:w="0" w:type="dxa"/>
              <w:left w:w="0" w:type="dxa"/>
              <w:bottom w:w="0" w:type="dxa"/>
              <w:right w:w="0" w:type="dxa"/>
            </w:tcMar>
            <w:vAlign w:val="center"/>
          </w:tcPr>
          <w:p>
            <w:pPr>
              <w:pStyle w:val="TableContents"/>
              <w:bidi w:val="0"/>
              <w:spacing w:before="0" w:after="0"/>
              <w:jc w:val="left"/>
              <w:rPr/>
            </w:pPr>
            <w:r>
              <w:rPr>
                <w:sz w:val="22"/>
              </w:rPr>
              <w:t>Title:</w:t>
            </w:r>
            <w:r>
              <w:rPr/>
              <w:t xml:space="preserve"> </w:t>
            </w:r>
          </w:p>
        </w:tc>
        <w:tc>
          <w:tcPr>
            <w:tcW w:w="4226" w:type="dxa"/>
            <w:tcBorders/>
            <w:tcMar>
              <w:top w:w="0" w:type="dxa"/>
              <w:left w:w="0" w:type="dxa"/>
              <w:bottom w:w="0" w:type="dxa"/>
              <w:right w:w="0" w:type="dxa"/>
            </w:tcMar>
            <w:vAlign w:val="center"/>
          </w:tcPr>
          <w:p>
            <w:pPr>
              <w:pStyle w:val="TableContents"/>
              <w:bidi w:val="0"/>
              <w:spacing w:before="0" w:after="0"/>
              <w:jc w:val="left"/>
              <w:rPr/>
            </w:pPr>
            <w:r>
              <w:rPr>
                <w:sz w:val="22"/>
              </w:rPr>
              <w:t>Managing Manager</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tbl>
      <w:tblPr>
        <w:tblW w:w="2187" w:type="dxa"/>
        <w:jc w:val="left"/>
        <w:tblInd w:w="0" w:type="dxa"/>
        <w:tblLayout w:type="fixed"/>
        <w:tblCellMar>
          <w:top w:w="0" w:type="dxa"/>
          <w:left w:w="0" w:type="dxa"/>
          <w:bottom w:w="0" w:type="dxa"/>
          <w:right w:w="0" w:type="dxa"/>
        </w:tblCellMar>
      </w:tblPr>
      <w:tblGrid>
        <w:gridCol w:w="221"/>
        <w:gridCol w:w="1966"/>
      </w:tblGrid>
      <w:tr>
        <w:trPr/>
        <w:tc>
          <w:tcPr>
            <w:tcW w:w="221"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left"/>
              <w:rPr>
                <w:bdr w:val="single" w:sz="8" w:space="1" w:color="000000"/>
              </w:rPr>
            </w:pPr>
            <w:r>
              <w:rPr>
                <w:sz w:val="22"/>
                <w:bdr w:val="single" w:sz="8" w:space="1" w:color="000000"/>
              </w:rPr>
              <w:t>/s/ Joseph Samuels</w:t>
            </w:r>
            <w:r>
              <w:rPr>
                <w:bdr w:val="single" w:sz="8" w:space="1" w:color="000000"/>
              </w:rPr>
              <w:t xml:space="preserve"> </w:t>
            </w:r>
          </w:p>
        </w:tc>
      </w:tr>
      <w:tr>
        <w:trPr/>
        <w:tc>
          <w:tcPr>
            <w:tcW w:w="221" w:type="dxa"/>
            <w:tcBorders/>
            <w:vAlign w:val="center"/>
          </w:tcPr>
          <w:p>
            <w:pPr>
              <w:pStyle w:val="TableContents"/>
              <w:bidi w:val="0"/>
              <w:spacing w:before="0" w:after="0"/>
              <w:jc w:val="left"/>
              <w:rPr/>
            </w:pPr>
            <w:r>
              <w:rPr/>
              <w:t xml:space="preserve">  </w:t>
            </w:r>
          </w:p>
        </w:tc>
        <w:tc>
          <w:tcPr>
            <w:tcW w:w="1966" w:type="dxa"/>
            <w:tcBorders/>
            <w:vAlign w:val="center"/>
          </w:tcPr>
          <w:p>
            <w:pPr>
              <w:pStyle w:val="TableContents"/>
              <w:bidi w:val="0"/>
              <w:spacing w:before="0" w:after="0"/>
              <w:jc w:val="left"/>
              <w:rPr/>
            </w:pPr>
            <w:r>
              <w:rPr>
                <w:b/>
                <w:sz w:val="22"/>
              </w:rPr>
              <w:t>Joseph Samuels</w:t>
            </w:r>
            <w:r>
              <w:rPr/>
              <w:t xml:space="preserve"> </w:t>
            </w:r>
          </w:p>
        </w:tc>
      </w:tr>
    </w:tbl>
    <w:p>
      <w:pPr>
        <w:pStyle w:val="TextBody"/>
        <w:bidi w:val="0"/>
        <w:spacing w:before="0" w:after="0"/>
        <w:jc w:val="left"/>
        <w:rPr/>
      </w:pPr>
      <w:r>
        <w:rPr/>
        <w:t xml:space="preserve">  </w:t>
      </w:r>
    </w:p>
    <w:p>
      <w:pPr>
        <w:pStyle w:val="TextBody"/>
        <w:bidi w:val="0"/>
        <w:spacing w:before="0" w:after="0"/>
        <w:jc w:val="center"/>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5937</Words>
  <Characters>31490</Characters>
  <CharactersWithSpaces>37597</CharactersWithSpaces>
  <Paragraphs>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