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9"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05"/>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spacing w:after="0"/>
              <w:rPr>
                <w:sz w:val="16"/>
                <w:szCs w:val="16"/>
                <w:color w:val="auto"/>
              </w:rPr>
            </w:pPr>
          </w:p>
        </w:tc>
      </w:tr>
      <w:tr>
        <w:trPr>
          <w:trHeight w:val="455"/>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rPr>
              <w:t>220 East First Street, Bethlehem, Pennsylvania</w:t>
            </w:r>
          </w:p>
        </w:tc>
        <w:tc>
          <w:tcPr>
            <w:tcW w:w="34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22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Borders>
              <w:top w:val="single" w:sz="8" w:color="auto"/>
              <w:right w:val="single" w:sz="8" w:color="auto"/>
            </w:tcBorders>
          </w:tcPr>
          <w:p>
            <w:pPr>
              <w:spacing w:after="0"/>
              <w:rPr>
                <w:sz w:val="20"/>
                <w:szCs w:val="20"/>
                <w:color w:val="auto"/>
              </w:rPr>
            </w:pPr>
          </w:p>
        </w:tc>
      </w:tr>
      <w:tr>
        <w:trPr>
          <w:trHeight w:val="238"/>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OSUR</w:t>
            </w:r>
          </w:p>
        </w:tc>
        <w:tc>
          <w:tcPr>
            <w:tcW w:w="100" w:type="dxa"/>
            <w:vAlign w:val="bottom"/>
          </w:tcPr>
          <w:p>
            <w:pPr>
              <w:spacing w:after="0"/>
              <w:rPr>
                <w:sz w:val="20"/>
                <w:szCs w:val="20"/>
                <w:color w:val="auto"/>
              </w:rPr>
            </w:pP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2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80" w:firstLine="11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0" w:firstLine="113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company” in Rule 12b-2 of the Exchange Act.</w:t>
            </w:r>
          </w:p>
        </w:tc>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w w:val="94"/>
              </w:rPr>
              <w:t>x</w:t>
            </w:r>
          </w:p>
        </w:tc>
      </w:tr>
      <w:tr>
        <w:trPr>
          <w:trHeight w:val="37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378"/>
        </w:trPr>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90" w:lineRule="exact"/>
        <w:rPr>
          <w:sz w:val="24"/>
          <w:szCs w:val="24"/>
          <w:color w:val="auto"/>
        </w:rPr>
      </w:pPr>
    </w:p>
    <w:p>
      <w:pPr>
        <w:ind w:right="820"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left="1140" w:right="600"/>
        <w:spacing w:after="0" w:line="297" w:lineRule="auto"/>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31, 2024, the registrant had 74,594,154 shares of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62" w:lineRule="exact"/>
        <w:rPr>
          <w:sz w:val="20"/>
          <w:szCs w:val="20"/>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Company's ability to market and sell, its products and services, whether through its internal, direct sales force or third parties;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distributors or other customers to meet purchase forecasts, historic purchase levels or minimum purchase requirements for the Company's products;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concentrations that exist or may develop in the future;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manufacture products in accordance with applicable specifications, performance standards and quality requirements;</w:t>
      </w:r>
    </w:p>
    <w:p>
      <w:pPr>
        <w:spacing w:after="0" w:line="225"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the anticipated cost savings as a result of its business restructuring, including from in-sourcing third party manufacturing; exiting microbiome services and exiting its risk assessment business;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resolve warning letters, audit observations and other findings or comments from the U.S. Food and Drug Administration or other regulators;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increased demand for its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replacing distributors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at distributors and other customers;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its financial and strategic objectives and continue to increase its revenues, including the ability to expand international sales;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competing products and technology changes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deferral of public funding available to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better technology or lower cost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commercialize and market new products;</w:t>
      </w:r>
    </w:p>
    <w:p>
      <w:pPr>
        <w:spacing w:after="0" w:line="2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fulfill its commitments under its contract with the U.S. government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products based on product performance or other factors, including changes in testing guidelines, algorithms or other recommendations by the Centers for Disease Control and Prevention (the "CDC") or other agencies;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fund research and development and other products and operations;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new or existing product distribution channels;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sole supply sources for critical products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related products produced by third parties or products required for use of the Company's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contracting with the U.S. government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economic conditions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and maintain sustained profitability;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increase its gross margins;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utilize net operating loss carry forwards or other deferred tax assets;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Company's stock price;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patent protection and potential patent infringement claims;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costs of litigation relating to patents and other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licenses to patents or other technology;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international manufacturing agreements;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international marketing and manufacturing of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international funding sources and testing algorithms on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foreign currency exchange rates;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sources of capital;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product liability and other types of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federal or state laws and regulations;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consolidations and inventory practices;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and ability to obtain needed raw materials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terrorist attacks and civil unrest, hostilities and war;</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cybersecurity incidents and other disruptions involving our computer systems or those of our third-party IT service providers, suppliers and customers; and</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business and economic conditions, including interest rates and inflationary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2023 filed with the Securities and Exchange Commission (the “SEC”) on March 11, 2024, and in subsequent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at September 30, 2024 and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2024 and 2023</w:t>
            </w:r>
          </w:p>
        </w:tc>
        <w:tc>
          <w:tcPr>
            <w:tcW w:w="22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and nine months ended September 30, 2024 and 2023</w:t>
            </w:r>
          </w:p>
        </w:tc>
        <w:tc>
          <w:tcPr>
            <w:tcW w:w="8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9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3"/>
          </w:tcPr>
          <w:p>
            <w:pPr>
              <w:spacing w:after="0"/>
              <w:rPr>
                <w:sz w:val="24"/>
                <w:szCs w:val="24"/>
                <w:color w:val="auto"/>
              </w:rPr>
            </w:pPr>
          </w:p>
        </w:tc>
        <w:tc>
          <w:tcPr>
            <w:tcW w:w="2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0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 Legal Proceedings</w:t>
            </w:r>
          </w:p>
        </w:tc>
        <w:tc>
          <w:tcPr>
            <w:tcW w:w="83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86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2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7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908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290,407</w:t>
            </w:r>
          </w:p>
        </w:tc>
      </w:tr>
      <w:tr>
        <w:trPr>
          <w:trHeight w:val="22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of $1,237 and $1,216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40,171</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47,614</w:t>
            </w:r>
          </w:p>
        </w:tc>
      </w:tr>
      <w:tr>
        <w:trPr>
          <w:trHeight w:val="22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3"/>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386,459</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$79,562 and $85,143</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 net of accumulated amortization of $33,711 and $33,649</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35,696</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equity method investee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3"/>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96,386</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482,845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3"/>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$0.000001, 25,000 shares authorized, none issued</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Common stock, par value $0.000001, 120,000 shares authorized, 74,593 and 73,528 shares issued and</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529,543</w:t>
            </w:r>
          </w:p>
        </w:tc>
      </w:tr>
      <w:tr>
        <w:trPr>
          <w:trHeight w:val="230"/>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29"/>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(83,931)</w:t>
            </w:r>
          </w:p>
        </w:tc>
      </w:tr>
      <w:tr>
        <w:trPr>
          <w:trHeight w:val="223"/>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482,845</w:t>
            </w: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0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326,666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329,591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136,526</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impairments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175"/>
        </w:trPr>
        <w:tc>
          <w:tcPr>
            <w:tcW w:w="4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 in the estimated fair value of acquisition-related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107,740</w:t>
            </w:r>
          </w:p>
        </w:tc>
        <w:tc>
          <w:tcPr>
            <w:tcW w:w="0" w:type="dxa"/>
            <w:vAlign w:val="bottom"/>
          </w:tcPr>
          <w:p>
            <w:pPr>
              <w:spacing w:after="0"/>
              <w:rPr>
                <w:sz w:val="1"/>
                <w:szCs w:val="1"/>
                <w:color w:val="auto"/>
              </w:rPr>
            </w:pP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74,583</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74,349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74,330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74,197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2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33,582</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500" w:type="dxa"/>
            <w:vAlign w:val="bottom"/>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020" w:type="dxa"/>
            <w:vAlign w:val="bottom"/>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(loss) income to net cash provided by operating activities: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on impairments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non-cash amortization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gain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expense on finance leases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on equity investment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on sale of fixed assets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 in the estimated fair value of acquisition-related contingent consideration</w:t>
            </w:r>
          </w:p>
        </w:tc>
        <w:tc>
          <w:tcPr>
            <w:tcW w:w="10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230"/>
        </w:trPr>
        <w:tc>
          <w:tcPr>
            <w:tcW w:w="77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0" w:type="dxa"/>
            <w:vAlign w:val="bottom"/>
          </w:tcPr>
          <w:p>
            <w:pPr>
              <w:spacing w:after="0"/>
              <w:rPr>
                <w:sz w:val="1"/>
                <w:szCs w:val="1"/>
                <w:color w:val="auto"/>
              </w:rPr>
            </w:pPr>
          </w:p>
        </w:tc>
      </w:tr>
      <w:tr>
        <w:trPr>
          <w:trHeight w:val="230"/>
        </w:trPr>
        <w:tc>
          <w:tcPr>
            <w:tcW w:w="77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100,217</w:t>
            </w:r>
          </w:p>
        </w:tc>
        <w:tc>
          <w:tcPr>
            <w:tcW w:w="0" w:type="dxa"/>
            <w:vAlign w:val="bottom"/>
          </w:tcPr>
          <w:p>
            <w:pPr>
              <w:spacing w:after="0"/>
              <w:rPr>
                <w:sz w:val="1"/>
                <w:szCs w:val="1"/>
                <w:color w:val="auto"/>
              </w:rPr>
            </w:pPr>
          </w:p>
        </w:tc>
      </w:tr>
      <w:tr>
        <w:trPr>
          <w:trHeight w:val="20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(74,652)</w:t>
            </w:r>
          </w:p>
        </w:tc>
        <w:tc>
          <w:tcPr>
            <w:tcW w:w="0" w:type="dxa"/>
            <w:vAlign w:val="bottom"/>
          </w:tcPr>
          <w:p>
            <w:pPr>
              <w:spacing w:after="0"/>
              <w:rPr>
                <w:sz w:val="1"/>
                <w:szCs w:val="1"/>
                <w:color w:val="auto"/>
              </w:rPr>
            </w:pPr>
          </w:p>
        </w:tc>
      </w:tr>
      <w:tr>
        <w:trPr>
          <w:trHeight w:val="230"/>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Proceeds from maturities and redemptions of short-term investments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94,980</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Purchase of property and equipment under government contracts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30"/>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Proceeds from funding under government contract</w:t>
            </w:r>
          </w:p>
        </w:tc>
        <w:tc>
          <w:tcPr>
            <w:tcW w:w="10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0" w:type="dxa"/>
            <w:vAlign w:val="bottom"/>
          </w:tcPr>
          <w:p>
            <w:pPr>
              <w:spacing w:after="0"/>
              <w:rPr>
                <w:sz w:val="1"/>
                <w:szCs w:val="1"/>
                <w:color w:val="auto"/>
              </w:rPr>
            </w:pPr>
          </w:p>
        </w:tc>
      </w:tr>
      <w:tr>
        <w:trPr>
          <w:trHeight w:val="223"/>
        </w:trPr>
        <w:tc>
          <w:tcPr>
            <w:tcW w:w="770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35,600</w:t>
            </w:r>
          </w:p>
        </w:tc>
        <w:tc>
          <w:tcPr>
            <w:tcW w:w="0" w:type="dxa"/>
            <w:vAlign w:val="bottom"/>
          </w:tcPr>
          <w:p>
            <w:pPr>
              <w:spacing w:after="0"/>
              <w:rPr>
                <w:sz w:val="1"/>
                <w:szCs w:val="1"/>
                <w:color w:val="auto"/>
              </w:rPr>
            </w:pPr>
          </w:p>
        </w:tc>
      </w:tr>
      <w:tr>
        <w:trPr>
          <w:trHeight w:val="20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Cash payments for lease liabilities</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9"/>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133,553</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83,980</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278,571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217,533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(refunds) paid for income taxes</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w:t>
            </w:r>
          </w:p>
        </w:tc>
        <w:tc>
          <w:tcPr>
            <w:tcW w:w="0" w:type="dxa"/>
            <w:vAlign w:val="bottom"/>
          </w:tcPr>
          <w:p>
            <w:pPr>
              <w:spacing w:after="0"/>
              <w:rPr>
                <w:sz w:val="1"/>
                <w:szCs w:val="1"/>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property and equipment purchases</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2"/>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property and equipment purchases under government contracts</w:t>
            </w:r>
          </w:p>
        </w:tc>
        <w:tc>
          <w:tcPr>
            <w:tcW w:w="102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2023. Results of operations for the three and nine months ended September 30, 2024 are not necessarily indicative of the results of operations expected for the full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its Annual Report on Form 10-K for the fiscal year ended December 31, 2023 that have had a material impact on the consolidated financial statements and related notes except as discussed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September 30, 2024 and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62" w:lineRule="exact"/>
        <w:rPr>
          <w:sz w:val="20"/>
          <w:szCs w:val="20"/>
          <w:color w:val="auto"/>
        </w:rPr>
      </w:pPr>
    </w:p>
    <w:p>
      <w:pPr>
        <w:ind w:left="114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guaranteed investment certificates are measured as Level 1 instruments as of September 30,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September 30, 2024 and December 31, 2023 was $42.5 million and $71.7 million, respectively, of guaranteed investment certificates.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cash and cash equivalents at September 30, 2024 and December 31, 2023 was $117.1 million and $112.7 million, respectively, invested in money market funds. These money market funds have investments in U.S. government securities and are measured as Level 1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September 30, 2024 and December 31, 2023 was $0.7 million and $0.8 million, respectively, and was calculated using the quoted market prices of the assets as of those dates. All investments in the plan are classified as trading securities and measured as Level 1 financial instruments. The fair value of plan assets is included in both current assets and noncurrent assets with the same amount included in accrued expenses and other noncurrent liabilities in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September 30, 2024,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$28.8 million as of September 30, 2024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September 30, 2024 financial statements, the Company considered whether the carrying value of the investment in Sapphiros was impaired and concluded that no such impairment existed. There was no similar investment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foreign exchange gains and (losses) resulting from foreign currency transactions that are included in other income in the Company's consolidated statements of operations were $(0.2) million and $(0.1) million for the three months ended September 30, 2024 and 2023, respectively. Net foreign exchange gains and (losses) resulting from foreign currency transactions for the nine months ended September 30, 2024 and 2023 were $0.1 million and $(0.7)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definite-lived intangible assets, as well as right-of-use assets (ROU assets) of operating and finance leases,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expected to be generated from the use and eventual disposition of the asset. If indicators of impairment exist, the Company measures the amount of such impairment by comparing the carrying value of the assets to the fair value of these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identified a triggering event to test for the recoverability of all the property, plant, and equipment and ROU assets of both the Diversigen and Novosanis subsidiaries, given the Company's decision to initiate a strategic plan to transition away from the microbiome molecular sequencing services business and close its Belgian operations. The Company performed an undiscounted cash flow analysis and determined the carrying values of the property, plant and equipment and ROU assets could not be recovered through the sum of the undiscounted future cash flows and were impaired. During the nine months ended September 30, 2024 the Company recognized aggregate pre-tax impairment charges of $1.2 million and $0.3 million to its operating and finance ROU assets, respectively. These charges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reported in the Company's consolidated statement of operations. The impact of the impairments on the Company's property, plant, equipment for the nine months ended September 30, 2024 is discussed further in Note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Financial Accounting Standards Board ("FASB") issued Accounting Standard Update ("ASU") No. 2024-01,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Scope Application of Profits Interest and Similar Awards</w:t>
      </w:r>
      <w:r>
        <w:rPr>
          <w:rFonts w:ascii="Times New Roman" w:cs="Times New Roman" w:eastAsia="Times New Roman" w:hAnsi="Times New Roman"/>
          <w:sz w:val="18"/>
          <w:szCs w:val="18"/>
          <w:color w:val="auto"/>
        </w:rPr>
        <w:t>. The purpose of this update was to provide illustrative examples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how an entity should apply guidance to determine 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is evaluating the impact on the Company's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Government Capital Contracts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has received $109.0 million as of December 31, 2023. In connection with the completion of the contract in the fourth quarter of 2023, all funds were received.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was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Assistance, </w:t>
      </w:r>
      <w:r>
        <w:rPr>
          <w:rFonts w:ascii="Times New Roman" w:cs="Times New Roman" w:eastAsia="Times New Roman" w:hAnsi="Times New Roman"/>
          <w:sz w:val="18"/>
          <w:szCs w:val="18"/>
          <w:color w:val="auto"/>
        </w:rPr>
        <w:t>as there is not direct US GAAP guidance for this type of transaction. Funding received in relation to capital-related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for government contracts was recorded as a reduction to the cost of property, plant and equipment and reflected within investing activities in the consolidated statements of cash flows; and associated unpaid liabilities and government proceeds receivable were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no such income during the three and nine months ended September 30, 2024.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$0.6 million and $1.7 million of such income during the three and nine months ended September 30, 2023,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The Company recognized no such costs during the three and nine months ended September 30, 2024. The Company recognized $0.4 million and $2.0 million of such costs during the three and nine months ended September 30,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for the cumulative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5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5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5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7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Inventories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0" w:type="dxa"/>
            <w:vAlign w:val="bottom"/>
          </w:tcPr>
          <w:p>
            <w:pPr>
              <w:spacing w:after="0"/>
              <w:rPr>
                <w:sz w:val="1"/>
                <w:szCs w:val="1"/>
                <w:color w:val="auto"/>
              </w:rPr>
            </w:pPr>
          </w:p>
        </w:tc>
      </w:tr>
      <w:tr>
        <w:trPr>
          <w:trHeight w:val="21"/>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 (in thousands)</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4"/>
                <w:szCs w:val="24"/>
                <w:color w:val="auto"/>
              </w:rPr>
            </w:pPr>
          </w:p>
        </w:tc>
        <w:tc>
          <w:tcPr>
            <w:tcW w:w="14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130,563</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initiated a strategic plan to transition away from the microbiome molecular sequencing services business and to exit operations at its Belgium location. As a result of these decisions, the Company determined that the carrying values of all of Diversigen and Novosanis' property, plant, and equipment were not recoverable and recorded an aggregate pre-tax asset impairment charge of $1.8 million during the nine months ended September 30, 2024.</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determined a manufacturing line will no longer be utilized. As a result of this decision, the Company determined that the carrying value of the equipment was not recoverable and recorded an aggregate pre-tax impairment charge of $1.1 million during the nine months ended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determined several manufacturing lines would no longer be utilized due to changes in forecasted demand for the products the equipment was intended to produce. Additionally, the Company elected not to proceed with certain leasehold improvements to its research and development laboratories. As a result of these decisions, the Company determined that the carrying values of the equipment and leasehold improvements made to date were not recoverable and recorded an aggregate pre-tax asset impairment charge of $1.3 million during the nine months ended September 30,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extremely specialized nature of the property, plant, and equipment in each triggering event noted above and due to various market data points, the estimated fair value of all assets was determined to be zero. These charges are reported within loss on impairments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48"/>
        </w:trPr>
        <w:tc>
          <w:tcPr>
            <w:tcW w:w="7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Termination Benefits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Reduction in Workforce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fully paid the $3.3 million related to the reduction in workforce. No additional expense associated with the 2023 reduction in workforce was incurred during the nine months ended September 30, 2024. This plan was completed as of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executed a reduction in workforce largely affecting its COVID-19 manufacturing workforce.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$6.0 thousand accrued and had paid $0.4 million related to the reduction in workforce. No additional expense associated with the Q1 2024 reduction in workforce was incurred during the three months ended September 30, 2024. The Company expects this plan to be completed by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33655</wp:posOffset>
            </wp:positionV>
            <wp:extent cx="1911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5"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80"/>
        <w:spacing w:after="0" w:line="320" w:lineRule="auto"/>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-136525</wp:posOffset>
            </wp:positionV>
            <wp:extent cx="191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80" w:space="440"/>
            <w:col w:w="28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4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8"/>
        </w:trPr>
        <w:tc>
          <w:tcPr>
            <w:tcW w:w="5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$0.9 million accrued and had paid $0.7 million related to the reduction in workforce. No additional expense</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associated with the Q2 2024 reduction in workforce was incurred during the three months ended September 30, 2024</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 expects this plan to be completed by September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and additional severance costs will be incurred.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3"/>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$0.3 million accrued and had paid $7.1 thousand related to the reduction in workforce. The Company expects this plan to be completed by January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color w:val="auto"/>
        </w:rPr>
        <w:t>. The following table represents total net revenues by product line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46,518</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216,115</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product and service revenues </w:t>
            </w:r>
            <w:r>
              <w:rPr>
                <w:rFonts w:ascii="Times New Roman" w:cs="Times New Roman" w:eastAsia="Times New Roman" w:hAnsi="Times New Roman"/>
                <w:sz w:val="23"/>
                <w:szCs w:val="23"/>
                <w:color w:val="auto"/>
                <w:vertAlign w:val="superscript"/>
              </w:rPr>
              <w:t>(4)</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326,666</w:t>
            </w:r>
          </w:p>
        </w:tc>
      </w:tr>
      <w:tr>
        <w:trPr>
          <w:trHeight w:val="230"/>
        </w:trPr>
        <w:tc>
          <w:tcPr>
            <w:tcW w:w="490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329,591</w:t>
            </w:r>
          </w:p>
        </w:tc>
      </w:tr>
      <w:tr>
        <w:trPr>
          <w:trHeight w:val="21"/>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Diagnostics and COVID-19 Molecular revenues.</w:t>
      </w: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Novosanis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products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Syphilis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2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6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296,815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r>
      <w:tr>
        <w:trPr>
          <w:trHeight w:val="223"/>
        </w:trPr>
        <w:tc>
          <w:tcPr>
            <w:tcW w:w="488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329,591</w:t>
            </w: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and Vendor Concentrations</w:t>
      </w:r>
      <w:r>
        <w:rPr>
          <w:rFonts w:ascii="Times New Roman" w:cs="Times New Roman" w:eastAsia="Times New Roman" w:hAnsi="Times New Roman"/>
          <w:sz w:val="18"/>
          <w:szCs w:val="18"/>
          <w:color w:val="auto"/>
        </w:rPr>
        <w:t>. The following table represents the concentration risk.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31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Revenue Concentration</w:t>
            </w: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2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9"/>
                <w:szCs w:val="19"/>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(2)</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c>
          <w:tcPr>
            <w:tcW w:w="162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(2)</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Each commercial customer is different.</w:t>
      </w:r>
    </w:p>
    <w:p>
      <w:pPr>
        <w:spacing w:after="0" w:line="7"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Same non-commercial customer.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color w:val="auto"/>
        </w:rPr>
        <w:t>. 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September 30, 2024 and December 31, 2023 included customer prepayments of $1.6 million and $1.2 million, respectively. Deferred revenue as of December 31, 2023 also included $0.4 million associated with a long-term contract that had variable pricing based on volume. The average price over the life of the contract was determined and revenue was recognized at that average price. The $0.4 million associated with the long-term contract at December 31, 2023 met the criteria to be recognized as revenue during the nine months ended September 30, 2024, and as such there was no equivalent balance remaining in deferred revenue at September 30, 2024. Deferred revenue recognized for the three months ended September 30, 2024 and 2023, was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$0.5 million and $0.4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Deferred revenue recognized for the nine months ended September 30, 2024 and 2023, was $3.3 million and $2.2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4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 (benefit)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tax expense (benefit)</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income tax expense of $0.7 million and $2.3 million, respectively. The three months ended September 30, 2024 net tax expense decrease is due to having a U.S. pretax loss and foreign pretax income in 2024 compared to a U.S. and foreign pretax income for the three months ended September 30, 2023. During the nine months ended September 30, 2024 and 2023, the Company recorded income tax expense of $1.0 million and $2.0 million, respectively. Foreign pre-tax income increased during the nine months ended September 30, 2024 compared to a foreign pre-tax loss during the nine months ended September 30, 2023. In addition, there was lower state pre-tax income for nine months ended September 30, 2024 compared to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liability as of September 30, 2024 and at December 31, 2023 relate to the tax effects of the basis difference arising from accelerated tax depreciation of fixed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the extent it is more likely than not that some portion or all of the deferred tax assets will not be realized. A full valuation allowance was recorded on the Company’s U.S. deferred tax assets as of September 30, 2024 and December 31, 2023.</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Income (Loss)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outstanding common stock options, unvested restricted stock, and unvested performance stock units representing 389 shares and 999 shares, respectively, were excluded from the computation of diluted loss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outstanding common stock options, unvested restricted stock, and unvested performance stock units representing 2,027 and 2,048 shares, respectively, were excluded from the computation of diluted earnings per share as their inclusion would have been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changes in stockholders' equity for the three and nine months ended September 30, 2024 and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60" w:type="dxa"/>
            <w:vAlign w:val="bottom"/>
            <w:gridSpan w:val="3"/>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73,959</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531,263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426,251</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74,568</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532,601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425,840</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74,593</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425,565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60" w:type="dxa"/>
            <w:vAlign w:val="bottom"/>
            <w:gridSpan w:val="3"/>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394,179</w:t>
            </w: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394,139</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The Company appealed the grant of summary judgment to the Court of Appeals on June 8, 2023. The Company is pursuing the appeal with respect to the first patent, with oral argument expected in the first quarter of 2025.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 third patent, which DNAG did not assert in the District Court. On March 26, 2024, the PTO issued a Decision Granting Institution of</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and scheduled oral argument for January 13, 2025. On July 2, 2024, the Company filed a Motion to Amend the claims of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which remains pending.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2023 filed with the Securities and Exchange Commission on March 11, 2024.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2023 and the “Risk Factors” section of subsequent Quarterly Reports on Form 10-Q, the Company's actual results or timing of certain events could differ materially from the results or timing described in, or implied by,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Hepatitis C, and Syphilis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also includes molecular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through its Diversigen subsidiary, the Company offered laboratory and bioinformatics services for both genomics and microbiome customers. These services were primarily provided to pharmaceutical, biotech companies, and research institutions. During the first quarter of 2024, the Company initiated steps to wind down and exit this line of business. Diversigen contributed $1.7 million to revenues during the nine months ended September 30, 2024 and contributed $4.5 million to revenues for the full year of 2023. In October 2024, the Company announced the discontinuance of the sales of its risk assessment product line which is expected to be completed by end of year. Sales of its risk assessment products contributed $6.3 million to revenues during the nine months ended September 30, 2024 and contributed $9.7 million to revenues for the full year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compared to September 30, 2023.</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an outline of total consolidated net revenues (dollars in thousands) for the three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560" w:type="dxa"/>
            <w:vAlign w:val="bottom"/>
          </w:tcPr>
          <w:p>
            <w:pPr>
              <w:spacing w:after="0"/>
              <w:rPr>
                <w:sz w:val="16"/>
                <w:szCs w:val="16"/>
                <w:color w:val="auto"/>
              </w:rPr>
            </w:pPr>
          </w:p>
        </w:tc>
      </w:tr>
      <w:tr>
        <w:trPr>
          <w:trHeight w:val="23"/>
        </w:trPr>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3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196"/>
        </w:trPr>
        <w:tc>
          <w:tcPr>
            <w:tcW w:w="3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50,145</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products and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89,014</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980" w:type="dxa"/>
            <w:vAlign w:val="bottom"/>
            <w:shd w:val="clear" w:color="auto" w:fill="CCEEFF"/>
          </w:tcPr>
          <w:p>
            <w:pPr>
              <w:ind w:left="30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and Syphilis product revenues.</w:t>
      </w:r>
    </w:p>
    <w:p>
      <w:pPr>
        <w:ind w:left="240" w:hanging="232"/>
        <w:spacing w:after="0"/>
        <w:tabs>
          <w:tab w:leader="none" w:pos="2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Novosanis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55% to $39.9 million for the three months ended September 30, 2024 from $89.2 million for the three months ended September 30, 2023.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Sales of the Company's Diagnostics products increased 13% to $22.0 million for the three months ended September 30, 2024 from $19.6 million for the three months ended September 30, 2023. This increase in revenues is largely due to higher international HIV revenues of approximately $2.4 million primarily driven by customer ordering patterns of sales in Africa.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Sample Management Solutions revenues decreased 16% to $12.8 million for the three months ended September 30, 2024 from $15.2 million for the three months ended September 30, 2023. Sales of the Company's Molecular Products are being impacted by reduced consumer demand for products in which our genomics collection devices are used, economic pressures, and the overall decline in the microbiome market.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by 96% to $2.2 million for the three months ended September 30, 2024 compared to $50.1 million for the three months ended September 30, 2023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We expect this decline in revenue to continue throughout the remainder of 2024 and for the foreseeable future due to the fulfillment of these contracts and lower overall demand for COVID-19 testing.</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 assessment revenue decreased 25% due to the loss of customers to competing products. The Company has announced that it will discontinue this line of business by the end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are derived from the Company's microbiome molecular sequencing services, decreased 99% to $9 thousand for the three months ended September 30, 2024 from $0.8 million for the three months ended September 30, 2023. The decrease in services revenues was due to the decision to exit this line of business. We expect minimal molecular services revenues in the remainder of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Non-product and services revenues increased 52% to $0.3 million for the three months ended September 30, 2024 from $0.2 million for the three months ended September 30, 2023 due to recognizing royalty income in the third quarter of 2024 and none in the third quarter of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margin decreased to 42.8% for the three months ended September 30, 2024 from 49.7% for the three months ended September 30, 2023. The largest driver of the margin decline was due to the lower volume in InteliSwab® sales driven by less units produced and sold and a lower average selling price based on contractual pricing. Furthermore, the lower units produced resulted in lower overhead absorption of fixed costs as compared to the prior year period. Gross margin was also negatively impacted by the increased sales of international product which generate lower margins coupled with the lower margins contributed by genomics products. The decline in gross margins was partially offset by the impact of the exit of the Molecular Services business which historically caused a drag on consolidated gross margin.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operating loss for the three months ended September 30, 2024 was $6.0 million, a decline from the $10.9 million operating income reported for the three months ended September 30, 2023. The operating income reported in the third quarter of 2023 was largely a result of higher revenues and gross margins generated by the Company's InteliSwab® product and was partially offset by the inclusion of $6.2 million in impairment loss. In 2023, the Company began implementing cost cutting measures and has benefited from this in the three months ended September 30, 2024 with a $4.2 million reduction in operating expense compared to the three months ended September 30,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34% to $5.6 million for the three months ended September 30, 2024 from $8.5 million for the three months ended September 30, 2023 largely due to a decrease in employee costs associated with a reduction in headcount, decrease in spend on COVID-19 product development, and no related project management fees for our $109 million manufacturing expansion contract which ended during the fourth quarter of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13% to $7.6 million for the three months ended September 30, 2024 from $8.7 million for the three months ended September 30, 2023 due to lower employee costs associated with a decrease in headcount, decreased bad debt expense and consulting fees and lower amortization expense partially offset by an increase in severance expense due to the third quarter 2024 reduction in workforce.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2% to $9.8 million for the three months ended September 30, 2024 from $10.1 million for the three months ended September 30, 2023 largely due lower employee costs due to a reduction in headcount, partially offset by an increase in legal fees and in non-cash stock compensation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$6.0 million for the three months ended September 30, 2024, which included non-cash charges of $3.0 million for depreciation and amortization, and non-cash charges of $2.9 million for stock-based compensation. The Company's operating income of $10.9 million for the three months ended September 30, 2023 included a non-cash impairment charge of $6.2 million, non-cash charges of $3.4 million for depreciation and amortization, and $2.6 million for stock-based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for the three months ended September 30, 2024 was $2.8 million compared to $2.6 million for the three months ended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due to higher interest income partially offset by the absence of profit earned under our manufacturing expansion contract with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which ended at the end of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three months ended September 30, 2024 and 2023, the Company recorded U.S. state income tax expense of $18.0 thousand and $1.1 million, respectively and foreign tax expense of $0.7 million and $1.2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compared to September 30, 2023.</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an outline of total consolidated net revenues (dollars in thousands) for the nine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56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196"/>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215,876</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394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Risk assessment testing </w:t>
            </w:r>
            <w:r>
              <w:rPr>
                <w:rFonts w:ascii="Times New Roman" w:cs="Times New Roman" w:eastAsia="Times New Roman" w:hAnsi="Times New Roman"/>
                <w:sz w:val="25"/>
                <w:szCs w:val="25"/>
                <w:color w:val="auto"/>
                <w:vertAlign w:val="superscript"/>
              </w:rPr>
              <w:t>(3)</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products and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326,666</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940" w:type="dxa"/>
            <w:vAlign w:val="bottom"/>
            <w:shd w:val="clear" w:color="auto" w:fill="CCEEFF"/>
          </w:tcPr>
          <w:p>
            <w:pPr>
              <w:ind w:left="30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329,591</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and Syphilis product revenues.</w:t>
      </w:r>
    </w:p>
    <w:p>
      <w:pPr>
        <w:ind w:left="240" w:hanging="232"/>
        <w:spacing w:after="0"/>
        <w:tabs>
          <w:tab w:leader="none" w:pos="2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Novosanis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product and services revenues decreased 55% to $148.4 million for the nine months ended September 30, 2024 from $329.6 million for the nine months ended September 30,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1% to $57.2 million for the nine months ended September 30, 2024 from $56.5 million for the nine months ended September 30, 2023. This increase in revenue was primarily driven by higher HIV and HCV revenues in international markets of $1.4 million as a result of customer ordering patterns. Also contributing to the diagnostic revenue increase is a combined increase in HCV domestic and Syphilis revenues of $1.4 million. A decline in our HIV domestic revenue resulting from funding delays or reductions in funding for HIV products and customer order patterns partially offset the increased revenues from the other product lines.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COVID-19 Diagnostics revenues decreased 80% to $44.2 million for the nine months ended September 30, 2024 compared to $215.9 million for the nine months ended September 30, 2023 due to decreased sales of the Company's InteliSwab® tests through its U.S. government procurement contracts. We expect this decline in revenue to continue for the remainder of 2024 and for the foreseeable future due to the fulfillment of these contracts and lower overall demand for COVID-19 testing.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Molecular Sample Management Solutions revenues decreased 12% to $36.2 million for the nine months ended September 30, 2024 from $41.2 million for the nine months ended September 30, 2023. Sales of the Company's Molecular Sample Management Solutions Products are being impacted by reduced consumer demand for products in which our genomics collection devices are used, economic pressures and reduction on funding for programs in which our collection devices are used, and the overall decline in the microbiome market.</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revenue decreased 17%, due to the loss of customers to competing products. The Company has announced that it will discontinue this line of business by the end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Molecular Services revenues, which are largely derived from the Company's laboratory services, decreased 53% to $1.7 million for the nine months ended September 30, 2024 from $3.6 million for the nine months ended September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services revenues was due to the decision to exit this line of business. We expect minimal molecular services revenues in the remainder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Non-product and services revenues decreased 66% to $1.0 million for the nine months ended September 30, 2024 from $2.9 million for the nine months ended September 30, 2023 as a result of lower funding for research and development activities largely as a result of the end of our agreement with Biomedical Advanced Research Authority ("BARDA") which provided funding to obtain clearance of a premarket notification ("510(k)") and Clinical Laboratory Improvement Amendments of 1988 waiver of our InteliSwab® tests. The Company has communicated to BARDA that it does not intend to pursue further development of this clearance. Further contributing to the decline in non-product revenues is lower royalty income in 2024 as one of the Company's royalty agreements for sample collection kits expired in June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gross profit margin increased to 44.4% for the nine months ended September 30, 2024 from 41.4% for the nine months ended September 30, 2023. Gross margins in 2023 included $7.0 million of accelerated depreciation associated with the wind-down of InteliSwab® manual assembly in Thailand as the Company began to on-shore and automate manufacturing of this product at its Pennsylvania facilities. In addition, reduced salary and benefits due to the reduction in workforce experienced in 2023 and 2024 contributed to improved overhead absorption. Lastly, lower product scrap expense helped to increase margins for the nine months ended September 30, 2024. These improvement in margins were partially offset by the decline in InteliSwab® revenues and a shift in product mix of increased revenues from lower margin product. Other non-product revenues which contribute 100% to gross margins also declined for the nine months ended September 30, 2024 compared to the nine months ended September 30,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loss for the nine months ended September 30, 2024 was $15.8 million, compared to $28.8 million operating income reported for the nine months ended September 30, 2023. Results for the nine months ended September 30, 2024 were negatively impacted by the decrease in revenues and were positively impacted by reduced operating expense. Results for the nine months ended September 30, 2024 included $4.4 million of impairment losses compared to $7.5 million for the nine months ended September 30,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2024, excluding the impairment charge, decreased 22.9% to $77.3 million from $100.2 million for the nine months ended September 30, 2023 reflecting the impact of the Company's cost saving measures and headcount reductions.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25% to $20.0 million for the nine months ended September 30, 2024 from $26.7 million for the nine months ended September 30, 2023, largely due to lower staffing costs due to a decrease in headcount and no related project management fees for our $109 million manufacturing expansion contract which ended during the fourth quarter of 2023, and a decrease in spend on COVID-19 product development. This overall decrease in spend is partially offset by an increase in severance costs for those employees impacted by the Company's decisions to exit the molecular services business offered by its Diversigen subsidiary and wind-down of operations located in Belgium.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18% to $24.0 million for the nine months ended September 30, 2024 from $29.4 million for the nine months ended September 30, 2023 primarily due to decreased employee costs associated with the reduction in headcount and lower advertising, consulting, and amortization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25% to $33.3 million for the nine months ended September 30, 2024 from $44.2 million for the nine months ended September 30, 2023 largely due to lower legal fees relating to the Spectrum litigation (discussed further in Part II. Other Information, Item 1. Legal Proceedings, below) and lower employee costs associated with reduced headcount partially offset by an increase in non-cash stock compensation expense.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$15.8 million for the nine months ended September 30, 2024, which included non-cash impairment charges of $4.4 million, non-cash charges of $8.4 million for depreciation and amortization, and $9.2 million for stock-based compensation. The Company's operating income of $28.8 million for the nine months ended September 30, 2023 included a non-cash impairment charge of $7.5 million, non-cash charges of $17.4 million for depreciation and amortization, and $7.6 million for stock-based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for the nine months ended September 30, 2024 was $9.3 million compared to $6.8 million for the nine months ended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largely due to higher interest income offset by absence of profit earned under our manufacturing expansion contract with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which ended at the end of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nine months ended September 30, 2024 and 2023, the Company recorded U.S. state tax benefit and expense of $0.2 million and $2.4 million, respectively. For the nine months ended September 30, 2024 and 2023, the Company recorded foreign tax expense and benefit of $1.3 million and $0.4 million,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3"/>
          </w:tcPr>
          <w:p>
            <w:pPr>
              <w:jc w:val="right"/>
              <w:ind w:right="12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278,571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290,407</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322,367</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346,923</w:t>
            </w: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$278.6 million at September 30, 2024 from $290.4 million at December 31, 2023. $93.7 million or 34% of the $278.6 million in cash and cash equivalents is held by DNAG, the Company's Canadian subsidiary.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working capital decreased to $322.4 million at September 30, 2024 from $346.9 million at December 31, 2023. The decrease in cash and cash equivalents and working capital was primarily due to the investment in Sapphiros of $30.0 million during the nine months ended September 30,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operating activities was $27.3 million. Cash flows from operations can be significantly impacted by factors such as timing of receipt from customers, inventory purchases, and payments to vendors. The Company's net loss of $8.7 million included non-cash charges of depreciation and amortization expense of $8.4 million, stock-based compensation expense of $9.2 million, impairment losses of $4.4 million, and loss on equity investment of $1.2 million. Cash provided by the working capital accounts included a decrease in accounts receivable of $12.7 million largely associated with lower overall sales and collections of balances due, a decrease in inventory of $8.7 million as the Company fulfilled demand for its InteliSwab® product, and a decrease in prepaid expense and other current assets of $2.6 million. Uses of cash included a decrease in accounts payable of $3.4 million due to lower inventory purchases and timing of vendor invoice payments and a decrease in accrued expenses of $7.6 million as the Company paid out year-end bonuses in March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$33.5 million for the nine months ended September 30, 2024, which reflects proceeds from the maturities of investments of $53.1 million, offset by $53.2 million in purchases of investments. Investing activities also include a $30.0 million investment in Sapphiros, and $3.3 million to acquire property and equipment to support the normal operations of the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$4.1 million for the nine months ended September 30, 2024, which is largely comprised of $3.5 million used for the repurchase of common stock to satisfy withholding taxes related to the vesting of restricted shares awarded to the Company's employees.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Company's obligations to make future payments under contracts existing at December 31, 2023 is included in Item 7, Management’s Discussion and Analysis of Financial Condition and Results of Operations, of its Annual Report on Form 10-K for the year ended December 31, 2023. As of September 30, 2024, there were no significant changes to this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more detailed review of the Company's critical accounting policies is contained in its Annual Report on Form 10-K for the year ended December 31, 2023 filed with the SEC. No material changes have been made to such critical accounting policies during the nine months ended September 30, 2024.</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2023.</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jc w:val="both"/>
        <w:ind w:firstLine="8"/>
        <w:spacing w:after="0" w:line="254" w:lineRule="auto"/>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September 30, 2024. Based on that evaluation, the Company’s management, including such officers, concluded that the Company’s disclosure controls and procedures were effective as of September 30, 2024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September 30,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Spectrum Patent Litigation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The Company appealed the grant of summary judgment to the Court of Appeals on June 8, 2023. The Company is pursuing the appeal with respect to the first patent, with oral argument expected in the first quarter of 2025.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 third patent, which DNAG did not assert in the District Court. On March 26, 2024, the PTO issued a Decision Granting Institution of</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and scheduled oral argument for January 13 2025. On July 2, 2024, the Company filed a Motion to Amend the claims of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which remains pending.</w:t>
      </w:r>
    </w:p>
    <w:p>
      <w:pPr>
        <w:spacing w:after="0" w:line="29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9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2580" w:type="dxa"/>
            <w:vAlign w:val="bottom"/>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40" w:type="dxa"/>
            <w:vAlign w:val="bottom"/>
          </w:tcPr>
          <w:p>
            <w:pPr>
              <w:jc w:val="center"/>
              <w:ind w:left="48"/>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960" w:type="dxa"/>
            <w:vAlign w:val="bottom"/>
          </w:tcPr>
          <w:p>
            <w:pPr>
              <w:jc w:val="center"/>
              <w:ind w:left="128"/>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8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4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96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repurchased under the plans</w:t>
            </w:r>
          </w:p>
        </w:tc>
        <w:tc>
          <w:tcPr>
            <w:tcW w:w="0" w:type="dxa"/>
            <w:vAlign w:val="bottom"/>
          </w:tcPr>
          <w:p>
            <w:pPr>
              <w:spacing w:after="0"/>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25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960" w:type="dxa"/>
            <w:vAlign w:val="bottom"/>
          </w:tcPr>
          <w:p>
            <w:pPr>
              <w:jc w:val="center"/>
              <w:ind w:left="128"/>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or programs </w:t>
            </w:r>
            <w:r>
              <w:rPr>
                <w:rFonts w:ascii="Times New Roman" w:cs="Times New Roman" w:eastAsia="Times New Roman" w:hAnsi="Times New Roman"/>
                <w:sz w:val="18"/>
                <w:szCs w:val="18"/>
                <w:b w:val="1"/>
                <w:bCs w:val="1"/>
                <w:color w:val="auto"/>
                <w:w w:val="95"/>
                <w:vertAlign w:val="superscript"/>
              </w:rPr>
              <w:t>(1, 2)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4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w:t>
            </w:r>
          </w:p>
        </w:tc>
      </w:tr>
      <w:tr>
        <w:trPr>
          <w:trHeight w:val="23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19,118</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29"/>
        </w:trPr>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4.59</w:t>
            </w: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34"/>
        </w:trPr>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23"/>
        </w:trPr>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700" w:space="0"/>
            <w:col w:w="140" w:space="140"/>
            <w:col w:w="5260"/>
          </w:cols>
          <w:pgMar w:left="320" w:top="121" w:right="339" w:bottom="1440" w:gutter="0" w:footer="0" w:header="0"/>
          <w:type w:val="continuous"/>
        </w:sectPr>
      </w:pPr>
    </w:p>
    <w:p>
      <w:pPr>
        <w:spacing w:after="0" w:line="92" w:lineRule="exact"/>
        <w:rPr>
          <w:sz w:val="20"/>
          <w:szCs w:val="20"/>
          <w:color w:val="auto"/>
        </w:rPr>
      </w:pPr>
    </w:p>
    <w:p>
      <w:pPr>
        <w:ind w:left="980" w:right="20" w:hanging="972"/>
        <w:spacing w:after="0" w:line="261"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2008, the Company's Board of Directors approved a share repurchase program pursuant to which the Company is permitted to acquire up to $25.0 million of outstanding shares. This share repurchase program may be discontinued at any time.</w:t>
      </w:r>
    </w:p>
    <w:p>
      <w:pPr>
        <w:ind w:left="980" w:hanging="972"/>
        <w:spacing w:after="0" w:line="250"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The Company has made no commitment to purchase any shares under this plan.</w:t>
      </w:r>
    </w:p>
    <w:p>
      <w:pPr>
        <w:ind w:left="980" w:hanging="972"/>
        <w:spacing w:after="0" w:line="260"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Part II - Item 2 above is incorporated herein by reference.</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amended,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1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0" w:type="dxa"/>
            <w:vAlign w:val="bottom"/>
          </w:tcPr>
          <w:p>
            <w:pPr>
              <w:spacing w:after="0"/>
              <w:rPr>
                <w:sz w:val="1"/>
                <w:szCs w:val="1"/>
                <w:color w:val="auto"/>
              </w:rPr>
            </w:pPr>
          </w:p>
        </w:tc>
      </w:tr>
      <w:tr>
        <w:trPr>
          <w:trHeight w:val="190"/>
        </w:trPr>
        <w:tc>
          <w:tcPr>
            <w:tcW w:w="310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31.1*</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 1934, as</w:t>
            </w:r>
          </w:p>
        </w:tc>
      </w:tr>
      <w:tr>
        <w:trPr>
          <w:trHeight w:val="156"/>
        </w:trPr>
        <w:tc>
          <w:tcPr>
            <w:tcW w:w="132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31.2*</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r>
      <w:tr>
        <w:trPr>
          <w:trHeight w:val="155"/>
        </w:trPr>
        <w:tc>
          <w:tcPr>
            <w:tcW w:w="1320" w:type="dxa"/>
            <w:vAlign w:val="bottom"/>
          </w:tcPr>
          <w:p>
            <w:pPr>
              <w:spacing w:after="0"/>
              <w:rPr>
                <w:sz w:val="13"/>
                <w:szCs w:val="13"/>
                <w:color w:val="auto"/>
              </w:rPr>
            </w:pPr>
          </w:p>
        </w:tc>
        <w:tc>
          <w:tcPr>
            <w:tcW w:w="9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 1934, as</w:t>
            </w:r>
          </w:p>
        </w:tc>
      </w:tr>
      <w:tr>
        <w:trPr>
          <w:trHeight w:val="156"/>
        </w:trPr>
        <w:tc>
          <w:tcPr>
            <w:tcW w:w="13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32.2*+</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15d-14(b) under the Securities Exchange Act of 1934, as</w:t>
            </w:r>
          </w:p>
        </w:tc>
      </w:tr>
      <w:tr>
        <w:trPr>
          <w:trHeight w:val="156"/>
        </w:trPr>
        <w:tc>
          <w:tcPr>
            <w:tcW w:w="1320" w:type="dxa"/>
            <w:vAlign w:val="bottom"/>
          </w:tcPr>
          <w:p>
            <w:pPr>
              <w:spacing w:after="0"/>
              <w:rPr>
                <w:sz w:val="13"/>
                <w:szCs w:val="13"/>
                <w:color w:val="auto"/>
              </w:rPr>
            </w:pPr>
          </w:p>
        </w:tc>
        <w:tc>
          <w:tcPr>
            <w:tcW w:w="9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r>
              <w:rPr>
                <w:rFonts w:ascii="Times New Roman" w:cs="Times New Roman" w:eastAsia="Times New Roman" w:hAnsi="Times New Roman"/>
                <w:sz w:val="18"/>
                <w:szCs w:val="18"/>
                <w:color w:val="000000"/>
              </w:rPr>
              <w:t>.</w:t>
            </w:r>
          </w:p>
        </w:tc>
        <w:tc>
          <w:tcPr>
            <w:tcW w:w="30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980" w:type="dxa"/>
            <w:vAlign w:val="bottom"/>
            <w:gridSpan w:val="2"/>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r>
      <w:tr>
        <w:trPr>
          <w:trHeight w:val="426"/>
        </w:trPr>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20" w:type="dxa"/>
            <w:vAlign w:val="bottom"/>
          </w:tcPr>
          <w:p>
            <w:pPr>
              <w:spacing w:after="0"/>
              <w:rPr>
                <w:sz w:val="20"/>
                <w:szCs w:val="20"/>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54"/>
        </w:trPr>
        <w:tc>
          <w:tcPr>
            <w:tcW w:w="13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46"/>
        </w:trPr>
        <w:tc>
          <w:tcPr>
            <w:tcW w:w="13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45"/>
        </w:trPr>
        <w:tc>
          <w:tcPr>
            <w:tcW w:w="13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5"/>
        </w:trPr>
        <w:tc>
          <w:tcPr>
            <w:tcW w:w="13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45"/>
        </w:trPr>
        <w:tc>
          <w:tcPr>
            <w:tcW w:w="13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11" w:lineRule="exact"/>
        <w:rPr>
          <w:sz w:val="20"/>
          <w:szCs w:val="20"/>
          <w:color w:val="auto"/>
        </w:rPr>
      </w:pPr>
    </w:p>
    <w:p>
      <w:pPr>
        <w:ind w:left="1340" w:right="80" w:hanging="1314"/>
        <w:spacing w:after="0" w:line="237"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Interactive Data File (formatted as inline XBRL with applicable taxonomy extension information contained in exhibits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ind w:left="180" w:hanging="172"/>
        <w:spacing w:after="0" w:line="282" w:lineRule="auto"/>
        <w:tabs>
          <w:tab w:leader="none" w:pos="1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9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Kenneth J. McGrath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Michele M. Anthony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Executive Officer )</w:t>
      </w:r>
    </w:p>
    <w:p>
      <w:pPr>
        <w:sectPr>
          <w:pgSz w:w="11900" w:h="16838" w:orient="portrait"/>
          <w:cols w:equalWidth="0" w:num="1">
            <w:col w:w="11240"/>
          </w:cols>
          <w:pgMar w:left="320" w:top="125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Financial Officer )</w:t>
      </w:r>
    </w:p>
    <w:p>
      <w:pPr>
        <w:sectPr>
          <w:pgSz w:w="11900" w:h="16838" w:orient="portrait"/>
          <w:cols w:equalWidth="0" w:num="1">
            <w:col w:w="11240"/>
          </w:cols>
          <w:pgMar w:left="320" w:top="125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September 30, 2024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125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September 30, 2024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2024-11-06T16:37:01Z</dcterms:created>
  <dcterms:modified xsi:type="dcterms:W3CDTF">2024-11-06T16:37:01Z</dcterms:modified>
</cp:coreProperties>
</file>