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574040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594360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1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PURSUANT TO SECTION 13 OR 15(d)</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65"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June 3, 2026</w:t>
      </w:r>
    </w:p>
    <w:p>
      <w:pPr>
        <w:spacing w:after="0" w:line="1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OraSure Technologies, Inc.</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Charter)</w:t>
      </w:r>
    </w:p>
    <w:p>
      <w:pPr>
        <w:spacing w:after="0" w:line="203" w:lineRule="exact"/>
        <w:rPr>
          <w:sz w:val="24"/>
          <w:szCs w:val="24"/>
          <w:color w:val="auto"/>
        </w:rPr>
      </w:pPr>
    </w:p>
    <w:tbl>
      <w:tblPr>
        <w:tblLayout w:type="fixed"/>
        <w:tblInd w:w="10" w:type="dxa"/>
        <w:tblCellMar>
          <w:top w:w="0" w:type="dxa"/>
          <w:left w:w="0" w:type="dxa"/>
          <w:bottom w:w="0" w:type="dxa"/>
          <w:right w:w="0" w:type="dxa"/>
        </w:tblCellMar>
      </w:tblPr>
      <w:tr>
        <w:trPr>
          <w:trHeight w:val="186"/>
        </w:trPr>
        <w:tc>
          <w:tcPr>
            <w:tcW w:w="5180" w:type="dxa"/>
            <w:vAlign w:val="bottom"/>
            <w:gridSpan w:val="3"/>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480" w:type="dxa"/>
            <w:vAlign w:val="bottom"/>
          </w:tcPr>
          <w:p>
            <w:pPr>
              <w:jc w:val="center"/>
              <w:ind w:right="469"/>
              <w:spacing w:after="0"/>
              <w:rPr>
                <w:sz w:val="20"/>
                <w:szCs w:val="20"/>
                <w:color w:val="auto"/>
              </w:rPr>
            </w:pPr>
            <w:r>
              <w:rPr>
                <w:rFonts w:ascii="Times New Roman" w:cs="Times New Roman" w:eastAsia="Times New Roman" w:hAnsi="Times New Roman"/>
                <w:sz w:val="14"/>
                <w:szCs w:val="14"/>
                <w:b w:val="1"/>
                <w:bCs w:val="1"/>
                <w:color w:val="auto"/>
              </w:rPr>
              <w:t>001-16537</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4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36-4370966</w:t>
            </w:r>
          </w:p>
        </w:tc>
      </w:tr>
      <w:tr>
        <w:trPr>
          <w:trHeight w:val="196"/>
        </w:trPr>
        <w:tc>
          <w:tcPr>
            <w:tcW w:w="5180" w:type="dxa"/>
            <w:vAlign w:val="bottom"/>
            <w:gridSpan w:val="3"/>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80" w:type="dxa"/>
            <w:vAlign w:val="bottom"/>
            <w:gridSpan w:val="3"/>
          </w:tcPr>
          <w:p>
            <w:pPr>
              <w:jc w:val="center"/>
              <w:ind w:right="1540"/>
              <w:spacing w:after="0"/>
              <w:rPr>
                <w:sz w:val="20"/>
                <w:szCs w:val="20"/>
                <w:color w:val="auto"/>
              </w:rPr>
            </w:pPr>
            <w:r>
              <w:rPr>
                <w:rFonts w:ascii="Times New Roman" w:cs="Times New Roman" w:eastAsia="Times New Roman" w:hAnsi="Times New Roman"/>
                <w:sz w:val="14"/>
                <w:szCs w:val="14"/>
                <w:b w:val="1"/>
                <w:bCs w:val="1"/>
                <w:color w:val="auto"/>
                <w:w w:val="99"/>
              </w:rPr>
              <w:t>(Commission</w:t>
            </w:r>
          </w:p>
        </w:tc>
        <w:tc>
          <w:tcPr>
            <w:tcW w:w="364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5180" w:type="dxa"/>
            <w:vAlign w:val="bottom"/>
            <w:gridSpan w:val="3"/>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80" w:type="dxa"/>
            <w:vAlign w:val="bottom"/>
            <w:gridSpan w:val="3"/>
          </w:tcPr>
          <w:p>
            <w:pPr>
              <w:jc w:val="center"/>
              <w:ind w:right="15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64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61"/>
        </w:trPr>
        <w:tc>
          <w:tcPr>
            <w:tcW w:w="5180" w:type="dxa"/>
            <w:vAlign w:val="bottom"/>
            <w:gridSpan w:val="3"/>
          </w:tcPr>
          <w:p>
            <w:pPr>
              <w:jc w:val="center"/>
              <w:ind w:left="2549"/>
              <w:spacing w:after="0"/>
              <w:rPr>
                <w:sz w:val="20"/>
                <w:szCs w:val="20"/>
                <w:color w:val="auto"/>
              </w:rPr>
            </w:pPr>
            <w:r>
              <w:rPr>
                <w:rFonts w:ascii="Times New Roman" w:cs="Times New Roman" w:eastAsia="Times New Roman" w:hAnsi="Times New Roman"/>
                <w:sz w:val="14"/>
                <w:szCs w:val="14"/>
                <w:b w:val="1"/>
                <w:bCs w:val="1"/>
                <w:color w:val="auto"/>
              </w:rPr>
              <w:t>220 East First Street</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186"/>
        </w:trPr>
        <w:tc>
          <w:tcPr>
            <w:tcW w:w="5180" w:type="dxa"/>
            <w:vAlign w:val="bottom"/>
            <w:gridSpan w:val="3"/>
          </w:tcPr>
          <w:p>
            <w:pPr>
              <w:jc w:val="center"/>
              <w:ind w:left="2549"/>
              <w:spacing w:after="0"/>
              <w:rPr>
                <w:sz w:val="20"/>
                <w:szCs w:val="20"/>
                <w:color w:val="auto"/>
              </w:rPr>
            </w:pPr>
            <w:r>
              <w:rPr>
                <w:rFonts w:ascii="Times New Roman" w:cs="Times New Roman" w:eastAsia="Times New Roman" w:hAnsi="Times New Roman"/>
                <w:sz w:val="14"/>
                <w:szCs w:val="14"/>
                <w:b w:val="1"/>
                <w:bCs w:val="1"/>
                <w:color w:val="auto"/>
              </w:rPr>
              <w:t>Bethlehem, Pennsylvania</w:t>
            </w: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4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18015-1360</w:t>
            </w:r>
          </w:p>
        </w:tc>
      </w:tr>
      <w:tr>
        <w:trPr>
          <w:trHeight w:val="212"/>
        </w:trPr>
        <w:tc>
          <w:tcPr>
            <w:tcW w:w="5180" w:type="dxa"/>
            <w:vAlign w:val="bottom"/>
            <w:gridSpan w:val="3"/>
          </w:tcPr>
          <w:p>
            <w:pPr>
              <w:jc w:val="center"/>
              <w:ind w:left="252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4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35"/>
        </w:trPr>
        <w:tc>
          <w:tcPr>
            <w:tcW w:w="7660" w:type="dxa"/>
            <w:vAlign w:val="bottom"/>
            <w:gridSpan w:val="6"/>
          </w:tcPr>
          <w:p>
            <w:pPr>
              <w:jc w:val="center"/>
              <w:ind w:left="356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610-882-1820</w:t>
            </w:r>
          </w:p>
        </w:tc>
        <w:tc>
          <w:tcPr>
            <w:tcW w:w="3640" w:type="dxa"/>
            <w:vAlign w:val="bottom"/>
          </w:tcPr>
          <w:p>
            <w:pPr>
              <w:spacing w:after="0"/>
              <w:rPr>
                <w:sz w:val="24"/>
                <w:szCs w:val="24"/>
                <w:color w:val="auto"/>
              </w:rPr>
            </w:pPr>
          </w:p>
        </w:tc>
      </w:tr>
      <w:tr>
        <w:trPr>
          <w:trHeight w:val="323"/>
        </w:trPr>
        <w:tc>
          <w:tcPr>
            <w:tcW w:w="4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80" w:type="dxa"/>
            <w:vAlign w:val="bottom"/>
            <w:gridSpan w:val="3"/>
          </w:tcPr>
          <w:p>
            <w:pPr>
              <w:jc w:val="center"/>
              <w:ind w:right="1560"/>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3640" w:type="dxa"/>
            <w:vAlign w:val="bottom"/>
          </w:tcPr>
          <w:p>
            <w:pPr>
              <w:spacing w:after="0"/>
              <w:rPr>
                <w:sz w:val="24"/>
                <w:szCs w:val="24"/>
                <w:color w:val="auto"/>
              </w:rPr>
            </w:pPr>
          </w:p>
        </w:tc>
      </w:tr>
      <w:tr>
        <w:trPr>
          <w:trHeight w:val="186"/>
        </w:trPr>
        <w:tc>
          <w:tcPr>
            <w:tcW w:w="7660" w:type="dxa"/>
            <w:vAlign w:val="bottom"/>
            <w:gridSpan w:val="6"/>
          </w:tcPr>
          <w:p>
            <w:pPr>
              <w:jc w:val="center"/>
              <w:ind w:left="356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3640" w:type="dxa"/>
            <w:vAlign w:val="bottom"/>
          </w:tcPr>
          <w:p>
            <w:pPr>
              <w:spacing w:after="0"/>
              <w:rPr>
                <w:sz w:val="16"/>
                <w:szCs w:val="16"/>
                <w:color w:val="auto"/>
              </w:rPr>
            </w:pPr>
          </w:p>
        </w:tc>
      </w:tr>
      <w:tr>
        <w:trPr>
          <w:trHeight w:val="340"/>
        </w:trPr>
        <w:tc>
          <w:tcPr>
            <w:tcW w:w="5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107"/>
        </w:trPr>
        <w:tc>
          <w:tcPr>
            <w:tcW w:w="4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2"/>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r>
      <w:tr>
        <w:trPr>
          <w:trHeight w:val="165"/>
        </w:trPr>
        <w:tc>
          <w:tcPr>
            <w:tcW w:w="4520" w:type="dxa"/>
            <w:vAlign w:val="bottom"/>
            <w:tcBorders>
              <w:lef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80" w:type="dxa"/>
            <w:vAlign w:val="bottom"/>
            <w:gridSpan w:val="3"/>
          </w:tcPr>
          <w:p>
            <w:pPr>
              <w:jc w:val="center"/>
              <w:ind w:right="15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40" w:type="dxa"/>
            <w:vAlign w:val="bottom"/>
            <w:tcBorders>
              <w:right w:val="single" w:sz="8" w:color="auto"/>
            </w:tcBorders>
          </w:tcPr>
          <w:p>
            <w:pPr>
              <w:spacing w:after="0"/>
              <w:rPr>
                <w:sz w:val="14"/>
                <w:szCs w:val="14"/>
                <w:color w:val="auto"/>
              </w:rPr>
            </w:pPr>
          </w:p>
        </w:tc>
      </w:tr>
      <w:tr>
        <w:trPr>
          <w:trHeight w:val="186"/>
        </w:trPr>
        <w:tc>
          <w:tcPr>
            <w:tcW w:w="5180" w:type="dxa"/>
            <w:vAlign w:val="bottom"/>
            <w:tcBorders>
              <w:left w:val="single" w:sz="8" w:color="auto"/>
            </w:tcBorders>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80" w:type="dxa"/>
            <w:vAlign w:val="bottom"/>
            <w:gridSpan w:val="3"/>
          </w:tcPr>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40" w:type="dxa"/>
            <w:vAlign w:val="bottom"/>
            <w:tcBorders>
              <w:right w:val="single" w:sz="8" w:color="auto"/>
            </w:tcBorders>
          </w:tcPr>
          <w:p>
            <w:pPr>
              <w:jc w:val="center"/>
              <w:ind w:right="86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
        </w:trPr>
        <w:tc>
          <w:tcPr>
            <w:tcW w:w="4520" w:type="dxa"/>
            <w:vAlign w:val="bottom"/>
            <w:tcBorders>
              <w:left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5180" w:type="dxa"/>
            <w:vAlign w:val="bottom"/>
            <w:tcBorders>
              <w:left w:val="single" w:sz="8" w:color="auto"/>
            </w:tcBorders>
            <w:gridSpan w:val="3"/>
          </w:tcPr>
          <w:p>
            <w:pPr>
              <w:jc w:val="center"/>
              <w:ind w:right="640"/>
              <w:spacing w:after="0"/>
              <w:rPr>
                <w:sz w:val="20"/>
                <w:szCs w:val="20"/>
                <w:color w:val="auto"/>
              </w:rPr>
            </w:pPr>
            <w:r>
              <w:rPr>
                <w:rFonts w:ascii="Times New Roman" w:cs="Times New Roman" w:eastAsia="Times New Roman" w:hAnsi="Times New Roman"/>
                <w:sz w:val="14"/>
                <w:szCs w:val="14"/>
                <w:color w:val="auto"/>
              </w:rPr>
              <w:t>Common Stock, $0.000001 par value per share</w:t>
            </w:r>
          </w:p>
        </w:tc>
        <w:tc>
          <w:tcPr>
            <w:tcW w:w="2480" w:type="dxa"/>
            <w:vAlign w:val="bottom"/>
            <w:gridSpan w:val="3"/>
          </w:tcPr>
          <w:p>
            <w:pPr>
              <w:jc w:val="center"/>
              <w:ind w:right="1580"/>
              <w:spacing w:after="0"/>
              <w:rPr>
                <w:sz w:val="20"/>
                <w:szCs w:val="20"/>
                <w:color w:val="auto"/>
              </w:rPr>
            </w:pPr>
            <w:r>
              <w:rPr>
                <w:rFonts w:ascii="Times New Roman" w:cs="Times New Roman" w:eastAsia="Times New Roman" w:hAnsi="Times New Roman"/>
                <w:sz w:val="14"/>
                <w:szCs w:val="14"/>
                <w:color w:val="auto"/>
              </w:rPr>
              <w:t>OSUR</w:t>
            </w:r>
          </w:p>
        </w:tc>
        <w:tc>
          <w:tcPr>
            <w:tcW w:w="3640" w:type="dxa"/>
            <w:vAlign w:val="bottom"/>
            <w:tcBorders>
              <w:right w:val="single" w:sz="8" w:color="auto"/>
            </w:tcBorders>
          </w:tcPr>
          <w:p>
            <w:pPr>
              <w:jc w:val="center"/>
              <w:ind w:right="869"/>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2"/>
        </w:trPr>
        <w:tc>
          <w:tcPr>
            <w:tcW w:w="4520" w:type="dxa"/>
            <w:vAlign w:val="bottom"/>
            <w:tcBorders>
              <w:left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right w:val="single" w:sz="8" w:color="auto"/>
            </w:tcBorders>
          </w:tcPr>
          <w:p>
            <w:pPr>
              <w:spacing w:after="0" w:line="20" w:lineRule="exact"/>
              <w:rPr>
                <w:sz w:val="1"/>
                <w:szCs w:val="1"/>
                <w:color w:val="auto"/>
              </w:rPr>
            </w:pPr>
          </w:p>
        </w:tc>
      </w:tr>
    </w:tbl>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79"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 xml:space="preserve">o </w:t>
      </w:r>
      <w:r>
        <w:rPr>
          <w:rFonts w:ascii="Times New Roman" w:cs="Times New Roman" w:eastAsia="Times New Roman" w:hAnsi="Times New Roman"/>
          <w:sz w:val="14"/>
          <w:szCs w:val="14"/>
          <w:color w:val="auto"/>
        </w:rPr>
        <w:t>Written communications pursuant to Rule 425 under the Securities Act (17 CFR 230.425)</w:t>
      </w:r>
    </w:p>
    <w:p>
      <w:pPr>
        <w:spacing w:after="0" w:line="23"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 xml:space="preserve">o </w:t>
      </w:r>
      <w:r>
        <w:rPr>
          <w:rFonts w:ascii="Times New Roman" w:cs="Times New Roman" w:eastAsia="Times New Roman" w:hAnsi="Times New Roman"/>
          <w:sz w:val="14"/>
          <w:szCs w:val="14"/>
          <w:color w:val="auto"/>
        </w:rPr>
        <w:t>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 xml:space="preserve">o </w:t>
      </w: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 xml:space="preserve">o </w:t>
      </w: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64" w:lineRule="exact"/>
        <w:rPr>
          <w:sz w:val="24"/>
          <w:szCs w:val="24"/>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Indicate by a check mark whether the Registrant is an emerging growth company as defined in Rule 405 of the Securities Act of 1933 (§230.405 of this chapter) or Rule 12b-2 of the Securities Exchange Act of 1934 (§240.12b-2 of this chapter).</w:t>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Emerging growth company </w:t>
      </w:r>
      <w:r>
        <w:rPr>
          <w:rFonts w:ascii="Wingdings" w:cs="Wingdings" w:eastAsia="Wingdings" w:hAnsi="Wingdings"/>
          <w:sz w:val="14"/>
          <w:szCs w:val="14"/>
          <w:b w:val="1"/>
          <w:bCs w:val="1"/>
          <w:color w:val="auto"/>
        </w:rPr>
        <w:t>o</w:t>
      </w:r>
    </w:p>
    <w:p>
      <w:pPr>
        <w:spacing w:after="0" w:line="179" w:lineRule="exact"/>
        <w:rPr>
          <w:sz w:val="24"/>
          <w:szCs w:val="24"/>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635000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114935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135255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300"/>
          </w:cols>
          <w:pgMar w:left="300" w:top="1168"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5.02 Departure of Directors or Certain Officers; Election of Directors; Appointment of Certain Officers; Compensatory Arrangements of Certain Officers</w:t>
      </w:r>
    </w:p>
    <w:p>
      <w:pPr>
        <w:spacing w:after="0" w:line="20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On June 3, 2026, at the 2026 Annual Meeting of Stockholders (the “Annual Meeting”) of OraSure Technologies, Inc. (the “Company”), the stockholders of the Company approved an amendment and restatement of the OraSure Technologies, Inc. 2000 Stock Award Plan (the “Stock Award Plan”) to increase the number of shares of common stock authorized for grant thereunder by 5,000,000 shares.</w:t>
      </w:r>
    </w:p>
    <w:p>
      <w:pPr>
        <w:spacing w:after="0" w:line="15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 detailed summary of the material features of the Stock Award Plan is set forth in the Company’s definitive proxy statement for the Annual Meeting filed with the U.S. Securities and Exchange Commission on April 30, 2026 (the “Proxy Statement”) under the caption “ Proposals Requiring Your Vote - Proposal No. 4. Amendment and Restatement of Stock Award Plan,” which description is incorporated herein by reference.</w:t>
      </w:r>
    </w:p>
    <w:p>
      <w:pPr>
        <w:spacing w:after="0" w:line="15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descriptions of the Stock Award Plan contained herein and in the Proxy Statement do not purport to be complete and are qualified in their entirety by reference to the full text of the Stock Award Plan, which is attached hereto as Exhibit 10.1 to this Current Report on Form 8-K and is incorporated herein by reference.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5.03 Amendments to Articles of Incorporation or Bylaws; Change in Fiscal Year</w:t>
      </w:r>
    </w:p>
    <w:p>
      <w:pPr>
        <w:spacing w:after="0" w:line="20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As further described in Item 5.07 to this Current Report on Form 8-K, at the Annual Meeting, the stockholders of the Company approved an amendment (the “Amendment”) to the Company’s Certificate of Incorporation to declassify the Company’s board of directors (the “Board of Directors”) over a three-year period, beginning at the fiscal 2027 annual meeting of stockholders, such that from and after the fiscal 2027 annual meeting, all directors who are up for election at an annual meeting of stockholders will be elected to serve for a term of one year and until such directors’ successors are duly elected and qualified or until such directors’ earlier death, resignation or removal.</w:t>
      </w:r>
    </w:p>
    <w:p>
      <w:pPr>
        <w:spacing w:after="0" w:line="16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On June 3, 2026, the Company filed a Certificate of Amendment to the Company’s Certificate of Incorporation (the “Certificate of Amendment”) with the Secretary of State of the State of Delaware and the Certificate of Amendment became effective on filing. The foregoing description does not purport to be complete and is qualified in its entirety by reference to the full text of the Certificate of Amendment, a copy of which is filed as Exhibit 3.1 to this Current Report on Form 8-K and is incorporated herein by reference.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5.07 Submission of Matters to a Vote of Security Holders.</w:t>
      </w:r>
    </w:p>
    <w:p>
      <w:pPr>
        <w:spacing w:after="0" w:line="20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On June 3, 2026, the Company held its Annual Meeting virtually. As of April 10, 2026, the record date for the Annual Meeting, there were 71,965,612 outstanding shares of the Company’s common stock. The following is a summary of the items considered by stockholders and the corresponding voting results at the Annual Meeting: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ITEM 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Election of Three (3) Class II Directors for Terms Ending in 2029.</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3160" w:type="dxa"/>
            <w:vAlign w:val="bottom"/>
            <w:tcBorders>
              <w:top w:val="single" w:sz="8" w:color="auto"/>
              <w:left w:val="single" w:sz="8" w:color="auto"/>
              <w:right w:val="single" w:sz="8" w:color="auto"/>
            </w:tcBorders>
          </w:tcPr>
          <w:p>
            <w:pPr>
              <w:ind w:left="13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1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64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Broker Non-Votes</w:t>
            </w:r>
          </w:p>
        </w:tc>
      </w:tr>
      <w:tr>
        <w:trPr>
          <w:trHeight w:val="22"/>
        </w:trPr>
        <w:tc>
          <w:tcPr>
            <w:tcW w:w="3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31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John D. Bertrand</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47,822,139</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3,366,544</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278,477</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10,579,208</w:t>
            </w:r>
          </w:p>
        </w:tc>
      </w:tr>
      <w:tr>
        <w:trPr>
          <w:trHeight w:val="22"/>
        </w:trPr>
        <w:tc>
          <w:tcPr>
            <w:tcW w:w="3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31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Steven K. Boyd</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48,806,872</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2,596,468</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63,820</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10,579,208</w:t>
            </w:r>
          </w:p>
        </w:tc>
      </w:tr>
      <w:tr>
        <w:trPr>
          <w:trHeight w:val="22"/>
        </w:trPr>
        <w:tc>
          <w:tcPr>
            <w:tcW w:w="3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31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Robert W. McMahon</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47,770,768</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3,583,027</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113,365</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10,579,208</w:t>
            </w:r>
          </w:p>
        </w:tc>
      </w:tr>
      <w:tr>
        <w:trPr>
          <w:trHeight w:val="22"/>
        </w:trPr>
        <w:tc>
          <w:tcPr>
            <w:tcW w:w="31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ITEM 2</w:t>
      </w:r>
      <w:r>
        <w:rPr>
          <w:rFonts w:ascii="Times New Roman" w:cs="Times New Roman" w:eastAsia="Times New Roman" w:hAnsi="Times New Roman"/>
          <w:sz w:val="14"/>
          <w:szCs w:val="14"/>
          <w:color w:val="auto"/>
        </w:rPr>
        <w:t>. Ratification of the Appointment of Grant Thornton LLP as the Company’s Independent Registered Public Accounting Firm for Fiscal Year 2026.</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25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2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4140" w:type="dxa"/>
            <w:vAlign w:val="bottom"/>
          </w:tcPr>
          <w:p>
            <w:pPr>
              <w:spacing w:after="0"/>
              <w:rPr>
                <w:sz w:val="17"/>
                <w:szCs w:val="17"/>
                <w:color w:val="auto"/>
              </w:rPr>
            </w:pPr>
          </w:p>
        </w:tc>
      </w:tr>
      <w:tr>
        <w:trPr>
          <w:trHeight w:val="22"/>
        </w:trPr>
        <w:tc>
          <w:tcPr>
            <w:tcW w:w="2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181"/>
        </w:trPr>
        <w:tc>
          <w:tcPr>
            <w:tcW w:w="2560" w:type="dxa"/>
            <w:vAlign w:val="bottom"/>
            <w:tcBorders>
              <w:left w:val="single" w:sz="8" w:color="auto"/>
              <w:right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rPr>
              <w:t>59,891,739</w:t>
            </w:r>
          </w:p>
        </w:tc>
        <w:tc>
          <w:tcPr>
            <w:tcW w:w="2520" w:type="dxa"/>
            <w:vAlign w:val="bottom"/>
            <w:tcBorders>
              <w:right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rPr>
              <w:t>2,143,244</w:t>
            </w:r>
          </w:p>
        </w:tc>
        <w:tc>
          <w:tcPr>
            <w:tcW w:w="2060" w:type="dxa"/>
            <w:vAlign w:val="bottom"/>
            <w:tcBorders>
              <w:right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rPr>
              <w:t>11,385</w:t>
            </w:r>
          </w:p>
        </w:tc>
        <w:tc>
          <w:tcPr>
            <w:tcW w:w="4140" w:type="dxa"/>
            <w:vAlign w:val="bottom"/>
          </w:tcPr>
          <w:p>
            <w:pPr>
              <w:spacing w:after="0"/>
              <w:rPr>
                <w:sz w:val="15"/>
                <w:szCs w:val="15"/>
                <w:color w:val="auto"/>
              </w:rPr>
            </w:pPr>
          </w:p>
        </w:tc>
      </w:tr>
      <w:tr>
        <w:trPr>
          <w:trHeight w:val="22"/>
        </w:trPr>
        <w:tc>
          <w:tcPr>
            <w:tcW w:w="2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1350"/>
        </w:trPr>
        <w:tc>
          <w:tcPr>
            <w:tcW w:w="25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40"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auto"/>
        </w:rPr>
        <w:t>ITEM 3.</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Advisory (Non-Binding) Vote to Approve the Resolution on the Company’s Executive Compensation.</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25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2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Broker Non-Votes</w:t>
            </w:r>
          </w:p>
        </w:tc>
      </w:tr>
      <w:tr>
        <w:trPr>
          <w:trHeight w:val="22"/>
        </w:trPr>
        <w:tc>
          <w:tcPr>
            <w:tcW w:w="2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560" w:type="dxa"/>
            <w:vAlign w:val="bottom"/>
            <w:tcBorders>
              <w:left w:val="single" w:sz="8" w:color="auto"/>
              <w:right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color w:val="auto"/>
              </w:rPr>
              <w:t>45,225,131</w:t>
            </w:r>
          </w:p>
        </w:tc>
        <w:tc>
          <w:tcPr>
            <w:tcW w:w="2520" w:type="dxa"/>
            <w:vAlign w:val="bottom"/>
            <w:tcBorders>
              <w:right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rPr>
              <w:t>6,179,090</w:t>
            </w:r>
          </w:p>
        </w:tc>
        <w:tc>
          <w:tcPr>
            <w:tcW w:w="2060" w:type="dxa"/>
            <w:vAlign w:val="bottom"/>
            <w:tcBorders>
              <w:right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rPr>
              <w:t>62,939</w:t>
            </w:r>
          </w:p>
        </w:tc>
        <w:tc>
          <w:tcPr>
            <w:tcW w:w="2040" w:type="dxa"/>
            <w:vAlign w:val="bottom"/>
            <w:tcBorders>
              <w:right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10,579,208</w:t>
            </w:r>
          </w:p>
        </w:tc>
      </w:tr>
      <w:tr>
        <w:trPr>
          <w:trHeight w:val="22"/>
        </w:trPr>
        <w:tc>
          <w:tcPr>
            <w:tcW w:w="2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ITEM 4</w:t>
      </w:r>
      <w:r>
        <w:rPr>
          <w:rFonts w:ascii="Times New Roman" w:cs="Times New Roman" w:eastAsia="Times New Roman" w:hAnsi="Times New Roman"/>
          <w:sz w:val="14"/>
          <w:szCs w:val="14"/>
          <w:color w:val="auto"/>
        </w:rPr>
        <w:t>. Approval of an Amendment and Restatement of the Stock Award Plan to Increase the Shares Authorized For Issuance Thereunder.</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480" w:type="dxa"/>
            <w:vAlign w:val="bottom"/>
            <w:tcBorders>
              <w:top w:val="single" w:sz="8" w:color="auto"/>
              <w:left w:val="single" w:sz="8" w:color="auto"/>
            </w:tcBorders>
          </w:tcPr>
          <w:p>
            <w:pPr>
              <w:spacing w:after="0"/>
              <w:rPr>
                <w:sz w:val="17"/>
                <w:szCs w:val="17"/>
                <w:color w:val="auto"/>
              </w:rPr>
            </w:pPr>
          </w:p>
        </w:tc>
        <w:tc>
          <w:tcPr>
            <w:tcW w:w="2080" w:type="dxa"/>
            <w:vAlign w:val="bottom"/>
            <w:tcBorders>
              <w:top w:val="single" w:sz="8" w:color="auto"/>
              <w:right w:val="single" w:sz="8" w:color="auto"/>
            </w:tcBorders>
          </w:tcPr>
          <w:p>
            <w:pPr>
              <w:jc w:val="center"/>
              <w:ind w:right="429"/>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2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04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
        </w:trPr>
        <w:tc>
          <w:tcPr>
            <w:tcW w:w="480" w:type="dxa"/>
            <w:vAlign w:val="bottom"/>
            <w:tcBorders>
              <w:left w:val="single" w:sz="8" w:color="auto"/>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5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57,055,163</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4,796,974</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194,231</w:t>
            </w:r>
          </w:p>
        </w:tc>
        <w:tc>
          <w:tcPr>
            <w:tcW w:w="2040" w:type="dxa"/>
            <w:vAlign w:val="bottom"/>
            <w:tcBorders>
              <w:right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rPr>
              <w:t>0</w:t>
            </w:r>
          </w:p>
        </w:tc>
      </w:tr>
      <w:tr>
        <w:trPr>
          <w:trHeight w:val="22"/>
        </w:trPr>
        <w:tc>
          <w:tcPr>
            <w:tcW w:w="480" w:type="dxa"/>
            <w:vAlign w:val="bottom"/>
            <w:tcBorders>
              <w:left w:val="single" w:sz="8" w:color="auto"/>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415"/>
        </w:trPr>
        <w:tc>
          <w:tcPr>
            <w:tcW w:w="91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ITEM 5</w:t>
            </w:r>
            <w:r>
              <w:rPr>
                <w:rFonts w:ascii="Times New Roman" w:cs="Times New Roman" w:eastAsia="Times New Roman" w:hAnsi="Times New Roman"/>
                <w:sz w:val="14"/>
                <w:szCs w:val="14"/>
                <w:color w:val="auto"/>
              </w:rPr>
              <w:t>. Amendment to the Company’s Certificate of Incorporation to Declassify the Board of Directors and Add Certain Clarifying Changes</w:t>
            </w:r>
          </w:p>
        </w:tc>
      </w:tr>
      <w:tr>
        <w:trPr>
          <w:trHeight w:val="224"/>
        </w:trPr>
        <w:tc>
          <w:tcPr>
            <w:tcW w:w="480" w:type="dxa"/>
            <w:vAlign w:val="bottom"/>
            <w:tcBorders>
              <w:top w:val="single" w:sz="8" w:color="auto"/>
              <w:bottom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r>
      <w:tr>
        <w:trPr>
          <w:trHeight w:val="181"/>
        </w:trPr>
        <w:tc>
          <w:tcPr>
            <w:tcW w:w="480" w:type="dxa"/>
            <w:vAlign w:val="bottom"/>
            <w:tcBorders>
              <w:left w:val="single" w:sz="8" w:color="auto"/>
            </w:tcBorders>
          </w:tcPr>
          <w:p>
            <w:pPr>
              <w:spacing w:after="0"/>
              <w:rPr>
                <w:sz w:val="15"/>
                <w:szCs w:val="15"/>
                <w:color w:val="auto"/>
              </w:rPr>
            </w:pPr>
          </w:p>
        </w:tc>
        <w:tc>
          <w:tcPr>
            <w:tcW w:w="2080" w:type="dxa"/>
            <w:vAlign w:val="bottom"/>
            <w:tcBorders>
              <w:right w:val="single" w:sz="8" w:color="auto"/>
            </w:tcBorders>
          </w:tcPr>
          <w:p>
            <w:pPr>
              <w:jc w:val="center"/>
              <w:ind w:right="429"/>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04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
        </w:trPr>
        <w:tc>
          <w:tcPr>
            <w:tcW w:w="2560" w:type="dxa"/>
            <w:vAlign w:val="bottom"/>
            <w:tcBorders>
              <w:left w:val="single" w:sz="8" w:color="auto"/>
              <w:bottom w:val="single" w:sz="8" w:color="auto"/>
              <w:right w:val="single" w:sz="8" w:color="auto"/>
            </w:tcBorders>
            <w:gridSpan w:val="2"/>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25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49,125,748</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2,223,960</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117,452</w:t>
            </w:r>
          </w:p>
        </w:tc>
        <w:tc>
          <w:tcPr>
            <w:tcW w:w="2040" w:type="dxa"/>
            <w:vAlign w:val="bottom"/>
            <w:tcBorders>
              <w:right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10,579,208</w:t>
            </w:r>
          </w:p>
        </w:tc>
      </w:tr>
      <w:tr>
        <w:trPr>
          <w:trHeight w:val="22"/>
        </w:trPr>
        <w:tc>
          <w:tcPr>
            <w:tcW w:w="480" w:type="dxa"/>
            <w:vAlign w:val="bottom"/>
            <w:tcBorders>
              <w:left w:val="single" w:sz="8" w:color="auto"/>
              <w:bottom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 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exhibits are being filed herewith:</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Exhibit Number</w:t>
            </w:r>
          </w:p>
        </w:tc>
        <w:tc>
          <w:tcPr>
            <w:tcW w:w="9800" w:type="dxa"/>
            <w:vAlign w:val="bottom"/>
          </w:tcPr>
          <w:p>
            <w:pPr>
              <w:ind w:left="462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30"/>
        </w:trPr>
        <w:tc>
          <w:tcPr>
            <w:tcW w:w="11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330"/>
        </w:trPr>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3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Certificate of Amendment to the Company’s Certificate of Incorporation</w:t>
            </w:r>
          </w:p>
        </w:tc>
      </w:tr>
      <w:tr>
        <w:trPr>
          <w:trHeight w:val="340"/>
        </w:trPr>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3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Amended and Restated OraSure Technologies, Inc. 2000 Stock Award Plan.</w:t>
            </w:r>
          </w:p>
        </w:tc>
      </w:tr>
      <w:tr>
        <w:trPr>
          <w:trHeight w:val="371"/>
        </w:trPr>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3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819"/>
        </w:trPr>
        <w:tc>
          <w:tcPr>
            <w:tcW w:w="1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81"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as amended, the registrant has duly caused this report to be signed on its behalf by the undersigned hereunto duly authorized.</w:t>
      </w:r>
    </w:p>
    <w:p>
      <w:pPr>
        <w:spacing w:after="0" w:line="219" w:lineRule="exact"/>
        <w:rPr>
          <w:sz w:val="20"/>
          <w:szCs w:val="20"/>
          <w:color w:val="auto"/>
        </w:rPr>
      </w:pPr>
    </w:p>
    <w:tbl>
      <w:tblPr>
        <w:tblLayout w:type="fixed"/>
        <w:tblInd w:w="52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7680" w:type="dxa"/>
            <w:vAlign w:val="bottom"/>
            <w:gridSpan w:val="2"/>
          </w:tcPr>
          <w:p>
            <w:pPr>
              <w:ind w:left="2000"/>
              <w:spacing w:after="0"/>
              <w:rPr>
                <w:sz w:val="20"/>
                <w:szCs w:val="20"/>
                <w:color w:val="auto"/>
              </w:rPr>
            </w:pPr>
            <w:r>
              <w:rPr>
                <w:rFonts w:ascii="Times New Roman" w:cs="Times New Roman" w:eastAsia="Times New Roman" w:hAnsi="Times New Roman"/>
                <w:sz w:val="14"/>
                <w:szCs w:val="14"/>
                <w:b w:val="1"/>
                <w:bCs w:val="1"/>
                <w:color w:val="auto"/>
              </w:rPr>
              <w:t>ORASURE TECHNOLOGIES, INC.</w:t>
            </w:r>
          </w:p>
        </w:tc>
      </w:tr>
      <w:tr>
        <w:trPr>
          <w:trHeight w:val="424"/>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Date: June 3, 2026</w:t>
            </w:r>
          </w:p>
        </w:tc>
        <w:tc>
          <w:tcPr>
            <w:tcW w:w="2540" w:type="dxa"/>
            <w:vAlign w:val="bottom"/>
          </w:tcPr>
          <w:p>
            <w:pPr>
              <w:ind w:left="2000"/>
              <w:spacing w:after="0"/>
              <w:rPr>
                <w:sz w:val="20"/>
                <w:szCs w:val="20"/>
                <w:color w:val="auto"/>
              </w:rPr>
            </w:pPr>
            <w:r>
              <w:rPr>
                <w:rFonts w:ascii="Times New Roman" w:cs="Times New Roman" w:eastAsia="Times New Roman" w:hAnsi="Times New Roman"/>
                <w:sz w:val="14"/>
                <w:szCs w:val="14"/>
                <w:color w:val="auto"/>
              </w:rPr>
              <w:t>By:</w:t>
            </w:r>
          </w:p>
        </w:tc>
        <w:tc>
          <w:tcPr>
            <w:tcW w:w="5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/s/ Carrie Eglinton Manner</w:t>
            </w:r>
          </w:p>
        </w:tc>
      </w:tr>
      <w:tr>
        <w:trPr>
          <w:trHeight w:val="22"/>
        </w:trPr>
        <w:tc>
          <w:tcPr>
            <w:tcW w:w="30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r>
      <w:tr>
        <w:trPr>
          <w:trHeight w:val="181"/>
        </w:trPr>
        <w:tc>
          <w:tcPr>
            <w:tcW w:w="3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Carrie Eglinton Manner</w:t>
            </w:r>
          </w:p>
        </w:tc>
      </w:tr>
      <w:tr>
        <w:trPr>
          <w:trHeight w:val="212"/>
        </w:trPr>
        <w:tc>
          <w:tcPr>
            <w:tcW w:w="30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bl>
    <w:p>
      <w:pPr>
        <w:sectPr>
          <w:pgSz w:w="11900" w:h="16838" w:orient="portrait"/>
          <w:cols w:equalWidth="0" w:num="1">
            <w:col w:w="11280"/>
          </w:cols>
          <w:pgMar w:left="300" w:top="929" w:right="3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2026-06-03T15:45:44Z</dcterms:created>
  <dcterms:modified xsi:type="dcterms:W3CDTF">2026-06-03T15:45:44Z</dcterms:modified>
</cp:coreProperties>
</file>