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filed with the Securities and Exchange Commission on August 7, 2026</w:t>
      </w:r>
    </w:p>
    <w:p>
      <w:pPr>
        <w:pStyle w:val="TextBody"/>
        <w:bidi w:val="0"/>
        <w:spacing w:before="0" w:after="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Registration No. 333-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S-8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REGISTRATION STATEMENT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UNDER </w:t>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 xml:space="preserve">THE SECURITIES ACT OF 1933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ORASURE TECHNOLOGIES,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737" w:type="dxa"/>
        <w:jc w:val="left"/>
        <w:tblInd w:w="0" w:type="dxa"/>
        <w:tblLayout w:type="fixed"/>
        <w:tblCellMar>
          <w:top w:w="28" w:type="dxa"/>
          <w:left w:w="28" w:type="dxa"/>
          <w:bottom w:w="28" w:type="dxa"/>
          <w:right w:w="28" w:type="dxa"/>
        </w:tblCellMar>
      </w:tblPr>
      <w:tblGrid>
        <w:gridCol w:w="1193"/>
        <w:gridCol w:w="1046"/>
        <w:gridCol w:w="1060"/>
        <w:gridCol w:w="133"/>
        <w:gridCol w:w="133"/>
        <w:gridCol w:w="133"/>
        <w:gridCol w:w="133"/>
        <w:gridCol w:w="133"/>
        <w:gridCol w:w="133"/>
        <w:gridCol w:w="479"/>
        <w:gridCol w:w="479"/>
        <w:gridCol w:w="682"/>
      </w:tblGrid>
      <w:tr>
        <w:trPr/>
        <w:tc>
          <w:tcPr>
            <w:tcW w:w="119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Delaware </w:t>
            </w:r>
          </w:p>
        </w:tc>
        <w:tc>
          <w:tcPr>
            <w:tcW w:w="7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36-4370966</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5"/>
              </w:rPr>
              <w:t>(</w:t>
            </w:r>
            <w:r>
              <w:rPr>
                <w:rFonts w:ascii="Times New Roman;serif" w:hAnsi="Times New Roman;serif"/>
                <w:b/>
                <w:color w:val="000000"/>
                <w:sz w:val="16"/>
              </w:rPr>
              <w:t>State or other jurisdiction of</w:t>
            </w:r>
          </w:p>
          <w:p>
            <w:pPr>
              <w:pStyle w:val="TableContents"/>
              <w:bidi w:val="0"/>
              <w:spacing w:lineRule="auto" w:line="288" w:before="0" w:after="0"/>
              <w:jc w:val="center"/>
              <w:rPr/>
            </w:pPr>
            <w:r>
              <w:rPr>
                <w:rFonts w:ascii="Times New Roman;serif" w:hAnsi="Times New Roman;serif"/>
                <w:b/>
                <w:color w:val="000000"/>
                <w:sz w:val="16"/>
              </w:rPr>
              <w:t>incorporation or organization</w:t>
            </w:r>
            <w:r>
              <w:rPr>
                <w:rFonts w:ascii="Times New Roman;serif" w:hAnsi="Times New Roman;serif"/>
                <w:b/>
                <w:color w:val="000000"/>
                <w:sz w:val="15"/>
              </w:rPr>
              <w:t>)</w:t>
            </w:r>
          </w:p>
        </w:tc>
        <w:tc>
          <w:tcPr>
            <w:tcW w:w="7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Identification No.)</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220 East First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Bethlehem, Pennsylvania</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18015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r>
        <w:trPr/>
        <w:tc>
          <w:tcPr>
            <w:tcW w:w="573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ORASURE TECHNOLOGIES, INC. 2000 STOCK AWARD PLAN</w:t>
            </w:r>
          </w:p>
        </w:tc>
      </w:tr>
      <w:tr>
        <w:trPr/>
        <w:tc>
          <w:tcPr>
            <w:tcW w:w="573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(Full Title of the Plan)</w:t>
            </w:r>
          </w:p>
        </w:tc>
      </w:tr>
    </w:tbl>
    <w:p>
      <w:pPr>
        <w:pStyle w:val="TextBody"/>
        <w:bidi w:val="0"/>
        <w:spacing w:before="0" w:after="0"/>
        <w:jc w:val="left"/>
        <w:rPr/>
      </w:pPr>
      <w:r>
        <w:rPr/>
      </w:r>
    </w:p>
    <w:tbl>
      <w:tblPr>
        <w:tblW w:w="4844" w:type="dxa"/>
        <w:jc w:val="left"/>
        <w:tblInd w:w="0" w:type="dxa"/>
        <w:tblLayout w:type="fixed"/>
        <w:tblCellMar>
          <w:top w:w="28" w:type="dxa"/>
          <w:left w:w="28" w:type="dxa"/>
          <w:bottom w:w="28" w:type="dxa"/>
          <w:right w:w="28" w:type="dxa"/>
        </w:tblCellMar>
      </w:tblPr>
      <w:tblGrid>
        <w:gridCol w:w="1548"/>
        <w:gridCol w:w="1360"/>
        <w:gridCol w:w="1936"/>
      </w:tblGrid>
      <w:tr>
        <w:trPr/>
        <w:tc>
          <w:tcPr>
            <w:tcW w:w="1548"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Carrie Eglinton Manner </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President and Chief Executive Officer</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OraSure Technologies, Inc. </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220 East First Street </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Bethlehem, Pennsylvania 18015 </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(Name and address of agent for service) </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(610) 882-1820</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(Telephone number, including area code, of agent for service)</w:t>
            </w:r>
          </w:p>
        </w:tc>
      </w:tr>
      <w:tr>
        <w:trPr/>
        <w:tc>
          <w:tcPr>
            <w:tcW w:w="4844"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i/>
                <w:color w:val="000000"/>
                <w:sz w:val="18"/>
              </w:rPr>
            </w:pPr>
            <w:r>
              <w:rPr>
                <w:rFonts w:ascii="Times New Roman;serif" w:hAnsi="Times New Roman;serif"/>
                <w:b/>
                <w:i/>
                <w:color w:val="000000"/>
                <w:sz w:val="18"/>
              </w:rPr>
              <w:t>with a copy to:</w:t>
            </w:r>
          </w:p>
          <w:p>
            <w:pPr>
              <w:pStyle w:val="TableContents"/>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Rachael M. Bushey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Justin Platt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Goodwin Procter LLP</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3025 John F. Kennedy Boulevard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8th Floor</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Philadelphia, PA 19104</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(445) 207-7806</w:t>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w:t>
      </w:r>
      <w:r>
        <w:rPr>
          <w:rFonts w:ascii="Times New Roman;serif" w:hAnsi="Times New Roman;serif"/>
          <w:b w:val="false"/>
          <w:color w:val="000000"/>
          <w:sz w:val="20"/>
        </w:rPr>
        <w:t>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40" w:before="0" w:after="0"/>
        <w:jc w:val="left"/>
        <w:rPr/>
      </w:pPr>
      <w:r>
        <w:rPr>
          <w:rFonts w:ascii="Times New Roman;serif" w:hAnsi="Times New Roman;serif"/>
          <w:b w:val="false"/>
          <w:color w:val="000000"/>
          <w:sz w:val="20"/>
        </w:rPr>
        <w:t>This</w:t>
      </w:r>
      <w:r>
        <w:rPr>
          <w:color w:val="000000"/>
          <w:shd w:fill="FFFFFF" w:val="clear"/>
        </w:rPr>
        <w:t xml:space="preserve"> </w:t>
      </w:r>
      <w:r>
        <w:rPr>
          <w:rFonts w:ascii="Times New Roman;serif" w:hAnsi="Times New Roman;serif"/>
          <w:b w:val="false"/>
          <w:color w:val="000000"/>
          <w:sz w:val="20"/>
          <w:shd w:fill="FFFFFF" w:val="clear"/>
        </w:rPr>
        <w:t>Registration Statement on Form S-8 for OraSure Technologies, Inc. (the “</w:t>
      </w:r>
      <w:r>
        <w:rPr>
          <w:rFonts w:ascii="Times New Roman;serif" w:hAnsi="Times New Roman;serif"/>
          <w:b w:val="false"/>
          <w:color w:val="000000"/>
          <w:sz w:val="20"/>
          <w:u w:val="single"/>
        </w:rPr>
        <w:t>Registrant</w:t>
      </w:r>
      <w:r>
        <w:rPr>
          <w:color w:val="000000"/>
          <w:shd w:fill="FFFFFF" w:val="clear"/>
        </w:rPr>
        <w:t>”</w:t>
      </w:r>
      <w:r>
        <w:rPr>
          <w:rFonts w:ascii="Times New Roman;serif" w:hAnsi="Times New Roman;serif"/>
          <w:b w:val="false"/>
          <w:color w:val="000000"/>
          <w:sz w:val="20"/>
          <w:shd w:fill="FFFFFF" w:val="clear"/>
        </w:rPr>
        <w:t>) is filed solely to reflect an increase of 5,000,000 shares of the Registrant’s common stock, par value $0.000001 per share (the “</w:t>
      </w:r>
      <w:r>
        <w:rPr>
          <w:rFonts w:ascii="Times New Roman;serif" w:hAnsi="Times New Roman;serif"/>
          <w:b w:val="false"/>
          <w:color w:val="000000"/>
          <w:sz w:val="20"/>
          <w:u w:val="single"/>
        </w:rPr>
        <w:t>Common Stock</w:t>
      </w:r>
      <w:r>
        <w:rPr>
          <w:color w:val="000000"/>
          <w:shd w:fill="FFFFFF" w:val="clear"/>
        </w:rPr>
        <w:t>”</w:t>
      </w:r>
      <w:r>
        <w:rPr>
          <w:rFonts w:ascii="Times New Roman;serif" w:hAnsi="Times New Roman;serif"/>
          <w:b w:val="false"/>
          <w:color w:val="000000"/>
          <w:sz w:val="20"/>
          <w:shd w:fill="FFFFFF" w:val="clear"/>
        </w:rPr>
        <w:t>), reserved for the OraSure Technologies, Inc. 2000 Stock Award Plan, as amended and restated effective as of April 20, 2026 (the “</w:t>
      </w:r>
      <w:r>
        <w:rPr>
          <w:rFonts w:ascii="Times New Roman;serif" w:hAnsi="Times New Roman;serif"/>
          <w:b w:val="false"/>
          <w:color w:val="000000"/>
          <w:sz w:val="20"/>
          <w:u w:val="single"/>
        </w:rPr>
        <w:t>Plan</w:t>
      </w:r>
      <w:r>
        <w:rPr>
          <w:color w:val="000000"/>
          <w:shd w:fill="FFFFFF" w:val="clear"/>
        </w:rPr>
        <w:t>”</w:t>
      </w:r>
      <w:r>
        <w:rPr>
          <w:rFonts w:ascii="Times New Roman;serif" w:hAnsi="Times New Roman;serif"/>
          <w:b w:val="false"/>
          <w:color w:val="000000"/>
          <w:sz w:val="20"/>
          <w:shd w:fill="FFFFFF" w:val="clear"/>
        </w:rPr>
        <w:t>). Currently, 19,168,183 shares of Common Stock are registered for issuance under the Plan. Upon the increase of shares as provided in this filing, 24,168,183 shares of Common Stock will be registered f</w:t>
      </w:r>
      <w:r>
        <w:rPr>
          <w:rFonts w:ascii="Times New Roman;serif" w:hAnsi="Times New Roman;serif"/>
          <w:b w:val="false"/>
          <w:color w:val="000000"/>
          <w:sz w:val="20"/>
        </w:rPr>
        <w:t xml:space="preserve">or issuance under the Plan. Except as noted below, in accordance with General Instruction E to Form S-8, the contents of </w:t>
      </w:r>
      <w:hyperlink r:id="rId2">
        <w:r>
          <w:rPr>
            <w:rStyle w:val="InternetLink"/>
            <w:rFonts w:ascii="Times New Roman;serif" w:hAnsi="Times New Roman;serif"/>
            <w:b w:val="false"/>
            <w:color w:val="0000FF"/>
            <w:sz w:val="20"/>
            <w:u w:val="single"/>
          </w:rPr>
          <w:t>Registration Statement No. 333-50340 filed November 20, 2000</w:t>
        </w:r>
      </w:hyperlink>
      <w:r>
        <w:rPr>
          <w:rFonts w:ascii="Times New Roman;serif" w:hAnsi="Times New Roman;serif"/>
          <w:b w:val="false"/>
          <w:color w:val="000000"/>
          <w:sz w:val="20"/>
        </w:rPr>
        <w:t xml:space="preserve">, the </w:t>
      </w:r>
      <w:hyperlink r:id="rId3">
        <w:r>
          <w:rPr>
            <w:rStyle w:val="InternetLink"/>
            <w:rFonts w:ascii="Times New Roman;serif" w:hAnsi="Times New Roman;serif"/>
            <w:b w:val="false"/>
            <w:color w:val="0000FF"/>
            <w:sz w:val="20"/>
            <w:u w:val="single"/>
          </w:rPr>
          <w:t>Post Effective Amendments thereto filed on June 27, 2001</w:t>
        </w:r>
      </w:hyperlink>
      <w:r>
        <w:rPr>
          <w:color w:val="000000"/>
        </w:rPr>
        <w:t xml:space="preserve"> </w:t>
      </w:r>
      <w:r>
        <w:rPr>
          <w:rFonts w:ascii="Times New Roman;serif" w:hAnsi="Times New Roman;serif"/>
          <w:b w:val="false"/>
          <w:color w:val="000000"/>
          <w:sz w:val="20"/>
        </w:rPr>
        <w:t xml:space="preserve">and </w:t>
      </w:r>
      <w:hyperlink r:id="rId4">
        <w:r>
          <w:rPr>
            <w:rStyle w:val="InternetLink"/>
            <w:rFonts w:ascii="Times New Roman;serif" w:hAnsi="Times New Roman;serif"/>
            <w:b w:val="false"/>
            <w:color w:val="0000FF"/>
            <w:sz w:val="20"/>
            <w:u w:val="single"/>
          </w:rPr>
          <w:t>February 14, 2002</w:t>
        </w:r>
      </w:hyperlink>
      <w:r>
        <w:rPr>
          <w:rFonts w:ascii="Times New Roman;serif" w:hAnsi="Times New Roman;serif"/>
          <w:b w:val="false"/>
          <w:color w:val="000000"/>
          <w:sz w:val="20"/>
        </w:rPr>
        <w:t xml:space="preserve">, </w:t>
      </w:r>
      <w:hyperlink r:id="rId5">
        <w:r>
          <w:rPr>
            <w:rStyle w:val="InternetLink"/>
            <w:rFonts w:ascii="Times New Roman;serif" w:hAnsi="Times New Roman;serif"/>
            <w:b w:val="false"/>
            <w:color w:val="0000FF"/>
            <w:sz w:val="20"/>
            <w:u w:val="single"/>
          </w:rPr>
          <w:t>Registration Statement No. 333-102235 filed December 27, 2002</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000FF"/>
            <w:sz w:val="20"/>
            <w:u w:val="single"/>
          </w:rPr>
          <w:t>Registration Statement No. 333-118385 filed August 20, 2004</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Registration Statement No. 333-138814 filed November 17, 2006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Registration Statement No. 333-151077 filed May 21, 2008</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Registration Statement No. 333-176315 filed August 15, 2011</w:t>
        </w:r>
      </w:hyperlink>
      <w:r>
        <w:rPr>
          <w:rFonts w:ascii="Times New Roman;serif" w:hAnsi="Times New Roman;serif"/>
          <w:b w:val="false"/>
          <w:color w:val="000000"/>
          <w:sz w:val="20"/>
        </w:rPr>
        <w:t xml:space="preserve">, </w:t>
      </w:r>
      <w:hyperlink r:id="rId10">
        <w:r>
          <w:rPr>
            <w:rStyle w:val="InternetLink"/>
            <w:rFonts w:ascii="Times New Roman;serif" w:hAnsi="Times New Roman;serif"/>
            <w:b w:val="false"/>
            <w:color w:val="0000FF"/>
            <w:sz w:val="20"/>
            <w:u w:val="single"/>
          </w:rPr>
          <w:t>Registration Statement No. 333-198237 filed August 19, 2014</w:t>
        </w:r>
      </w:hyperlink>
      <w:r>
        <w:rPr>
          <w:rFonts w:ascii="Times New Roman;serif" w:hAnsi="Times New Roman;serif"/>
          <w:b w:val="false"/>
          <w:color w:val="000000"/>
          <w:sz w:val="20"/>
        </w:rPr>
        <w:t xml:space="preserve">, </w:t>
      </w:r>
      <w:hyperlink r:id="rId11">
        <w:r>
          <w:rPr>
            <w:rStyle w:val="InternetLink"/>
            <w:rFonts w:ascii="Times New Roman;serif" w:hAnsi="Times New Roman;serif"/>
            <w:b w:val="false"/>
            <w:color w:val="0000FF"/>
            <w:sz w:val="20"/>
            <w:u w:val="single"/>
          </w:rPr>
          <w:t>Registration Statement No. 333-220148 filed August 24, 2017</w:t>
        </w:r>
      </w:hyperlink>
      <w:r>
        <w:rPr>
          <w:rFonts w:ascii="Times New Roman;serif" w:hAnsi="Times New Roman;serif"/>
          <w:b w:val="false"/>
          <w:color w:val="000000"/>
          <w:sz w:val="20"/>
        </w:rPr>
        <w:t xml:space="preserve">, </w:t>
      </w:r>
      <w:hyperlink r:id="rId12">
        <w:r>
          <w:rPr>
            <w:rStyle w:val="InternetLink"/>
            <w:rFonts w:ascii="Times New Roman;serif" w:hAnsi="Times New Roman;serif"/>
            <w:b w:val="false"/>
            <w:color w:val="0000FF"/>
            <w:sz w:val="20"/>
            <w:u w:val="single"/>
          </w:rPr>
          <w:t>Registration Statement No. 333-248424 filed on August 26, 2020</w:t>
        </w:r>
      </w:hyperlink>
      <w:r>
        <w:rPr>
          <w:rFonts w:ascii="Times New Roman;serif" w:hAnsi="Times New Roman;serif"/>
          <w:b w:val="false"/>
          <w:color w:val="000000"/>
          <w:sz w:val="20"/>
        </w:rPr>
        <w:t>, </w:t>
      </w:r>
      <w:hyperlink r:id="rId13">
        <w:r>
          <w:rPr>
            <w:rStyle w:val="InternetLink"/>
            <w:rFonts w:ascii="Times New Roman;serif" w:hAnsi="Times New Roman;serif"/>
            <w:b w:val="false"/>
            <w:color w:val="0000FF"/>
            <w:sz w:val="20"/>
            <w:u w:val="single"/>
          </w:rPr>
          <w:t>Registration Statement No. 333-270861 filed on March 27, 2023</w:t>
        </w:r>
      </w:hyperlink>
      <w:r>
        <w:rPr>
          <w:rFonts w:ascii="Times New Roman;serif" w:hAnsi="Times New Roman;serif"/>
          <w:b w:val="false"/>
          <w:color w:val="000000"/>
          <w:sz w:val="20"/>
        </w:rPr>
        <w:t xml:space="preserve">, </w:t>
      </w:r>
      <w:hyperlink r:id="rId14">
        <w:r>
          <w:rPr>
            <w:rStyle w:val="InternetLink"/>
            <w:rFonts w:ascii="Times New Roman;serif" w:hAnsi="Times New Roman;serif"/>
            <w:b w:val="false"/>
            <w:color w:val="0000FF"/>
            <w:sz w:val="20"/>
            <w:u w:val="single"/>
          </w:rPr>
          <w:t>Registration Statement No. 333-273731 filed on August 4, 2023</w:t>
        </w:r>
      </w:hyperlink>
      <w:r>
        <w:rPr>
          <w:rFonts w:ascii="Times New Roman;serif" w:hAnsi="Times New Roman;serif"/>
          <w:b w:val="false"/>
          <w:color w:val="0563C1"/>
          <w:sz w:val="20"/>
        </w:rPr>
        <w:t>,</w:t>
      </w:r>
      <w:r>
        <w:rPr>
          <w:color w:val="000000"/>
          <w:shd w:fill="FFFFFF" w:val="clear"/>
        </w:rPr>
        <w:t xml:space="preserve"> </w:t>
      </w:r>
      <w:hyperlink r:id="rId15">
        <w:r>
          <w:rPr>
            <w:rStyle w:val="InternetLink"/>
            <w:rFonts w:ascii="Times New Roman;serif" w:hAnsi="Times New Roman;serif"/>
            <w:b w:val="false"/>
            <w:color w:val="0000FF"/>
            <w:sz w:val="20"/>
            <w:u w:val="single"/>
            <w:shd w:fill="FFFFFF" w:val="clear"/>
          </w:rPr>
          <w:t>Registration Statement No. 333-281500 filed on August 12, 2024</w:t>
        </w:r>
      </w:hyperlink>
      <w:r>
        <w:rPr>
          <w:rFonts w:ascii="Times New Roman;serif" w:hAnsi="Times New Roman;serif"/>
          <w:b w:val="false"/>
          <w:color w:val="000000"/>
          <w:sz w:val="20"/>
          <w:shd w:fill="FFFFFF" w:val="clear"/>
        </w:rPr>
        <w:t xml:space="preserve">, and </w:t>
      </w:r>
      <w:hyperlink r:id="rId16">
        <w:r>
          <w:rPr>
            <w:rStyle w:val="InternetLink"/>
            <w:rFonts w:ascii="Times New Roman;serif" w:hAnsi="Times New Roman;serif"/>
            <w:b w:val="false"/>
            <w:color w:val="0000FF"/>
            <w:sz w:val="20"/>
            <w:u w:val="single"/>
            <w:shd w:fill="FFFFFF" w:val="clear"/>
          </w:rPr>
          <w:t>Registration Statement No. 333-287450 filed on May 20, 2025</w:t>
        </w:r>
      </w:hyperlink>
      <w:r>
        <w:rPr>
          <w:color w:val="000000"/>
          <w:shd w:fill="FFFFFF" w:val="clear"/>
        </w:rPr>
        <w:t xml:space="preserve"> </w:t>
      </w:r>
      <w:r>
        <w:rPr>
          <w:rFonts w:ascii="Times New Roman;serif" w:hAnsi="Times New Roman;serif"/>
          <w:b w:val="false"/>
          <w:color w:val="000000"/>
          <w:sz w:val="20"/>
          <w:shd w:fill="FFFFFF" w:val="clear"/>
        </w:rPr>
        <w:t>are incorporated herein by reference.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345"/>
        <w:jc w:val="both"/>
        <w:rPr/>
      </w:pPr>
      <w:r>
        <w:rPr>
          <w:rFonts w:ascii="Times New Roman;serif" w:hAnsi="Times New Roman;serif"/>
          <w:b w:val="false"/>
          <w:color w:val="000000"/>
          <w:sz w:val="20"/>
        </w:rPr>
        <w:t>The information called for in Part I of Form S-8 is not being filed with or included in this Registration Statement (by incorporation by reference or otherwise) in accordance with the rules and regulations of the Securities and Exchange Commission (the “</w:t>
      </w:r>
      <w:r>
        <w:rPr>
          <w:rFonts w:ascii="Times New Roman;serif" w:hAnsi="Times New Roman;serif"/>
          <w:b w:val="false"/>
          <w:color w:val="000000"/>
          <w:sz w:val="20"/>
          <w:u w:val="single"/>
        </w:rPr>
        <w:t>Commission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tbl>
      <w:tblPr>
        <w:tblW w:w="47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398"/>
        <w:gridCol w:w="398"/>
        <w:gridCol w:w="398"/>
        <w:gridCol w:w="398"/>
        <w:gridCol w:w="398"/>
        <w:gridCol w:w="398"/>
        <w:gridCol w:w="398"/>
        <w:gridCol w:w="398"/>
        <w:gridCol w:w="5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76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Incorporation of Documents by Reference. </w:t>
            </w:r>
          </w:p>
        </w:tc>
      </w:tr>
    </w:tbl>
    <w:p>
      <w:pPr>
        <w:pStyle w:val="TextBody"/>
        <w:bidi w:val="0"/>
        <w:spacing w:lineRule="auto" w:line="288" w:before="0" w:after="0"/>
        <w:ind w:left="0" w:right="0" w:firstLine="345"/>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of the Registrant, filed or to be filed with the Commission are incorporated by reference in this Registration Statement as of their respective dates: </w:t>
      </w:r>
    </w:p>
    <w:p>
      <w:pPr>
        <w:pStyle w:val="TextBody"/>
        <w:bidi w:val="0"/>
        <w:spacing w:before="0" w:after="0"/>
        <w:ind w:left="0" w:right="0" w:firstLine="345"/>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hyperlink r:id="rId17">
        <w:r>
          <w:rPr>
            <w:rStyle w:val="InternetLink"/>
          </w:rPr>
          <w:t xml:space="preserve">The Registrant’s Annual Report on Form 10-K for the fiscal year ended December 31, 2025, filed with the </w:t>
        </w:r>
      </w:hyperlink>
      <w:hyperlink r:id="rId18">
        <w:r>
          <w:rPr>
            <w:rStyle w:val="InternetLink"/>
          </w:rPr>
          <w:t xml:space="preserve">Commission </w:t>
        </w:r>
      </w:hyperlink>
      <w:hyperlink r:id="rId19">
        <w:r>
          <w:rPr>
            <w:rStyle w:val="InternetLink"/>
          </w:rPr>
          <w:t>on March 9, 2026</w:t>
        </w:r>
      </w:hyperlink>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(b)     </w:t>
      </w:r>
      <w:hyperlink r:id="rId20">
        <w:r>
          <w:rPr>
            <w:rStyle w:val="InternetLink"/>
            <w:rFonts w:ascii="Times New Roman;serif" w:hAnsi="Times New Roman;serif"/>
            <w:b w:val="false"/>
            <w:color w:val="0000FF"/>
            <w:sz w:val="20"/>
            <w:u w:val="single"/>
          </w:rPr>
          <w:t>The Registrant’s Quarterly Report on Form 10-Q for the quarter ended March 31, 2026, filed with the Commission on May 8, 2026</w:t>
        </w:r>
      </w:hyperlink>
      <w:r>
        <w:rPr>
          <w:rFonts w:ascii="Times New Roman;serif" w:hAnsi="Times New Roman;serif"/>
          <w:b w:val="false"/>
          <w:color w:val="000000"/>
          <w:sz w:val="20"/>
        </w:rPr>
        <w:t xml:space="preserve">, and for the </w:t>
      </w:r>
      <w:hyperlink r:id="rId21">
        <w:r>
          <w:rPr>
            <w:rStyle w:val="InternetLink"/>
          </w:rPr>
          <w:t>quarter ended June 30, 202</w:t>
        </w:r>
      </w:hyperlink>
      <w:hyperlink r:id="rId22">
        <w:r>
          <w:rPr>
            <w:rStyle w:val="InternetLink"/>
          </w:rPr>
          <w:t>6</w:t>
        </w:r>
      </w:hyperlink>
      <w:hyperlink r:id="rId23">
        <w:r>
          <w:rPr>
            <w:rStyle w:val="InternetLink"/>
          </w:rPr>
          <w:t xml:space="preserve"> filed with the Commission on August </w:t>
        </w:r>
      </w:hyperlink>
      <w:hyperlink r:id="rId24">
        <w:r>
          <w:rPr>
            <w:rStyle w:val="InternetLink"/>
          </w:rPr>
          <w:t>7</w:t>
        </w:r>
      </w:hyperlink>
      <w:hyperlink r:id="rId25">
        <w:r>
          <w:rPr>
            <w:rStyle w:val="InternetLink"/>
          </w:rPr>
          <w:t>, 2026</w:t>
        </w:r>
      </w:hyperlink>
      <w:r>
        <w:rPr>
          <w:rFonts w:ascii="Times New Roman;serif" w:hAnsi="Times New Roman;serif"/>
          <w:b w:val="false"/>
          <w:color w:val="000000"/>
          <w:sz w:val="20"/>
        </w:rPr>
        <w:t>;</w:t>
      </w:r>
    </w:p>
    <w:p>
      <w:pPr>
        <w:pStyle w:val="TextBody"/>
        <w:bidi w:val="0"/>
        <w:spacing w:before="0" w:after="0"/>
        <w:ind w:left="0" w:right="0" w:hanging="360"/>
        <w:jc w:val="both"/>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(c)     </w:t>
      </w:r>
      <w:hyperlink r:id="rId26">
        <w:r>
          <w:rPr>
            <w:rStyle w:val="InternetLink"/>
          </w:rPr>
          <w:t xml:space="preserve">The information in the Definitive Proxy Statement on Schedule 14A for the Registrant’s Annual Meeting of Stockholders filed with the </w:t>
        </w:r>
      </w:hyperlink>
      <w:hyperlink r:id="rId27">
        <w:r>
          <w:rPr>
            <w:rStyle w:val="InternetLink"/>
          </w:rPr>
          <w:t>Commission</w:t>
        </w:r>
      </w:hyperlink>
      <w:hyperlink r:id="rId28">
        <w:r>
          <w:rPr>
            <w:rStyle w:val="InternetLink"/>
          </w:rPr>
          <w:t xml:space="preserve"> on April 30, 2026</w:t>
        </w:r>
      </w:hyperlink>
      <w:r>
        <w:rPr>
          <w:color w:val="000000"/>
        </w:rPr>
        <w:t xml:space="preserve"> </w:t>
      </w:r>
      <w:r>
        <w:rPr>
          <w:rFonts w:ascii="Times New Roman;serif" w:hAnsi="Times New Roman;serif"/>
          <w:b w:val="false"/>
          <w:color w:val="000000"/>
          <w:sz w:val="20"/>
        </w:rPr>
        <w:t xml:space="preserve">to the extent incorporated by reference in Part III of the Registrant’s </w:t>
      </w:r>
      <w:hyperlink r:id="rId29">
        <w:r>
          <w:rPr>
            <w:rStyle w:val="InternetLink"/>
            <w:rFonts w:ascii="Times New Roman;serif" w:hAnsi="Times New Roman;serif"/>
            <w:b w:val="false"/>
            <w:color w:val="0000FF"/>
            <w:sz w:val="20"/>
            <w:u w:val="single"/>
          </w:rPr>
          <w:t>Annual Report on Form 10-K for the fiscal year ended December 31, 2025</w:t>
        </w:r>
      </w:hyperlink>
      <w:r>
        <w:rPr>
          <w:rFonts w:ascii="Times New Roman;serif" w:hAnsi="Times New Roman;serif"/>
          <w:b w:val="false"/>
          <w:color w:val="000000"/>
          <w:sz w:val="24"/>
        </w:rPr>
        <w:t>;</w:t>
      </w:r>
    </w:p>
    <w:p>
      <w:pPr>
        <w:pStyle w:val="TextBody"/>
        <w:bidi w:val="0"/>
        <w:spacing w:before="0" w:after="0"/>
        <w:ind w:left="0" w:right="0" w:hanging="360"/>
        <w:jc w:val="both"/>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The Registrant’s Current Reports on Form 8-K (other than portions thereof furnished under Item 2.02 or Item 7.01 of Form 8-K and exhibits accompanying such reports that are related to such items), filed         </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with the Commission on </w:t>
      </w:r>
      <w:hyperlink r:id="rId30">
        <w:r>
          <w:rPr>
            <w:rStyle w:val="InternetLink"/>
            <w:rFonts w:ascii="Times New Roman;serif" w:hAnsi="Times New Roman;serif"/>
            <w:b w:val="false"/>
            <w:color w:val="0000FF"/>
            <w:sz w:val="20"/>
            <w:u w:val="single"/>
          </w:rPr>
          <w:t>January 5, 2026</w:t>
        </w:r>
      </w:hyperlink>
      <w:r>
        <w:rPr>
          <w:rFonts w:ascii="Times New Roman;serif" w:hAnsi="Times New Roman;serif"/>
          <w:b w:val="false"/>
          <w:color w:val="000000"/>
          <w:sz w:val="20"/>
        </w:rPr>
        <w:t xml:space="preserve">, </w:t>
      </w:r>
      <w:hyperlink r:id="rId31">
        <w:r>
          <w:rPr>
            <w:rStyle w:val="InternetLink"/>
            <w:rFonts w:ascii="Times New Roman;serif" w:hAnsi="Times New Roman;serif"/>
            <w:b w:val="false"/>
            <w:color w:val="0000FF"/>
            <w:sz w:val="20"/>
            <w:u w:val="single"/>
          </w:rPr>
          <w:t>March 5, 2026</w:t>
        </w:r>
      </w:hyperlink>
      <w:r>
        <w:rPr>
          <w:rFonts w:ascii="Times New Roman;serif" w:hAnsi="Times New Roman;serif"/>
          <w:b w:val="false"/>
          <w:color w:val="000000"/>
          <w:sz w:val="20"/>
        </w:rPr>
        <w:t xml:space="preserve">, </w:t>
      </w:r>
      <w:hyperlink r:id="rId32">
        <w:r>
          <w:rPr>
            <w:rStyle w:val="InternetLink"/>
            <w:rFonts w:ascii="Times New Roman;serif" w:hAnsi="Times New Roman;serif"/>
            <w:b w:val="false"/>
            <w:color w:val="0000FF"/>
            <w:sz w:val="20"/>
            <w:u w:val="single"/>
          </w:rPr>
          <w:t>April 17, 2026</w:t>
        </w:r>
      </w:hyperlink>
      <w:r>
        <w:rPr>
          <w:rFonts w:ascii="Times New Roman;serif" w:hAnsi="Times New Roman;serif"/>
          <w:b w:val="false"/>
          <w:color w:val="000000"/>
          <w:sz w:val="20"/>
        </w:rPr>
        <w:t xml:space="preserve">, </w:t>
      </w:r>
      <w:hyperlink r:id="rId33">
        <w:r>
          <w:rPr>
            <w:rStyle w:val="InternetLink"/>
            <w:rFonts w:ascii="Times New Roman;serif" w:hAnsi="Times New Roman;serif"/>
            <w:b w:val="false"/>
            <w:color w:val="0000FF"/>
            <w:sz w:val="20"/>
            <w:u w:val="single"/>
          </w:rPr>
          <w:t>June 3, 2026</w:t>
        </w:r>
      </w:hyperlink>
      <w:r>
        <w:rPr>
          <w:color w:val="000000"/>
        </w:rPr>
        <w:t xml:space="preserve"> </w:t>
      </w:r>
      <w:r>
        <w:rPr>
          <w:rFonts w:ascii="Times New Roman;serif" w:hAnsi="Times New Roman;serif"/>
          <w:b w:val="false"/>
          <w:color w:val="000000"/>
          <w:sz w:val="20"/>
        </w:rPr>
        <w:t xml:space="preserve">and </w:t>
      </w:r>
      <w:hyperlink r:id="rId34">
        <w:r>
          <w:rPr>
            <w:rStyle w:val="InternetLink"/>
            <w:rFonts w:ascii="Times New Roman;serif" w:hAnsi="Times New Roman;serif"/>
            <w:b w:val="false"/>
            <w:color w:val="0000FF"/>
            <w:sz w:val="20"/>
            <w:u w:val="single"/>
          </w:rPr>
          <w:t>June 11, 2026</w:t>
        </w:r>
      </w:hyperlink>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0"/>
        </w:rPr>
        <w:t xml:space="preserve">(e)    The description of the Registrant’s common stock contained in the Registrant’s Registration Statement on Form 8-A12B (File No. 001-16537) as filed with the Commission on June 11, 2001, including any amendments or reports filed for the purpose of updating such description, including as set forth in Exhibit </w:t>
      </w:r>
      <w:hyperlink r:id="rId35">
        <w:r>
          <w:rPr>
            <w:rStyle w:val="InternetLink"/>
            <w:rFonts w:ascii="Times New Roman;serif" w:hAnsi="Times New Roman;serif"/>
            <w:b w:val="false"/>
            <w:color w:val="0000FF"/>
            <w:sz w:val="20"/>
            <w:u w:val="single"/>
          </w:rPr>
          <w:t>4.1</w:t>
        </w:r>
      </w:hyperlink>
      <w:r>
        <w:rPr>
          <w:color w:val="000000"/>
        </w:rPr>
        <w:t xml:space="preserve"> </w:t>
      </w:r>
      <w:r>
        <w:rPr>
          <w:rFonts w:ascii="Times New Roman;serif" w:hAnsi="Times New Roman;serif"/>
          <w:b w:val="false"/>
          <w:color w:val="000000"/>
          <w:sz w:val="20"/>
        </w:rPr>
        <w:t xml:space="preserve">to the </w:t>
      </w:r>
      <w:hyperlink r:id="rId36">
        <w:r>
          <w:rPr>
            <w:rStyle w:val="InternetLink"/>
          </w:rPr>
          <w:t>Registrant’s Annual Report on Form 10-K for t</w:t>
        </w:r>
      </w:hyperlink>
      <w:hyperlink r:id="rId37">
        <w:r>
          <w:rPr>
            <w:rStyle w:val="InternetLink"/>
          </w:rPr>
          <w:t>he fiscal year ended December 31, 202</w:t>
        </w:r>
      </w:hyperlink>
      <w:hyperlink r:id="rId38">
        <w:r>
          <w:rPr>
            <w:rStyle w:val="InternetLink"/>
          </w:rPr>
          <w:t>5</w:t>
        </w:r>
      </w:hyperlink>
      <w:hyperlink r:id="rId39">
        <w:r>
          <w:rPr>
            <w:rStyle w:val="InternetLink"/>
          </w:rPr>
          <w:t xml:space="preserve">, filed with the Commission on </w:t>
        </w:r>
      </w:hyperlink>
      <w:hyperlink r:id="rId40">
        <w:r>
          <w:rPr>
            <w:rStyle w:val="InternetLink"/>
          </w:rPr>
          <w:t>March 9</w:t>
        </w:r>
      </w:hyperlink>
      <w:hyperlink r:id="rId41">
        <w:r>
          <w:rPr>
            <w:rStyle w:val="InternetLink"/>
          </w:rPr>
          <w:t>, 2025</w:t>
        </w:r>
      </w:hyperlink>
      <w:r>
        <w:rPr>
          <w:rFonts w:ascii="Times New Roman;serif" w:hAnsi="Times New Roman;serif"/>
          <w:b w:val="false"/>
          <w:color w:val="000000"/>
          <w:sz w:val="24"/>
        </w:rPr>
        <w:t>; and</w:t>
      </w:r>
    </w:p>
    <w:p>
      <w:pPr>
        <w:pStyle w:val="TextBody"/>
        <w:bidi w:val="0"/>
        <w:spacing w:before="0" w:after="0"/>
        <w:ind w:left="0" w:right="0" w:hanging="360"/>
        <w:jc w:val="both"/>
        <w:rPr/>
      </w:pPr>
      <w:r>
        <w:rPr/>
      </w:r>
    </w:p>
    <w:p>
      <w:pPr>
        <w:pStyle w:val="TextBody"/>
        <w:bidi w:val="0"/>
        <w:spacing w:lineRule="auto" w:line="26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(f)     All documents subsequently filed by the Registrant pursuant to Sections 13(a), 13(c), 14 and 15(d) of the Securities Exchange Act of 1934, as amended, prior to the filing of a post-effective amendment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Registration Statement, which indicates that all securities offered hereby have been sold or which deregisters all securities then remaining unsold, shall be deemed to be incorporated by reference into this Registration Statement; provided, however, that documents, reports and definitive proxy or information statements, or portions thereof, which are furnished and not filed in accordance with the rules of the Commission shall not be deemed incorporated by reference into this Registration Statement. </w:t>
      </w:r>
    </w:p>
    <w:p>
      <w:pPr>
        <w:pStyle w:val="TextBody"/>
        <w:bidi w:val="0"/>
        <w:spacing w:before="0" w:after="0"/>
        <w:ind w:left="0" w:right="0" w:hanging="360"/>
        <w:jc w:val="both"/>
        <w:rPr/>
      </w:pPr>
      <w:r>
        <w:rPr/>
      </w:r>
    </w:p>
    <w:p>
      <w:pPr>
        <w:pStyle w:val="TextBody"/>
        <w:bidi w:val="0"/>
        <w:spacing w:lineRule="auto" w:line="268" w:before="0" w:after="0"/>
        <w:ind w:left="0" w:right="0" w:firstLine="345"/>
        <w:jc w:val="left"/>
        <w:rPr>
          <w:rFonts w:ascii="Times New Roman;serif" w:hAnsi="Times New Roman;serif"/>
          <w:b w:val="false"/>
          <w:color w:val="000000"/>
          <w:sz w:val="20"/>
        </w:rPr>
      </w:pPr>
      <w:r>
        <w:rPr>
          <w:rFonts w:ascii="Times New Roman;serif" w:hAnsi="Times New Roman;serif"/>
          <w:b w:val="false"/>
          <w:color w:val="000000"/>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amended, to constitute a part of this Registration Statement.</w:t>
      </w:r>
    </w:p>
    <w:p>
      <w:pPr>
        <w:pStyle w:val="TextBody"/>
        <w:bidi w:val="0"/>
        <w:spacing w:before="0" w:after="0"/>
        <w:jc w:val="left"/>
        <w:rPr/>
      </w:pPr>
      <w:r>
        <w:rPr/>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102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Exhibits. </w:t>
            </w:r>
          </w:p>
        </w:tc>
      </w:tr>
    </w:tbl>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herewith or incorporated by reference as part of this Registration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8"/>
        <w:gridCol w:w="262"/>
        <w:gridCol w:w="263"/>
        <w:gridCol w:w="127"/>
        <w:gridCol w:w="127"/>
        <w:gridCol w:w="127"/>
        <w:gridCol w:w="2748"/>
        <w:gridCol w:w="2573"/>
        <w:gridCol w:w="3680"/>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8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Certificate of Incorporation of OraSure Technologies, Inc. (incorporated by reference to Exhibit 3.1 to the Registrant’s Registration Statement on Form S-4 (No. 333-39210), filed June 14, 2000)</w:t>
              </w:r>
            </w:hyperlink>
            <w:r>
              <w:rPr>
                <w:rFonts w:ascii="Times New Roman;serif" w:hAnsi="Times New Roman;serif"/>
                <w:b w:val="false"/>
                <w:color w:val="000000"/>
                <w:sz w:val="20"/>
              </w:rPr>
              <w:t>.</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Certificate of Amendment to Certificate of Incorporation dated May 23, 2000 (incorporated by reference to Exhibit 3.1.1 to the Registrant’s Registration Statement on Form S-4 (No. 333-39210), filed June 14, 2000)</w:t>
              </w:r>
            </w:hyperlink>
            <w:r>
              <w:rPr>
                <w:rFonts w:ascii="Times New Roman;serif" w:hAnsi="Times New Roman;serif"/>
                <w:b w:val="false"/>
                <w:color w:val="000000"/>
                <w:sz w:val="20"/>
              </w:rPr>
              <w:t>.</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Certificate of Amendment to Certificate of Incorporation dated May 16, 2024 (incorporated by reference to Exhibit 3.1 to the Registrant’s Current Report on Form 8-K as filed on May 17, 2024).</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Certificate of Amendment to Certificate of Incorporation dated June 3, 2026 (incorporated by reference to Exhibit 3.1 to the Registrant’s Current Report on Form 8-K as filed on June 3, 2026)</w:t>
              </w:r>
            </w:hyperlink>
            <w:r>
              <w:rPr>
                <w:rFonts w:ascii="Times New Roman;serif" w:hAnsi="Times New Roman;serif"/>
                <w:b w:val="false"/>
                <w:color w:val="000000"/>
                <w:sz w:val="20"/>
              </w:rPr>
              <w:t>.</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Third Amended and Restated Bylaws of OraSure Technologies, Inc., effective as of August 5, 2025 (incorporated by reference to Exhibit 3.2 to the Registrant’s Quarterly Report on Form 10-Q as filed on November 5, 2025).</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Specimen certificate representing shares of OraSure Technologies, Inc. $.000001 par value Common Stock is incorporated by reference to Exhibit 4.1 to the Registrant’s Registration Statement on Form S-4 (No. 333-39210).</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exh51opinionforsx81.htm">
              <w:r>
                <w:rPr>
                  <w:rStyle w:val="InternetLink"/>
                  <w:rFonts w:ascii="Times New Roman;serif" w:hAnsi="Times New Roman;serif"/>
                  <w:b w:val="false"/>
                  <w:color w:val="0000FF"/>
                  <w:sz w:val="20"/>
                  <w:u w:val="single"/>
                </w:rPr>
                <w:t>Opinion of Goodwin Procter LLP</w:t>
              </w:r>
            </w:hyperlink>
            <w:r>
              <w:rPr>
                <w:rFonts w:ascii="Times New Roman;serif" w:hAnsi="Times New Roman;serif"/>
                <w:b w:val="false"/>
                <w:color w:val="000000"/>
                <w:sz w:val="20"/>
              </w:rPr>
              <w:t>.</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rasures-8consentgt1.htm">
              <w:r>
                <w:rPr>
                  <w:rStyle w:val="InternetLink"/>
                  <w:rFonts w:ascii="Times New Roman;serif" w:hAnsi="Times New Roman;serif"/>
                  <w:b w:val="false"/>
                  <w:color w:val="0000FF"/>
                  <w:sz w:val="20"/>
                  <w:u w:val="single"/>
                </w:rPr>
                <w:t>Consent of Grant Thornton LLP</w:t>
              </w:r>
            </w:hyperlink>
            <w:r>
              <w:rPr>
                <w:rFonts w:ascii="Times New Roman;serif" w:hAnsi="Times New Roman;serif"/>
                <w:b w:val="false"/>
                <w:color w:val="000000"/>
                <w:sz w:val="20"/>
              </w:rPr>
              <w:t>.</w:t>
            </w:r>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osur-exh51opinionforsx81.htm">
              <w:r>
                <w:rPr>
                  <w:rStyle w:val="InternetLink"/>
                  <w:rFonts w:ascii="Times New Roman;serif" w:hAnsi="Times New Roman;serif"/>
                  <w:b w:val="false"/>
                  <w:color w:val="0000FF"/>
                  <w:sz w:val="20"/>
                  <w:u w:val="single"/>
                </w:rPr>
                <w:t>Consent of Goodwin Procter LLP (included in Exhibit 5.1).</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0f5a6a6126c4d9e946feb8442ef1a5e_7621">
              <w:r>
                <w:rPr>
                  <w:rStyle w:val="InternetLink"/>
                  <w:rFonts w:ascii="Times New Roman;serif" w:hAnsi="Times New Roman;serif"/>
                  <w:b w:val="false"/>
                  <w:color w:val="0000FF"/>
                  <w:sz w:val="20"/>
                  <w:u w:val="single"/>
                </w:rPr>
                <w:t>Power of Attorney (included in signature page to this Registration Statement).</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80"/>
                  <w:sz w:val="20"/>
                  <w:u w:val="single"/>
                </w:rPr>
                <w:t xml:space="preserve">Amended and Restated OraSure Technologies, Inc. 2000 Stock Award Plan (incorporated by reference to Exhibit 10.1 to the Registrant’s Current Report on Form 8-K as filed on </w:t>
              </w:r>
            </w:hyperlink>
            <w:hyperlink r:id="rId49">
              <w:r>
                <w:rPr>
                  <w:rStyle w:val="InternetLink"/>
                  <w:rFonts w:ascii="Times New Roman;serif" w:hAnsi="Times New Roman;serif"/>
                  <w:b w:val="false"/>
                  <w:color w:val="000080"/>
                  <w:sz w:val="20"/>
                  <w:u w:val="single"/>
                </w:rPr>
                <w:t>June 3, 2026</w:t>
              </w:r>
            </w:hyperlink>
            <w:hyperlink r:id="rId50">
              <w:r>
                <w:rPr>
                  <w:rStyle w:val="InternetLink"/>
                  <w:rFonts w:ascii="Times New Roman;serif" w:hAnsi="Times New Roman;serif"/>
                  <w:b w:val="false"/>
                  <w:color w:val="000080"/>
                  <w:sz w:val="20"/>
                  <w:u w:val="single"/>
                </w:rPr>
                <w:t>).</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p>
        </w:tc>
      </w:tr>
      <w:tr>
        <w:trPr/>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c>
          <w:tcPr>
            <w:tcW w:w="9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Bethlehem, Commonwealth of Pennsylvania, on this 7th day of August 2026.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265" w:type="dxa"/>
        <w:jc w:val="left"/>
        <w:tblInd w:w="0" w:type="dxa"/>
        <w:tblLayout w:type="fixed"/>
        <w:tblCellMar>
          <w:top w:w="28" w:type="dxa"/>
          <w:left w:w="28" w:type="dxa"/>
          <w:bottom w:w="28" w:type="dxa"/>
          <w:right w:w="28" w:type="dxa"/>
        </w:tblCellMar>
      </w:tblPr>
      <w:tblGrid>
        <w:gridCol w:w="381"/>
        <w:gridCol w:w="335"/>
        <w:gridCol w:w="335"/>
        <w:gridCol w:w="335"/>
        <w:gridCol w:w="335"/>
        <w:gridCol w:w="335"/>
        <w:gridCol w:w="932"/>
        <w:gridCol w:w="932"/>
        <w:gridCol w:w="1345"/>
      </w:tblGrid>
      <w:tr>
        <w:trPr/>
        <w:tc>
          <w:tcPr>
            <w:tcW w:w="38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ORASURE TECHNOLOGIES, INC.</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Carrie Eglinton Manner</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 Eglinton Manner</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bookmarkStart w:id="0" w:name="i70f5a6a6126c4d9e946feb8442ef1a5e_7621"/>
      <w:bookmarkEnd w:id="0"/>
      <w:r>
        <w:rPr>
          <w:rFonts w:ascii="Times New Roman;serif" w:hAnsi="Times New Roman;serif"/>
          <w:b/>
          <w:color w:val="000000"/>
          <w:sz w:val="20"/>
        </w:rPr>
        <w:t xml:space="preserve">POWER OF ATTORNEY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the undersigned officers and directors of OraSure Technologies, Inc., hereby severally constitute and appoint Carrie Eglinton Manner and Kenneth J. McGrath, our true and lawful attorney-in-fact and agent, with full power of substitution and resubstitution, for such person in such person’s name, place and stead, and in any and all capacities, to sign any and all amendments (including post-effective amendments) to this Registration Statement, and to file the same, with all exhibits thereto and other documents in connection therewith, with the Commission, granting unto said attorney-in-fact and agent full power and authority to do and perform each and every act and thing requisite or necessary to be done in and about the premises, as full to all intents and purposes as she or he might or could do in person, hereby ratifying and confirming all that said attorney-in-fact and agent, or her or his substitute or substitutes, may lawfully do or cause to be done by virtue hereof.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held on the dates indicated.</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51"/>
        <w:gridCol w:w="655"/>
        <w:gridCol w:w="660"/>
        <w:gridCol w:w="109"/>
        <w:gridCol w:w="109"/>
        <w:gridCol w:w="109"/>
        <w:gridCol w:w="2082"/>
        <w:gridCol w:w="2055"/>
        <w:gridCol w:w="2082"/>
        <w:gridCol w:w="109"/>
        <w:gridCol w:w="109"/>
        <w:gridCol w:w="109"/>
        <w:gridCol w:w="367"/>
        <w:gridCol w:w="367"/>
        <w:gridCol w:w="532"/>
      </w:tblGrid>
      <w:tr>
        <w:trPr/>
        <w:tc>
          <w:tcPr>
            <w:tcW w:w="75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20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Carrie Eglinton Manner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Carrie Eglinton Manner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Kenneth J. McGrath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Kenneth J. McGrath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Michele Anthony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Controller &amp; Chief Accounting Officer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Michele Anthony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John D. Bertrand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John D. Bertrand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Steven K. Boyd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Steven K. Boyd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Nancy J. Gagliano,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Nancy J. Gagliano,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P. Kenny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P. Kenny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Lelio Marmora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Lelio Marmora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W. McMahon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2026</w:t>
            </w:r>
          </w:p>
        </w:tc>
      </w:tr>
      <w:tr>
        <w:trPr/>
        <w:tc>
          <w:tcPr>
            <w:tcW w:w="206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W. McMahon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color w:val="000000"/>
          <w:sz w:val="20"/>
          <w:shd w:fill="FFFFFF" w:val="clear"/>
        </w:rPr>
        <w:t>Exhibit 107</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Calculation of Filing Fee Tables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Form S-8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(Form Type)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OraSure Technologies, Inc.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(Exact Name of Registrant as Specified in its Charter)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Table 1: Newly Registered Securities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1"/>
        <w:gridCol w:w="121"/>
        <w:gridCol w:w="121"/>
        <w:gridCol w:w="279"/>
        <w:gridCol w:w="279"/>
        <w:gridCol w:w="280"/>
        <w:gridCol w:w="436"/>
        <w:gridCol w:w="436"/>
        <w:gridCol w:w="442"/>
        <w:gridCol w:w="381"/>
        <w:gridCol w:w="381"/>
        <w:gridCol w:w="382"/>
        <w:gridCol w:w="349"/>
        <w:gridCol w:w="349"/>
        <w:gridCol w:w="350"/>
        <w:gridCol w:w="338"/>
        <w:gridCol w:w="338"/>
        <w:gridCol w:w="339"/>
        <w:gridCol w:w="498"/>
        <w:gridCol w:w="498"/>
        <w:gridCol w:w="502"/>
        <w:gridCol w:w="353"/>
        <w:gridCol w:w="353"/>
        <w:gridCol w:w="357"/>
        <w:gridCol w:w="363"/>
        <w:gridCol w:w="363"/>
        <w:gridCol w:w="5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032"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6"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Security</w:t>
              <w:br/>
              <w:t>Type</w:t>
            </w:r>
          </w:p>
        </w:tc>
        <w:tc>
          <w:tcPr>
            <w:tcW w:w="1314"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Security</w:t>
              <w:br/>
              <w:t>Class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w:t>
            </w:r>
          </w:p>
        </w:tc>
        <w:tc>
          <w:tcPr>
            <w:tcW w:w="1144"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Calculation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 Carry</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Forward</w:t>
              <w:br/>
              <w:t>Rule</w:t>
            </w:r>
          </w:p>
        </w:tc>
        <w:tc>
          <w:tcPr>
            <w:tcW w:w="1048"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Registered</w:t>
            </w:r>
          </w:p>
        </w:tc>
        <w:tc>
          <w:tcPr>
            <w:tcW w:w="1015"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Proposed</w:t>
              <w:br/>
              <w:t>Maximum</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Offering</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 Per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Unit </w:t>
            </w:r>
          </w:p>
        </w:tc>
        <w:tc>
          <w:tcPr>
            <w:tcW w:w="1498"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Maximum</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Aggregate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Offering Price</w:t>
            </w:r>
          </w:p>
        </w:tc>
        <w:tc>
          <w:tcPr>
            <w:tcW w:w="1063" w:type="dxa"/>
            <w:gridSpan w:val="3"/>
            <w:tcBorders>
              <w:top w:val="single" w:sz="6" w:space="0" w:color="000000"/>
              <w:left w:val="single" w:sz="6"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 Rate</w:t>
            </w:r>
          </w:p>
        </w:tc>
        <w:tc>
          <w:tcPr>
            <w:tcW w:w="1253" w:type="dxa"/>
            <w:gridSpan w:val="3"/>
            <w:tcBorders>
              <w:top w:val="single" w:sz="6" w:space="0" w:color="000000"/>
              <w:left w:val="single" w:sz="6" w:space="0" w:color="000000"/>
              <w:bottom w:val="single" w:sz="4" w:space="0" w:color="000000"/>
              <w:right w:val="single" w:sz="6"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Fee</w:t>
            </w:r>
          </w:p>
        </w:tc>
      </w:tr>
      <w:tr>
        <w:trPr/>
        <w:tc>
          <w:tcPr>
            <w:tcW w:w="10205" w:type="dxa"/>
            <w:gridSpan w:val="3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Newly Registered Securities</w:t>
            </w:r>
          </w:p>
        </w:tc>
      </w:tr>
      <w:tr>
        <w:trPr/>
        <w:tc>
          <w:tcPr>
            <w:tcW w:w="3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69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Fees to Be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Paid</w:t>
            </w:r>
          </w:p>
        </w:tc>
        <w:tc>
          <w:tcPr>
            <w:tcW w:w="838" w:type="dxa"/>
            <w:gridSpan w:val="3"/>
            <w:tcBorders>
              <w:top w:val="single" w:sz="4"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314" w:type="dxa"/>
            <w:gridSpan w:val="3"/>
            <w:tcBorders>
              <w:top w:val="single" w:sz="4"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$0.000001 per share</w:t>
            </w:r>
          </w:p>
        </w:tc>
        <w:tc>
          <w:tcPr>
            <w:tcW w:w="1144" w:type="dxa"/>
            <w:gridSpan w:val="3"/>
            <w:tcBorders>
              <w:top w:val="single" w:sz="4"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048"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5,000,000</w:t>
            </w:r>
          </w:p>
        </w:tc>
        <w:tc>
          <w:tcPr>
            <w:tcW w:w="1015"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1498"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$20,550,000.00</w:t>
            </w:r>
          </w:p>
        </w:tc>
        <w:tc>
          <w:tcPr>
            <w:tcW w:w="1063"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0.0001381</w:t>
            </w:r>
          </w:p>
        </w:tc>
        <w:tc>
          <w:tcPr>
            <w:tcW w:w="1253" w:type="dxa"/>
            <w:gridSpan w:val="3"/>
            <w:tcBorders>
              <w:top w:val="single" w:sz="4"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$2,837.96</w:t>
            </w:r>
          </w:p>
        </w:tc>
      </w:tr>
      <w:tr>
        <w:trPr/>
        <w:tc>
          <w:tcPr>
            <w:tcW w:w="34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Fees to Be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Paid</w:t>
            </w:r>
          </w:p>
        </w:tc>
        <w:tc>
          <w:tcPr>
            <w:tcW w:w="3296" w:type="dxa"/>
            <w:gridSpan w:val="9"/>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Registration Fee:</w:t>
            </w:r>
          </w:p>
        </w:tc>
        <w:tc>
          <w:tcPr>
            <w:tcW w:w="1048" w:type="dxa"/>
            <w:gridSpan w:val="3"/>
            <w:tcBorders>
              <w:top w:val="single" w:sz="6" w:space="0" w:color="000000"/>
              <w:left w:val="single" w:sz="6"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6" w:space="0" w:color="000000"/>
              <w:left w:val="single" w:sz="6"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6" w:space="0" w:color="000000"/>
              <w:left w:val="single" w:sz="6"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6" w:space="0" w:color="000000"/>
              <w:left w:val="single" w:sz="6"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6" w:space="0" w:color="000000"/>
              <w:left w:val="single" w:sz="6" w:space="0" w:color="000000"/>
              <w:bottom w:val="single" w:sz="4"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$2,837.96</w:t>
            </w:r>
          </w:p>
        </w:tc>
      </w:tr>
      <w:tr>
        <w:trPr/>
        <w:tc>
          <w:tcPr>
            <w:tcW w:w="10205" w:type="dxa"/>
            <w:gridSpan w:val="3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 Forward Securities</w:t>
            </w:r>
          </w:p>
        </w:tc>
      </w:tr>
      <w:tr>
        <w:trPr/>
        <w:tc>
          <w:tcPr>
            <w:tcW w:w="1032"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Carry</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Forward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w:t>
            </w:r>
          </w:p>
        </w:tc>
        <w:tc>
          <w:tcPr>
            <w:tcW w:w="838" w:type="dxa"/>
            <w:gridSpan w:val="3"/>
            <w:tcBorders>
              <w:top w:val="single" w:sz="4"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314" w:type="dxa"/>
            <w:gridSpan w:val="3"/>
            <w:tcBorders>
              <w:top w:val="single" w:sz="4"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144" w:type="dxa"/>
            <w:gridSpan w:val="3"/>
            <w:tcBorders>
              <w:top w:val="single" w:sz="4"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48" w:type="dxa"/>
            <w:gridSpan w:val="3"/>
            <w:tcBorders>
              <w:top w:val="single" w:sz="4"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15"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98"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63" w:type="dxa"/>
            <w:gridSpan w:val="3"/>
            <w:tcBorders>
              <w:top w:val="single" w:sz="4"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53" w:type="dxa"/>
            <w:gridSpan w:val="3"/>
            <w:tcBorders>
              <w:top w:val="single" w:sz="4"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44" w:type="dxa"/>
            <w:gridSpan w:val="12"/>
            <w:tcBorders>
              <w:left w:val="single" w:sz="4"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Offering Amounts</w:t>
            </w:r>
          </w:p>
        </w:tc>
        <w:tc>
          <w:tcPr>
            <w:tcW w:w="1015"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$20,550,000.00</w:t>
            </w:r>
          </w:p>
        </w:tc>
        <w:tc>
          <w:tcPr>
            <w:tcW w:w="106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$2,837.96</w:t>
            </w:r>
          </w:p>
        </w:tc>
      </w:tr>
      <w:tr>
        <w:trPr/>
        <w:tc>
          <w:tcPr>
            <w:tcW w:w="1032"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44" w:type="dxa"/>
            <w:gridSpan w:val="12"/>
            <w:tcBorders>
              <w:top w:val="single" w:sz="6"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Fees Previously Paid</w:t>
            </w:r>
          </w:p>
        </w:tc>
        <w:tc>
          <w:tcPr>
            <w:tcW w:w="1015"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4344" w:type="dxa"/>
            <w:gridSpan w:val="12"/>
            <w:tcBorders>
              <w:top w:val="single" w:sz="6"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Fee Offsets</w:t>
            </w:r>
          </w:p>
        </w:tc>
        <w:tc>
          <w:tcPr>
            <w:tcW w:w="1015"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9"/>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44" w:type="dxa"/>
            <w:gridSpan w:val="12"/>
            <w:tcBorders>
              <w:top w:val="single" w:sz="6" w:space="0" w:color="000000"/>
              <w:left w:val="single" w:sz="4"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Fee Due</w:t>
            </w:r>
          </w:p>
        </w:tc>
        <w:tc>
          <w:tcPr>
            <w:tcW w:w="1015"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$2,837.96</w:t>
            </w:r>
          </w:p>
        </w:tc>
      </w:tr>
      <w:tr>
        <w:trPr/>
        <w:tc>
          <w:tcPr>
            <w:tcW w:w="3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27"/>
            <w:tcBorders>
              <w:top w:val="single" w:sz="4" w:space="0" w:color="000000"/>
            </w:tcBorders>
            <w:tcMar>
              <w:top w:w="3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416 of the Securities Act of 1933, as amended (the “Securities Act”), this Registration Statement shall be deemed to cover any additional shares of common stock, par value $0.000001 per share (“Common Stock”), of OraSure Technologies, Inc. (the “Registrant”) which become issuable under the OraSure Technologies, Inc. Stock Award Plan (the “Plan”) by reason of any stock dividend, stock split, recapitalization or other similar transaction which results in an increase in the number of the outstanding shares of Common Stock of the Registrant. The amount registered represents 5,000,000 shares of Common Stock that were approved for issuance under the Plan at the Registrant’s annual meeting of stockholders on June 3, 2026. The proposed maximum offering price per unit is estimated in accordance with Rule 457(c) and Rule 457(h) of the Securities Act. The price shown is based upon the average of the high and low prices reported for the Common Stock on the Nasdaq Capital Market on August 3, 2026.</w:t>
            </w:r>
          </w:p>
        </w:tc>
      </w:tr>
    </w:tbl>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94995"/>
                <wp:effectExtent l="0" t="0" r="0" b="0"/>
                <wp:wrapNone/>
                <wp:docPr id="8" name="Frame8"/>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tbl>
      <w:tblPr>
        <w:tblW w:w="6308" w:type="dxa"/>
        <w:jc w:val="left"/>
        <w:tblInd w:w="0" w:type="dxa"/>
        <w:tblLayout w:type="fixed"/>
        <w:tblCellMar>
          <w:top w:w="28" w:type="dxa"/>
          <w:left w:w="28" w:type="dxa"/>
          <w:bottom w:w="28" w:type="dxa"/>
          <w:right w:w="28" w:type="dxa"/>
        </w:tblCellMar>
      </w:tblPr>
      <w:tblGrid>
        <w:gridCol w:w="1124"/>
        <w:gridCol w:w="988"/>
        <w:gridCol w:w="989"/>
        <w:gridCol w:w="109"/>
        <w:gridCol w:w="109"/>
        <w:gridCol w:w="109"/>
        <w:gridCol w:w="840"/>
        <w:gridCol w:w="840"/>
        <w:gridCol w:w="1200"/>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Exhibit 5.1</w:t>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05000" cy="4191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51"/>
                          <a:stretch>
                            <a:fillRect/>
                          </a:stretch>
                        </pic:blipFill>
                        <pic:spPr bwMode="auto">
                          <a:xfrm>
                            <a:off x="0" y="0"/>
                            <a:ext cx="1905000" cy="4191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Goodwin Procter </w:t>
            </w:r>
            <w:r>
              <w:rPr>
                <w:rFonts w:ascii="Times New Roman;serif" w:hAnsi="Times New Roman;serif"/>
                <w:b w:val="false"/>
                <w:color w:val="000000"/>
                <w:sz w:val="17"/>
              </w:rPr>
              <w:t>LLP</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3025 John F. Kennedy Boulevard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8th Floor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Philadelphia, PA 19104</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goodwinlaw.com</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+1 445 207 7800</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August 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OraSure Technologies,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220 East First Street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Bethlehem, Pennsylvania 18015</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Re:</w:t>
      </w:r>
      <w:r>
        <w:rPr>
          <w:color w:val="000000"/>
        </w:rPr>
        <w:t xml:space="preserve"> </w:t>
      </w:r>
      <w:r>
        <w:rPr>
          <w:rFonts w:ascii="Times New Roman;serif" w:hAnsi="Times New Roman;serif"/>
          <w:b w:val="false"/>
          <w:color w:val="000000"/>
          <w:sz w:val="24"/>
          <w:u w:val="single"/>
        </w:rPr>
        <w:t>Securities Being Registered under Registration Statement on Form S-8</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have acted as your counsel in connection with your filing of a Registration Statement on Form S-8 (the “Registration Statement”) pursuant to the Securities Act of 1933, as amended (the “Securities Act”), on or about the date hereof relating to an aggregate of 5,000,000 shares (the “Shares”) of common stock, par value $0.000001 per share (“Common Stock”), of OraSure Technologies, Inc., a Delaware corporation (the “Company”), that may be issued pursuant to the Amended and Restated OraSure Technologies, Inc. 2000 Stock Award Plan (the “Plan”).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For purposes of the opinion set forth below, we have assumed that, at the time the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opinion set forth below is limited to the Delaware General Corporation Law.</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Based on the foregoing, we are of the opinion that the Shares have been duly authorized and, when delivered against payment therefor in accordance with the terms of the Plan, will be validly issued, fully paid and nonassessable.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 xml:space="preserve">This opinion letter and the opinion it contains shall be interpreted in accordance with the Core Opinion Principles as published in 74 </w:t>
      </w:r>
      <w:r>
        <w:rPr>
          <w:rFonts w:ascii="Times New Roman;serif" w:hAnsi="Times New Roman;serif"/>
          <w:b w:val="false"/>
          <w:i/>
          <w:color w:val="000000"/>
          <w:sz w:val="24"/>
        </w:rPr>
        <w:t>Business Lawyer</w:t>
      </w:r>
      <w:r>
        <w:rPr>
          <w:color w:val="000000"/>
        </w:rPr>
        <w:t xml:space="preserve"> </w:t>
      </w:r>
      <w:r>
        <w:rPr>
          <w:rFonts w:ascii="Times New Roman;serif" w:hAnsi="Times New Roman;serif"/>
          <w:b w:val="false"/>
          <w:color w:val="000000"/>
          <w:sz w:val="22"/>
        </w:rPr>
        <w:t>815 (Summer 2019).</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We hereby consent to the inclusion of this opinion as Exhibit 5.1 to the Registration Statement.</w:t>
      </w:r>
      <w:r>
        <w:rPr>
          <w:color w:val="000000"/>
        </w:rPr>
        <w:t xml:space="preserve"> </w:t>
      </w:r>
      <w:r>
        <w:rPr>
          <w:rFonts w:ascii="Times New Roman;serif" w:hAnsi="Times New Roman;serif"/>
          <w:b w:val="false"/>
          <w:color w:val="000000"/>
          <w:sz w:val="22"/>
        </w:rPr>
        <w:t>In giving our consent, we do not admit that we are in the category of persons whose consent is required under Section 7 of the Securities Act or the rules and regulations thereunder.</w:t>
      </w:r>
    </w:p>
    <w:p>
      <w:pPr>
        <w:pStyle w:val="TextBody"/>
        <w:bidi w:val="0"/>
        <w:spacing w:before="0" w:after="0"/>
        <w:jc w:val="left"/>
        <w:rPr/>
      </w:pPr>
      <w:r>
        <w:rPr/>
      </w:r>
    </w:p>
    <w:p>
      <w:pPr>
        <w:pStyle w:val="TextBody"/>
        <w:bidi w:val="0"/>
        <w:spacing w:lineRule="auto" w:line="268"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Very truly yours,</w:t>
      </w:r>
    </w:p>
    <w:p>
      <w:pPr>
        <w:pStyle w:val="TextBody"/>
        <w:bidi w:val="0"/>
        <w:spacing w:before="0" w:after="0"/>
        <w:jc w:val="left"/>
        <w:rPr/>
      </w:pPr>
      <w:r>
        <w:rPr/>
      </w:r>
    </w:p>
    <w:p>
      <w:pPr>
        <w:pStyle w:val="TextBody"/>
        <w:bidi w:val="0"/>
        <w:spacing w:lineRule="auto" w:line="268" w:before="0" w:after="0"/>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/s/ Goodwin Procter LLP</w:t>
      </w:r>
    </w:p>
    <w:p>
      <w:pPr>
        <w:pStyle w:val="TextBody"/>
        <w:bidi w:val="0"/>
        <w:spacing w:before="0" w:after="0"/>
        <w:jc w:val="left"/>
        <w:rPr/>
      </w:pPr>
      <w:r>
        <w:rPr/>
      </w:r>
    </w:p>
    <w:p>
      <w:pPr>
        <w:pStyle w:val="TextBody"/>
        <w:bidi w:val="0"/>
        <w:spacing w:lineRule="auto" w:line="268"/>
        <w:ind w:left="0" w:right="0" w:firstLine="5040"/>
        <w:jc w:val="left"/>
        <w:rPr>
          <w:rFonts w:ascii="Times New Roman;serif" w:hAnsi="Times New Roman;serif"/>
          <w:b w:val="false"/>
          <w:color w:val="000000"/>
          <w:sz w:val="22"/>
        </w:rPr>
      </w:pPr>
      <w:r>
        <w:rPr>
          <w:rFonts w:ascii="Times New Roman;serif" w:hAnsi="Times New Roman;serif"/>
          <w:b w:val="false"/>
          <w:color w:val="000000"/>
          <w:sz w:val="22"/>
        </w:rPr>
        <w:t>GOODWIN PROCTER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120"/>
        <w:jc w:val="right"/>
        <w:rPr>
          <w:rFonts w:ascii="Times New Roman;serif" w:hAnsi="Times New Roman;serif"/>
          <w:b/>
          <w:color w:val="000000"/>
          <w:sz w:val="18"/>
        </w:rPr>
      </w:pPr>
      <w:r>
        <w:rPr>
          <w:rFonts w:ascii="Times New Roman;serif" w:hAnsi="Times New Roman;serif"/>
          <w:b/>
          <w:color w:val="000000"/>
          <w:sz w:val="18"/>
        </w:rPr>
        <w:t>Exhibit 23.1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9"/>
        </w:rPr>
      </w:pPr>
      <w:r>
        <w:rPr>
          <w:rFonts w:ascii="Times New Roman;serif" w:hAnsi="Times New Roman;serif"/>
          <w:b/>
          <w:color w:val="000000"/>
          <w:sz w:val="19"/>
        </w:rPr>
        <w:t>CONSENT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have issued our reports dated March 9, 2026, with respect to the consolidated financial statements and internal control over financial reporting of OraSure Technologies, Inc. included in the Annual Report on Form 10-K for the year ended December 31, 2025, which are incorporated by reference in this Registration Statement. We consent to the incorporation by reference of the aforementioned reports in this Registration Statement.</w:t>
      </w:r>
    </w:p>
    <w:p>
      <w:pPr>
        <w:pStyle w:val="TextBody"/>
        <w:bidi w:val="0"/>
        <w:spacing w:before="0" w:after="120"/>
        <w:jc w:val="both"/>
        <w:rPr/>
      </w:pPr>
      <w:r>
        <w:rPr/>
      </w:r>
    </w:p>
    <w:p>
      <w:pPr>
        <w:pStyle w:val="TextBody"/>
        <w:bidi w:val="0"/>
        <w:spacing w:lineRule="auto" w:line="352" w:before="0" w:after="120"/>
        <w:jc w:val="both"/>
        <w:rPr>
          <w:rFonts w:ascii="Times New Roman;serif" w:hAnsi="Times New Roman;serif"/>
          <w:b w:val="false"/>
          <w:color w:val="000000"/>
          <w:sz w:val="19"/>
        </w:rPr>
      </w:pPr>
      <w:r>
        <w:rPr>
          <w:rFonts w:ascii="Times New Roman;serif" w:hAnsi="Times New Roman;serif"/>
          <w:b w:val="false"/>
          <w:color w:val="000000"/>
          <w:sz w:val="19"/>
        </w:rPr>
        <w:t>/s/ GRANT THORNTON LLP</w:t>
      </w:r>
    </w:p>
    <w:p>
      <w:pPr>
        <w:pStyle w:val="TextBody"/>
        <w:bidi w:val="0"/>
        <w:spacing w:before="0" w:after="120"/>
        <w:jc w:val="both"/>
        <w:rPr/>
      </w:pPr>
      <w:r>
        <w:rPr/>
      </w:r>
    </w:p>
    <w:p>
      <w:pPr>
        <w:pStyle w:val="TextBody"/>
        <w:bidi w:val="0"/>
        <w:spacing w:lineRule="auto" w:line="288" w:before="0" w:after="0"/>
        <w:jc w:val="left"/>
        <w:rPr>
          <w:rFonts w:ascii="Times New Roman;serif" w:hAnsi="Times New Roman;serif"/>
          <w:b w:val="false"/>
          <w:color w:val="000000"/>
          <w:sz w:val="19"/>
        </w:rPr>
      </w:pPr>
      <w:r>
        <w:rPr>
          <w:rFonts w:ascii="Times New Roman;serif" w:hAnsi="Times New Roman;serif"/>
          <w:b w:val="false"/>
          <w:color w:val="000000"/>
          <w:sz w:val="19"/>
        </w:rPr>
        <w:t>Philadelphia, Pennsylvania</w:t>
      </w:r>
    </w:p>
    <w:p>
      <w:pPr>
        <w:pStyle w:val="TextBody"/>
        <w:bidi w:val="0"/>
        <w:spacing w:lineRule="auto" w:line="352" w:before="0" w:after="120"/>
        <w:jc w:val="both"/>
        <w:rPr>
          <w:rFonts w:ascii="Times New Roman;serif" w:hAnsi="Times New Roman;serif"/>
          <w:b w:val="false"/>
          <w:color w:val="000000"/>
          <w:sz w:val="19"/>
        </w:rPr>
      </w:pPr>
      <w:r>
        <w:rPr>
          <w:rFonts w:ascii="Times New Roman;serif" w:hAnsi="Times New Roman;serif"/>
          <w:b w:val="false"/>
          <w:color w:val="000000"/>
          <w:sz w:val="19"/>
        </w:rPr>
        <w:t>August 7, 2026</w: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16463/000089291700000094/0000892917-00-000094-0001.txt" TargetMode="External"/><Relationship Id="rId3" Type="http://schemas.openxmlformats.org/officeDocument/2006/relationships/hyperlink" Target="https://www.sec.gov/Archives/edgar/data/1116463/000089291701500014/amends-8.txt" TargetMode="External"/><Relationship Id="rId4" Type="http://schemas.openxmlformats.org/officeDocument/2006/relationships/hyperlink" Target="https://www.sec.gov/Archives/edgar/data/1116463/000089291702000035/body.txt" TargetMode="External"/><Relationship Id="rId5" Type="http://schemas.openxmlformats.org/officeDocument/2006/relationships/hyperlink" Target="https://www.sec.gov/Archives/edgar/data/1116463/000102140802015523/ds8.txt" TargetMode="External"/><Relationship Id="rId6" Type="http://schemas.openxmlformats.org/officeDocument/2006/relationships/hyperlink" Target="https://www.sec.gov/Archives/edgar/data/1116463/000119312504144228/ds8.htm" TargetMode="External"/><Relationship Id="rId7" Type="http://schemas.openxmlformats.org/officeDocument/2006/relationships/hyperlink" Target="https://www.sec.gov/Archives/edgar/data/1116463/000119312506238343/ds8.htm" TargetMode="External"/><Relationship Id="rId8" Type="http://schemas.openxmlformats.org/officeDocument/2006/relationships/hyperlink" Target="https://www.sec.gov/Archives/edgar/data/1116463/000119312508120108/ds8.htm" TargetMode="External"/><Relationship Id="rId9" Type="http://schemas.openxmlformats.org/officeDocument/2006/relationships/hyperlink" Target="https://www.sec.gov/Archives/edgar/data/1116463/000119312511223161/ds8.htm" TargetMode="External"/><Relationship Id="rId10" Type="http://schemas.openxmlformats.org/officeDocument/2006/relationships/hyperlink" Target="https://www.sec.gov/Archives/edgar/data/1116463/000119312514314607/d775579ds8.htm" TargetMode="External"/><Relationship Id="rId11" Type="http://schemas.openxmlformats.org/officeDocument/2006/relationships/hyperlink" Target="https://www.sec.gov/Archives/edgar/data/1116463/000119312517266818/d429347ds8.htm" TargetMode="External"/><Relationship Id="rId12" Type="http://schemas.openxmlformats.org/officeDocument/2006/relationships/hyperlink" Target="https://www.sec.gov/Archives/edgar/data/1116463/000156459020041352/osur-s8.htm" TargetMode="External"/><Relationship Id="rId13" Type="http://schemas.openxmlformats.org/officeDocument/2006/relationships/hyperlink" Target="https://www.sec.gov/Archives/edgar/data/1116463/000119312523080418/d398560ds8.htm" TargetMode="External"/><Relationship Id="rId14" Type="http://schemas.openxmlformats.org/officeDocument/2006/relationships/hyperlink" Target="https://www.sec.gov/Archives/edgar/data/1116463/000111646323000016/osur-formsx8amendedstockpl.htm" TargetMode="External"/><Relationship Id="rId15" Type="http://schemas.openxmlformats.org/officeDocument/2006/relationships/hyperlink" Target="https://www.sec.gov/Archives/edgar/data/1116463/000111646324000040/osur-formsx8amendedstockpl.htm" TargetMode="External"/><Relationship Id="rId16" Type="http://schemas.openxmlformats.org/officeDocument/2006/relationships/hyperlink" Target="https://www.sec.gov/Archives/edgar/data/1116463/000162828025026898/osur-formsx82025.htm" TargetMode="External"/><Relationship Id="rId17" Type="http://schemas.openxmlformats.org/officeDocument/2006/relationships/hyperlink" Target="https://www.sec.gov/Archives/edgar/data/1116463/000111646326000016/osur-20251231.htm" TargetMode="External"/><Relationship Id="rId18" Type="http://schemas.openxmlformats.org/officeDocument/2006/relationships/hyperlink" Target="https://www.sec.gov/Archives/edgar/data/1116463/000111646326000016/osur-20251231.htm" TargetMode="External"/><Relationship Id="rId19" Type="http://schemas.openxmlformats.org/officeDocument/2006/relationships/hyperlink" Target="https://www.sec.gov/Archives/edgar/data/1116463/000111646326000016/osur-20251231.htm" TargetMode="External"/><Relationship Id="rId20" Type="http://schemas.openxmlformats.org/officeDocument/2006/relationships/hyperlink" Target="https://www.sec.gov/Archives/edgar/data/1116463/000111646326000041/osur-20260331.htm" TargetMode="External"/><Relationship Id="rId21" Type="http://schemas.openxmlformats.org/officeDocument/2006/relationships/hyperlink" Target="https://www.sec.gov/ix?doc=/Archives/edgar/data/0001116463/000111646326000052/osur-20260630.htm" TargetMode="External"/><Relationship Id="rId22" Type="http://schemas.openxmlformats.org/officeDocument/2006/relationships/hyperlink" Target="https://www.sec.gov/ix?doc=/Archives/edgar/data/0001116463/000111646326000052/osur-20260630.htm" TargetMode="External"/><Relationship Id="rId23" Type="http://schemas.openxmlformats.org/officeDocument/2006/relationships/hyperlink" Target="https://www.sec.gov/ix?doc=/Archives/edgar/data/0001116463/000111646326000052/osur-20260630.htm" TargetMode="External"/><Relationship Id="rId24" Type="http://schemas.openxmlformats.org/officeDocument/2006/relationships/hyperlink" Target="https://www.sec.gov/ix?doc=/Archives/edgar/data/0001116463/000111646326000052/osur-20260630.htm" TargetMode="External"/><Relationship Id="rId25" Type="http://schemas.openxmlformats.org/officeDocument/2006/relationships/hyperlink" Target="https://www.sec.gov/ix?doc=/Archives/edgar/data/0001116463/000111646326000052/osur-20260630.htm" TargetMode="External"/><Relationship Id="rId26" Type="http://schemas.openxmlformats.org/officeDocument/2006/relationships/hyperlink" Target="https://www.sec.gov/Archives/edgar/data/1116463/000111646326000032/osur-20260430.htm" TargetMode="External"/><Relationship Id="rId27" Type="http://schemas.openxmlformats.org/officeDocument/2006/relationships/hyperlink" Target="https://www.sec.gov/Archives/edgar/data/1116463/000111646326000032/osur-20260430.htm" TargetMode="External"/><Relationship Id="rId28" Type="http://schemas.openxmlformats.org/officeDocument/2006/relationships/hyperlink" Target="https://www.sec.gov/Archives/edgar/data/1116463/000111646326000032/osur-20260430.htm" TargetMode="External"/><Relationship Id="rId29" Type="http://schemas.openxmlformats.org/officeDocument/2006/relationships/hyperlink" Target="https://www.sec.gov/Archives/edgar/data/1116463/000111646326000016/osur-20251231.htm" TargetMode="External"/><Relationship Id="rId30" Type="http://schemas.openxmlformats.org/officeDocument/2006/relationships/hyperlink" Target="https://www.sec.gov/Archives/edgar/data/1116463/000111646326000002/osur-20260105.htm" TargetMode="External"/><Relationship Id="rId31" Type="http://schemas.openxmlformats.org/officeDocument/2006/relationships/hyperlink" Target="https://www.sec.gov/Archives/edgar/data/1116463/000111646326000011/osur-20260228.htm" TargetMode="External"/><Relationship Id="rId32" Type="http://schemas.openxmlformats.org/officeDocument/2006/relationships/hyperlink" Target="https://www.sec.gov/Archives/edgar/data/1116463/000119312526160336/d144249d8k.htm" TargetMode="External"/><Relationship Id="rId33" Type="http://schemas.openxmlformats.org/officeDocument/2006/relationships/hyperlink" Target="https://www.sec.gov/Archives/edgar/data/1116463/000111646326000043/osur-20260603.htm" TargetMode="External"/><Relationship Id="rId34" Type="http://schemas.openxmlformats.org/officeDocument/2006/relationships/hyperlink" Target="https://www.sec.gov/Archives/edgar/data/1116463/000111646326000046/osur-20260611.htm" TargetMode="External"/><Relationship Id="rId35" Type="http://schemas.openxmlformats.org/officeDocument/2006/relationships/hyperlink" Target="https://www.sec.gov/Archives/edgar/data/1116463/000156459020008195/osur-ex41_228.htm" TargetMode="External"/><Relationship Id="rId36" Type="http://schemas.openxmlformats.org/officeDocument/2006/relationships/hyperlink" Target="https://www.sec.gov/Archives/edgar/data/1116463/000111646326000016/osur-20251231.htm" TargetMode="External"/><Relationship Id="rId37" Type="http://schemas.openxmlformats.org/officeDocument/2006/relationships/hyperlink" Target="https://www.sec.gov/Archives/edgar/data/1116463/000111646326000016/osur-20251231.htm" TargetMode="External"/><Relationship Id="rId38" Type="http://schemas.openxmlformats.org/officeDocument/2006/relationships/hyperlink" Target="https://www.sec.gov/Archives/edgar/data/1116463/000111646326000016/osur-20251231.htm" TargetMode="External"/><Relationship Id="rId39" Type="http://schemas.openxmlformats.org/officeDocument/2006/relationships/hyperlink" Target="https://www.sec.gov/Archives/edgar/data/1116463/000111646326000016/osur-20251231.htm" TargetMode="External"/><Relationship Id="rId40" Type="http://schemas.openxmlformats.org/officeDocument/2006/relationships/hyperlink" Target="https://www.sec.gov/Archives/edgar/data/1116463/000111646326000016/osur-20251231.htm" TargetMode="External"/><Relationship Id="rId41" Type="http://schemas.openxmlformats.org/officeDocument/2006/relationships/hyperlink" Target="https://www.sec.gov/Archives/edgar/data/1116463/000111646326000016/osur-20251231.htm" TargetMode="External"/><Relationship Id="rId42" Type="http://schemas.openxmlformats.org/officeDocument/2006/relationships/hyperlink" Target="https://www.sec.gov/Archives/edgar/data/1116463/000095013100003901/0000950131-00-003901-0002.txt" TargetMode="External"/><Relationship Id="rId43" Type="http://schemas.openxmlformats.org/officeDocument/2006/relationships/hyperlink" Target="https://www.sec.gov/Archives/edgar/data/1116463/000095013100003901/0000950131-00-003901-0003.txt" TargetMode="External"/><Relationship Id="rId44" Type="http://schemas.openxmlformats.org/officeDocument/2006/relationships/hyperlink" Target="https://www.sec.gov/Archives/edgar/data/1116463/000162828024024025/ex31orasure-certificateofa.htm" TargetMode="External"/><Relationship Id="rId45" Type="http://schemas.openxmlformats.org/officeDocument/2006/relationships/hyperlink" Target="https://www.sec.gov/Archives/edgar/data/1116463/000111646326000043/exhibit31_certificateofa.htm" TargetMode="External"/><Relationship Id="rId46" Type="http://schemas.openxmlformats.org/officeDocument/2006/relationships/hyperlink" Target="https://www.sec.gov/Archives/edgar/data/1116463/000111646326000043/exhibit31_certificateofa.htm" TargetMode="External"/><Relationship Id="rId47" Type="http://schemas.openxmlformats.org/officeDocument/2006/relationships/hyperlink" Target="https://www.sec.gov/Archives/edgar/data/1116463/000095013100004701/0000950131-00-004701-0002.txt" TargetMode="External"/><Relationship Id="rId48" Type="http://schemas.openxmlformats.org/officeDocument/2006/relationships/hyperlink" Target="https://www.sec.gov/Archives/edgar/data/1116463/000111646326000043/exhibit101_otiarstockawa.htm" TargetMode="External"/><Relationship Id="rId49" Type="http://schemas.openxmlformats.org/officeDocument/2006/relationships/hyperlink" Target="https://www.sec.gov/Archives/edgar/data/1116463/000111646326000043/exhibit101_otiarstockawa.htm" TargetMode="External"/><Relationship Id="rId50" Type="http://schemas.openxmlformats.org/officeDocument/2006/relationships/hyperlink" Target="https://www.sec.gov/Archives/edgar/data/1116463/000111646326000043/exhibit101_otiarstockawa.htm" TargetMode="External"/><Relationship Id="rId51" Type="http://schemas.openxmlformats.org/officeDocument/2006/relationships/image" Target="media/image1.jpeg"/><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2448</Words>
  <Characters>13357</Characters>
  <CharactersWithSpaces>15642</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