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Michele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ORASURE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EAST FIRST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BETHLEHEM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ORASURE TECHNOLOGIES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OSUR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Finance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award vesting in three equal annual installments beginning on March 1, 2026, subject to the Reporting Person's continuous service through the applicable vesting dates.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to pay the tax liability associated with vesting of restricted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Anthony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098" TargetMode="External"/><Relationship Id="rId14" Type="http://schemas.openxmlformats.org/officeDocument/2006/relationships/hyperlink" Target="http://www.sec.gov/cgi-bin/browse-edgar?action=getcompany&amp;CIK=0001116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2025-03-04T15:37:29Z</dcterms:created>
  <dcterms:modified xsi:type="dcterms:W3CDTF">2025-03-04T15:37:29Z</dcterms:modified>
</cp:coreProperties>
</file>