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McMahon Robert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20"/>
        <w:spacing w:after="0" w:line="311" w:lineRule="auto"/>
        <w:rPr>
          <w:sz w:val="20"/>
          <w:szCs w:val="20"/>
          <w:color w:val="auto"/>
        </w:rPr>
      </w:pPr>
      <w:r>
        <w:rPr>
          <w:rFonts w:ascii="Times New Roman" w:cs="Times New Roman" w:eastAsia="Times New Roman" w:hAnsi="Times New Roman"/>
          <w:sz w:val="17"/>
          <w:szCs w:val="17"/>
          <w:color w:val="0000FF"/>
        </w:rPr>
        <w:t>C/O ORASURE TECHNOLOGIES INC 220 EAST FIRST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ORASURE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OSUR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41"/>
        </w:trPr>
        <w:tc>
          <w:tcPr>
            <w:tcW w:w="40" w:type="dxa"/>
            <w:vAlign w:val="bottom"/>
          </w:tcPr>
          <w:p>
            <w:pPr>
              <w:spacing w:after="0"/>
              <w:rPr>
                <w:sz w:val="12"/>
                <w:szCs w:val="12"/>
                <w:color w:val="auto"/>
              </w:rPr>
            </w:pPr>
          </w:p>
        </w:tc>
        <w:tc>
          <w:tcPr>
            <w:tcW w:w="194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3760" w:type="dxa"/>
            <w:vAlign w:val="bottom"/>
          </w:tcPr>
          <w:p>
            <w:pPr>
              <w:ind w:left="16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7"/>
        </w:trPr>
        <w:tc>
          <w:tcPr>
            <w:tcW w:w="1980" w:type="dxa"/>
            <w:vAlign w:val="bottom"/>
            <w:gridSpan w:val="2"/>
            <w:vMerge w:val="continue"/>
          </w:tcPr>
          <w:p>
            <w:pPr>
              <w:spacing w:after="0"/>
              <w:rPr>
                <w:sz w:val="9"/>
                <w:szCs w:val="9"/>
                <w:color w:val="auto"/>
              </w:rPr>
            </w:pPr>
          </w:p>
        </w:tc>
        <w:tc>
          <w:tcPr>
            <w:tcW w:w="17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BETHLEHEM  PA</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18015</w:t>
            </w: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46,106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123,137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shares under the OraSure Technologies, Inc. Stock Award Plan, which shall vest in full upon the earlier of (i) June 3, 2027, or (ii) immediately prior to the commencement of the Company's 2027 Annual Meeting of Stockholders. Vesting shall cease immediately if the named individual voluntarily ceases to serve as a member of the Board of Directors.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Michele Anthony,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8730" TargetMode="External"/><Relationship Id="rId14" Type="http://schemas.openxmlformats.org/officeDocument/2006/relationships/hyperlink" Target="http://www.sec.gov/cgi-bin/browse-edgar?action=getcompany&amp;CIK=0001116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2026-06-05T15:05:02Z</dcterms:created>
  <dcterms:modified xsi:type="dcterms:W3CDTF">2026-06-05T15:05:02Z</dcterms:modified>
</cp:coreProperties>
</file>