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79" w:lineRule="exact"/>
        <w:rPr>
          <w:sz w:val="24"/>
          <w:szCs w:val="24"/>
          <w:color w:val="auto"/>
        </w:rPr>
      </w:pPr>
    </w:p>
    <w:p>
      <w:pPr>
        <w:ind w:left="420" w:hanging="394"/>
        <w:spacing w:after="0"/>
        <w:tabs>
          <w:tab w:leader="none" w:pos="4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20" w:hanging="394"/>
        <w:spacing w:after="0"/>
        <w:tabs>
          <w:tab w:leader="none" w:pos="4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color w:val="auto"/>
        </w:rPr>
        <w:t>_________</w:t>
      </w:r>
      <w:r>
        <w:rPr>
          <w:rFonts w:ascii="Times New Roman" w:cs="Times New Roman" w:eastAsia="Times New Roman" w:hAnsi="Times New Roman"/>
          <w:sz w:val="18"/>
          <w:szCs w:val="18"/>
          <w:b w:val="1"/>
          <w:bCs w:val="1"/>
          <w:color w:val="auto"/>
        </w:rPr>
        <w:t xml:space="preserve">to </w:t>
      </w:r>
      <w:r>
        <w:rPr>
          <w:rFonts w:ascii="Times New Roman" w:cs="Times New Roman" w:eastAsia="Times New Roman" w:hAnsi="Times New Roman"/>
          <w:sz w:val="18"/>
          <w:szCs w:val="18"/>
          <w:color w:val="auto"/>
        </w:rPr>
        <w:t>_________</w:t>
      </w:r>
      <w:r>
        <w:rPr>
          <w:rFonts w:ascii="Times New Roman" w:cs="Times New Roman" w:eastAsia="Times New Roman" w:hAnsi="Times New Roman"/>
          <w:sz w:val="18"/>
          <w:szCs w:val="18"/>
          <w:b w:val="1"/>
          <w:bCs w:val="1"/>
          <w:color w:val="auto"/>
        </w:rPr>
        <w:t xml:space="preserve"> .</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001-16537</w:t>
      </w:r>
    </w:p>
    <w:p>
      <w:pPr>
        <w:spacing w:after="0" w:line="3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6"/>
          <w:szCs w:val="36"/>
          <w:b w:val="1"/>
          <w:bCs w:val="1"/>
          <w:color w:val="auto"/>
        </w:rPr>
        <w:t>ORASURE TECHNOLOGIES, INC.</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95" w:lineRule="exact"/>
        <w:rPr>
          <w:sz w:val="24"/>
          <w:szCs w:val="24"/>
          <w:color w:val="auto"/>
        </w:rPr>
      </w:pPr>
    </w:p>
    <w:tbl>
      <w:tblPr>
        <w:tblLayout w:type="fixed"/>
        <w:tblInd w:w="1020" w:type="dxa"/>
        <w:tblCellMar>
          <w:top w:w="0" w:type="dxa"/>
          <w:left w:w="0" w:type="dxa"/>
          <w:bottom w:w="0" w:type="dxa"/>
          <w:right w:w="0" w:type="dxa"/>
        </w:tblCellMar>
      </w:tblPr>
      <w:tr>
        <w:trPr>
          <w:trHeight w:val="238"/>
        </w:trPr>
        <w:tc>
          <w:tcPr>
            <w:tcW w:w="4980" w:type="dxa"/>
            <w:vAlign w:val="bottom"/>
          </w:tcPr>
          <w:p>
            <w:pPr>
              <w:jc w:val="center"/>
              <w:ind w:right="13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8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36-4370966</w:t>
            </w:r>
          </w:p>
        </w:tc>
      </w:tr>
      <w:tr>
        <w:trPr>
          <w:trHeight w:val="205"/>
        </w:trPr>
        <w:tc>
          <w:tcPr>
            <w:tcW w:w="4980" w:type="dxa"/>
            <w:vAlign w:val="bottom"/>
          </w:tcPr>
          <w:p>
            <w:pPr>
              <w:jc w:val="center"/>
              <w:ind w:right="1321"/>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80" w:type="dxa"/>
            <w:vAlign w:val="bottom"/>
          </w:tcPr>
          <w:p>
            <w:pPr>
              <w:jc w:val="center"/>
              <w:ind w:left="129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190"/>
        </w:trPr>
        <w:tc>
          <w:tcPr>
            <w:tcW w:w="4980" w:type="dxa"/>
            <w:vAlign w:val="bottom"/>
          </w:tcPr>
          <w:p>
            <w:pPr>
              <w:jc w:val="center"/>
              <w:ind w:right="13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80" w:type="dxa"/>
            <w:vAlign w:val="bottom"/>
          </w:tcPr>
          <w:p>
            <w:pPr>
              <w:spacing w:after="0"/>
              <w:rPr>
                <w:sz w:val="16"/>
                <w:szCs w:val="16"/>
                <w:color w:val="auto"/>
              </w:rPr>
            </w:pPr>
          </w:p>
        </w:tc>
      </w:tr>
      <w:tr>
        <w:trPr>
          <w:trHeight w:val="455"/>
        </w:trPr>
        <w:tc>
          <w:tcPr>
            <w:tcW w:w="4980" w:type="dxa"/>
            <w:vAlign w:val="bottom"/>
          </w:tcPr>
          <w:p>
            <w:pPr>
              <w:jc w:val="center"/>
              <w:ind w:right="1301"/>
              <w:spacing w:after="0"/>
              <w:rPr>
                <w:sz w:val="20"/>
                <w:szCs w:val="20"/>
                <w:color w:val="auto"/>
              </w:rPr>
            </w:pPr>
            <w:r>
              <w:rPr>
                <w:rFonts w:ascii="Times New Roman" w:cs="Times New Roman" w:eastAsia="Times New Roman" w:hAnsi="Times New Roman"/>
                <w:sz w:val="18"/>
                <w:szCs w:val="18"/>
                <w:b w:val="1"/>
                <w:bCs w:val="1"/>
                <w:color w:val="auto"/>
              </w:rPr>
              <w:t>220 East First Street, Bethlehem, Pennsylvania</w:t>
            </w:r>
          </w:p>
        </w:tc>
        <w:tc>
          <w:tcPr>
            <w:tcW w:w="348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18015</w:t>
            </w:r>
          </w:p>
        </w:tc>
      </w:tr>
      <w:tr>
        <w:trPr>
          <w:trHeight w:val="220"/>
        </w:trPr>
        <w:tc>
          <w:tcPr>
            <w:tcW w:w="4980" w:type="dxa"/>
            <w:vAlign w:val="bottom"/>
          </w:tcPr>
          <w:p>
            <w:pPr>
              <w:jc w:val="center"/>
              <w:ind w:right="13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80" w:type="dxa"/>
            <w:vAlign w:val="bottom"/>
          </w:tcPr>
          <w:p>
            <w:pPr>
              <w:jc w:val="center"/>
              <w:ind w:left="129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(610) 882-1820</w:t>
      </w:r>
    </w:p>
    <w:p>
      <w:pPr>
        <w:spacing w:after="0" w:line="3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540" w:type="dxa"/>
            <w:vAlign w:val="bottom"/>
            <w:tcBorders>
              <w:top w:val="single" w:sz="8" w:color="auto"/>
              <w:lef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600" w:type="dxa"/>
            <w:vAlign w:val="bottom"/>
            <w:tcBorders>
              <w:top w:val="single" w:sz="8" w:color="auto"/>
              <w:right w:val="single" w:sz="8" w:color="auto"/>
            </w:tcBorders>
          </w:tcPr>
          <w:p>
            <w:pPr>
              <w:spacing w:after="0"/>
              <w:rPr>
                <w:sz w:val="20"/>
                <w:szCs w:val="20"/>
                <w:color w:val="auto"/>
              </w:rPr>
            </w:pPr>
          </w:p>
        </w:tc>
      </w:tr>
      <w:tr>
        <w:trPr>
          <w:trHeight w:val="238"/>
        </w:trPr>
        <w:tc>
          <w:tcPr>
            <w:tcW w:w="4640" w:type="dxa"/>
            <w:vAlign w:val="bottom"/>
            <w:tcBorders>
              <w:lef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540" w:type="dxa"/>
            <w:vAlign w:val="bottom"/>
            <w:tcBorders>
              <w:left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r>
      <w:tr>
        <w:trPr>
          <w:trHeight w:val="237"/>
        </w:trPr>
        <w:tc>
          <w:tcPr>
            <w:tcW w:w="4640" w:type="dxa"/>
            <w:vAlign w:val="bottom"/>
            <w:tcBorders>
              <w:lef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Common Stock, $0.000001 par value per share</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OSUR</w:t>
            </w:r>
          </w:p>
        </w:tc>
        <w:tc>
          <w:tcPr>
            <w:tcW w:w="100" w:type="dxa"/>
            <w:vAlign w:val="bottom"/>
          </w:tcPr>
          <w:p>
            <w:pPr>
              <w:spacing w:after="0"/>
              <w:rPr>
                <w:sz w:val="20"/>
                <w:szCs w:val="20"/>
                <w:color w:val="auto"/>
              </w:rPr>
            </w:pPr>
          </w:p>
        </w:tc>
        <w:tc>
          <w:tcPr>
            <w:tcW w:w="4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454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r>
    </w:tbl>
    <w:p>
      <w:pPr>
        <w:spacing w:after="0" w:line="90" w:lineRule="exact"/>
        <w:rPr>
          <w:sz w:val="24"/>
          <w:szCs w:val="24"/>
          <w:color w:val="auto"/>
        </w:rPr>
      </w:pPr>
    </w:p>
    <w:p>
      <w:pPr>
        <w:ind w:right="320" w:firstLine="1134"/>
        <w:spacing w:after="0" w:line="260"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 w:lineRule="exact"/>
        <w:rPr>
          <w:sz w:val="24"/>
          <w:szCs w:val="24"/>
          <w:color w:val="auto"/>
        </w:rPr>
      </w:pPr>
    </w:p>
    <w:p>
      <w:pPr>
        <w:ind w:right="80" w:firstLine="1134"/>
        <w:spacing w:after="0" w:line="257"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 w:lineRule="exact"/>
        <w:rPr>
          <w:sz w:val="24"/>
          <w:szCs w:val="24"/>
          <w:color w:val="auto"/>
        </w:rPr>
      </w:pPr>
    </w:p>
    <w:p>
      <w:pPr>
        <w:ind w:right="80" w:firstLine="1134"/>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growth company” in Rule 12b-2 of the Exchange Act.</w:t>
            </w:r>
          </w:p>
        </w:tc>
        <w:tc>
          <w:tcPr>
            <w:tcW w:w="45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52"/>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3700" w:type="dxa"/>
            <w:vAlign w:val="bottom"/>
          </w:tcPr>
          <w:p>
            <w:pPr>
              <w:ind w:left="660"/>
              <w:spacing w:after="0"/>
              <w:rPr>
                <w:sz w:val="20"/>
                <w:szCs w:val="20"/>
                <w:color w:val="auto"/>
              </w:rPr>
            </w:pPr>
            <w:r>
              <w:rPr>
                <w:rFonts w:ascii="Wingdings" w:cs="Wingdings" w:eastAsia="Wingdings" w:hAnsi="Wingdings"/>
                <w:sz w:val="18"/>
                <w:szCs w:val="18"/>
                <w:b w:val="1"/>
                <w:bCs w:val="1"/>
                <w:color w:val="auto"/>
              </w:rPr>
              <w:t>o</w:t>
            </w:r>
          </w:p>
        </w:tc>
        <w:tc>
          <w:tcPr>
            <w:tcW w:w="45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460"/>
              <w:spacing w:after="0"/>
              <w:rPr>
                <w:sz w:val="20"/>
                <w:szCs w:val="20"/>
                <w:color w:val="auto"/>
              </w:rPr>
            </w:pPr>
            <w:r>
              <w:rPr>
                <w:rFonts w:ascii="Wingdings" w:cs="Wingdings" w:eastAsia="Wingdings" w:hAnsi="Wingdings"/>
                <w:sz w:val="18"/>
                <w:szCs w:val="18"/>
                <w:b w:val="1"/>
                <w:bCs w:val="1"/>
                <w:color w:val="auto"/>
                <w:w w:val="94"/>
              </w:rPr>
              <w:t>x</w:t>
            </w:r>
          </w:p>
        </w:tc>
      </w:tr>
      <w:tr>
        <w:trPr>
          <w:trHeight w:val="378"/>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3700" w:type="dxa"/>
            <w:vAlign w:val="bottom"/>
          </w:tcPr>
          <w:p>
            <w:pPr>
              <w:ind w:left="660"/>
              <w:spacing w:after="0"/>
              <w:rPr>
                <w:sz w:val="20"/>
                <w:szCs w:val="20"/>
                <w:color w:val="auto"/>
              </w:rPr>
            </w:pPr>
            <w:r>
              <w:rPr>
                <w:rFonts w:ascii="Wingdings" w:cs="Wingdings" w:eastAsia="Wingdings" w:hAnsi="Wingdings"/>
                <w:sz w:val="18"/>
                <w:szCs w:val="18"/>
                <w:b w:val="1"/>
                <w:bCs w:val="1"/>
                <w:color w:val="auto"/>
              </w:rPr>
              <w:t>o</w:t>
            </w:r>
          </w:p>
        </w:tc>
        <w:tc>
          <w:tcPr>
            <w:tcW w:w="45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480"/>
              <w:spacing w:after="0"/>
              <w:rPr>
                <w:sz w:val="20"/>
                <w:szCs w:val="20"/>
                <w:color w:val="auto"/>
              </w:rPr>
            </w:pPr>
            <w:r>
              <w:rPr>
                <w:rFonts w:ascii="Wingdings" w:cs="Wingdings" w:eastAsia="Wingdings" w:hAnsi="Wingdings"/>
                <w:sz w:val="18"/>
                <w:szCs w:val="18"/>
                <w:b w:val="1"/>
                <w:bCs w:val="1"/>
                <w:color w:val="auto"/>
                <w:w w:val="99"/>
              </w:rPr>
              <w:t>o</w:t>
            </w:r>
          </w:p>
        </w:tc>
      </w:tr>
      <w:tr>
        <w:trPr>
          <w:trHeight w:val="378"/>
        </w:trPr>
        <w:tc>
          <w:tcPr>
            <w:tcW w:w="22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5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480"/>
              <w:spacing w:after="0"/>
              <w:rPr>
                <w:sz w:val="20"/>
                <w:szCs w:val="20"/>
                <w:color w:val="auto"/>
              </w:rPr>
            </w:pPr>
            <w:r>
              <w:rPr>
                <w:rFonts w:ascii="Wingdings" w:cs="Wingdings" w:eastAsia="Wingdings" w:hAnsi="Wingdings"/>
                <w:sz w:val="18"/>
                <w:szCs w:val="18"/>
                <w:b w:val="1"/>
                <w:bCs w:val="1"/>
                <w:color w:val="auto"/>
                <w:w w:val="99"/>
              </w:rPr>
              <w:t>o</w:t>
            </w:r>
          </w:p>
        </w:tc>
      </w:tr>
    </w:tbl>
    <w:p>
      <w:pPr>
        <w:spacing w:after="0" w:line="90" w:lineRule="exact"/>
        <w:rPr>
          <w:sz w:val="24"/>
          <w:szCs w:val="24"/>
          <w:color w:val="auto"/>
        </w:rPr>
      </w:pPr>
    </w:p>
    <w:p>
      <w:pPr>
        <w:ind w:right="820" w:firstLine="1134"/>
        <w:spacing w:after="0" w:line="266"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ind w:left="1140" w:right="600"/>
        <w:spacing w:after="0" w:line="297" w:lineRule="auto"/>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May 2, 2024, the registrant had 73,959,289 shares of common stock, $0.000001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certain “forward-looking statements” within the meaning of the Federal securities laws. These may include statements about the Company's expected revenues, earnings/losses per share, net income (loss), expenses, cash flow or other financial performance, or developments, clinical trial or development activities, expected regulatory filings and approvals, planned business transactions, views of future industry, competitive or market conditions, and other factors that could affect the Company's future operations, results of operations or financial position. These statements often include words, such as “believes,” “expects,” “anticipates,” “intends,” “plans,” “estimates,” “may,” “will,” “should,” “could,” or similar expressions.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Forward-looking statements are not guarantees of future performance or results. Known and unknown factors that could cause actual performance or results to be materially different from those expressed or implied in these statements include, but are not limited to:</w:t>
      </w:r>
    </w:p>
    <w:p>
      <w:pPr>
        <w:spacing w:after="0" w:line="162" w:lineRule="exact"/>
        <w:rPr>
          <w:sz w:val="20"/>
          <w:szCs w:val="20"/>
          <w:color w:val="auto"/>
        </w:rPr>
      </w:pPr>
    </w:p>
    <w:p>
      <w:pPr>
        <w:ind w:left="260" w:right="2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and the Company's ability to market and sell, its products and services, whether through its internal, direct sales force or third parties;</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distributors or other customers to meet purchase forecasts, historic purchase levels or minimum purchase requirements for the Company's products;</w:t>
      </w:r>
    </w:p>
    <w:p>
      <w:pPr>
        <w:spacing w:after="0" w:line="16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customer concentrations that exist or may develop in the future;</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manufacture products in accordance with applicable specifications, performance standards and quality requirements;</w:t>
      </w:r>
    </w:p>
    <w:p>
      <w:pPr>
        <w:spacing w:after="0" w:line="225" w:lineRule="exact"/>
        <w:rPr>
          <w:rFonts w:ascii="Times New Roman" w:cs="Times New Roman" w:eastAsia="Times New Roman" w:hAnsi="Times New Roman"/>
          <w:sz w:val="18"/>
          <w:szCs w:val="18"/>
          <w:color w:val="auto"/>
        </w:rPr>
      </w:pPr>
    </w:p>
    <w:p>
      <w:pPr>
        <w:ind w:left="260" w:right="2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achieve the anticipated cost savings as a result of its business restructuring, including from in-sourcing third party manufacturing and exiting microbiome services;</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obtain, and timing and cost of obtaining, necessary regulatory approvals for new products or new indications or applications for existing products; ability to comply with applicable regulatory requirements;</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effectively resolve warning letters, audit observations and other findings or comments from the U.S. Food and Drug Administration or other regulators;</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including disputes or disagreements, with strategic partners or other parties and reliance on strategic partners for the performance of critical activities under collaborative arrangements;</w:t>
      </w:r>
    </w:p>
    <w:p>
      <w:pPr>
        <w:spacing w:after="0" w:line="16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meet increased demand for its products;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replacing distributors on the Company's business;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levels at distributors and other customers;</w:t>
      </w:r>
    </w:p>
    <w:p>
      <w:pPr>
        <w:spacing w:after="0" w:line="225"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achieve its financial and strategic objectives and continue to increase its revenues, including the ability to expand international sales;</w:t>
      </w:r>
    </w:p>
    <w:p>
      <w:pPr>
        <w:spacing w:after="0" w:line="16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competitors, competing products and technology changes on the Company's business;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or deferral of public funding available to customers;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new or better technology or lower cost products;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develop, commercialize and market new products;</w:t>
      </w:r>
    </w:p>
    <w:p>
      <w:pPr>
        <w:spacing w:after="0" w:line="22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fulfill its commitments under its contract with the U.S. government for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260" w:hanging="252"/>
        <w:spacing w:after="0" w:line="266"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acceptance of products based on product performance or other factors, including changes in testing guidelines, algorithms or other recommendations by the Centers for Disease Control and Prevention (the "CDC") or other agencies; ability to fund research and development and other products and operations;</w:t>
      </w:r>
    </w:p>
    <w:p>
      <w:pPr>
        <w:spacing w:after="0" w:line="17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obtain and maintain new or existing product distribution channels;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sole supply sources for critical products and components;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related products produced by third parties or products required for use of the Company's products;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contracting with the U.S. government on the Company's business;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negative economic conditions on the Company's business;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sustained profitability;</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increase its gross margins;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utilize net operating loss carry forwards or other deferred tax assets;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the Company's stock price;</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relating to patent protection and potential patent infringement claims;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and costs of litigation relating to patents and other intellectual property;</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licenses to patents or other technology;</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enter into international manufacturing agreements;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Obstacles to international marketing and manufacturing of products;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international funding sources and testing algorithms on international sales;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movements in foreign currency exchange rates;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impairment of sources of capital;</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attract and retain qualified personnel;</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exposure to product liability and other types of litigation;</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international, federal or state laws and regulations;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consolidations and inventory practices;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failures and ability to obtain needed raw materials and components;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terrorist attacks and civil unrest;</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cybersecurity incidents and other disruptions involving our computer systems or those of our third-party IT service providers; and</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business and economic conditions, including interest rates and inflationary pressures.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and other factors that could affect the Company's results are discussed more fully under the section titled “Risk Factors,” set forth in Part II, Item 1A of this Quarterly Report on Form 10-Q, if any, in Part I, Item 1A of the Company's Annual Report on Form 10-K for the fiscal year ended December 31, 2023 filed with the Securities and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Commission (the “SEC”) on March 11, 2024, and in other SEC filings. Although forward-looking statements help to provide information about future prospects, readers should keep in mind that forward-looking statements may not be reliable. Readers are cautioned not to place undue reliance on the forward-looking statements. The forward-looking statements are made as of the date of this report and the Company undertakes no duty to update these statements, unless it is required to do so by law. If the Company does update one or more forward-looking statements, no inference should be drawn that it will make updates with respect to other forward-looking statements or that it will make any further updates to those forward-looking statements at any future time.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Investors should also be aware that while the Company does, from time to time, communicate with securities analysts, it is against the Company's policy to disclose any material non-public information or other confidential commercial information. Accordingly, stockholders should not assume that the Company agrees with any statement or report issued by any analyst irrespective of the content of the statement or report. Furthermore, the Company has a policy against issuing or confirming financial forecasts or projections issued by others. Thus, to the extent that reports issued by securities analysts contain any projections, forecasts or opinions, such reports are not the responsibility of OraSure.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9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32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320" w:type="dxa"/>
            <w:vAlign w:val="bottom"/>
            <w:gridSpan w:val="18"/>
            <w:vMerge w:val="continue"/>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Balance Sheets at March 31, 2024 and December 31,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three months ended March 31, 2024 and 2023</w:t>
            </w:r>
          </w:p>
        </w:tc>
        <w:tc>
          <w:tcPr>
            <w:tcW w:w="322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1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(Loss) for the three months ended March 31, 2024 and 2023</w:t>
            </w:r>
          </w:p>
        </w:tc>
        <w:tc>
          <w:tcPr>
            <w:tcW w:w="18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three months ended March 31, 2024 and 2023</w:t>
            </w:r>
          </w:p>
        </w:tc>
        <w:tc>
          <w:tcPr>
            <w:tcW w:w="316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3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Item 2. Management’s Discussion and Analysis of Financial Condition and Results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9"/>
              </w:rPr>
              <w:t>Item 3. Quantitative and Qualitative Disclosures About Market Risk</w:t>
            </w:r>
          </w:p>
        </w:tc>
        <w:tc>
          <w:tcPr>
            <w:tcW w:w="2160" w:type="dxa"/>
            <w:vAlign w:val="bottom"/>
            <w:tcBorders>
              <w:top w:val="single" w:sz="8" w:color="0000FF"/>
            </w:tcBorders>
            <w:gridSpan w:val="4"/>
          </w:tcPr>
          <w:p>
            <w:pPr>
              <w:spacing w:after="0"/>
              <w:rPr>
                <w:sz w:val="24"/>
                <w:szCs w:val="24"/>
                <w:color w:val="auto"/>
              </w:rPr>
            </w:pPr>
          </w:p>
        </w:tc>
        <w:tc>
          <w:tcPr>
            <w:tcW w:w="290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3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Item 4. 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500" w:type="dxa"/>
            <w:vAlign w:val="bottom"/>
            <w:gridSpan w:val="8"/>
          </w:tcPr>
          <w:p>
            <w:pPr>
              <w:ind w:left="40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20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Item 1. Legal Proceedings</w:t>
            </w:r>
          </w:p>
        </w:tc>
        <w:tc>
          <w:tcPr>
            <w:tcW w:w="832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9"/>
              </w:rPr>
              <w:t>Item 1A. Risk Factors</w:t>
            </w:r>
          </w:p>
        </w:tc>
        <w:tc>
          <w:tcPr>
            <w:tcW w:w="862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1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9"/>
              </w:rPr>
              <w:t>Item 2. Unregistered Sales of Equity Securities and Use of Proceeds</w:t>
            </w:r>
          </w:p>
        </w:tc>
        <w:tc>
          <w:tcPr>
            <w:tcW w:w="516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9"/>
              </w:rPr>
              <w:t>Item 3. Defaults Upon Senior Securities</w:t>
            </w:r>
          </w:p>
        </w:tc>
        <w:tc>
          <w:tcPr>
            <w:tcW w:w="728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3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Item 4. 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0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9"/>
              </w:rPr>
              <w:t>Item 5. Other Information</w:t>
            </w:r>
          </w:p>
        </w:tc>
        <w:tc>
          <w:tcPr>
            <w:tcW w:w="380" w:type="dxa"/>
            <w:vAlign w:val="bottom"/>
            <w:tcBorders>
              <w:top w:val="single" w:sz="8" w:color="0000FF"/>
            </w:tcBorders>
          </w:tcPr>
          <w:p>
            <w:pPr>
              <w:spacing w:after="0"/>
              <w:rPr>
                <w:sz w:val="24"/>
                <w:szCs w:val="24"/>
                <w:color w:val="auto"/>
              </w:rPr>
            </w:pPr>
          </w:p>
        </w:tc>
        <w:tc>
          <w:tcPr>
            <w:tcW w:w="790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2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Item 6. Exhibits</w:t>
            </w:r>
          </w:p>
        </w:tc>
        <w:tc>
          <w:tcPr>
            <w:tcW w:w="908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52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290,407</w:t>
            </w:r>
          </w:p>
        </w:tc>
        <w:tc>
          <w:tcPr>
            <w:tcW w:w="0" w:type="dxa"/>
            <w:vAlign w:val="bottom"/>
          </w:tcPr>
          <w:p>
            <w:pPr>
              <w:spacing w:after="0"/>
              <w:rPr>
                <w:sz w:val="1"/>
                <w:szCs w:val="1"/>
                <w:color w:val="auto"/>
              </w:rPr>
            </w:pPr>
          </w:p>
        </w:tc>
      </w:tr>
      <w:tr>
        <w:trPr>
          <w:trHeight w:val="21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investments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receivable, net of allowance of $1,065 and $1,216</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40,171</w:t>
            </w:r>
          </w:p>
        </w:tc>
        <w:tc>
          <w:tcPr>
            <w:tcW w:w="0" w:type="dxa"/>
            <w:vAlign w:val="bottom"/>
          </w:tcPr>
          <w:p>
            <w:pPr>
              <w:spacing w:after="0"/>
              <w:rPr>
                <w:sz w:val="1"/>
                <w:szCs w:val="1"/>
                <w:color w:val="auto"/>
              </w:rPr>
            </w:pPr>
          </w:p>
        </w:tc>
      </w:tr>
      <w:tr>
        <w:trPr>
          <w:trHeight w:val="21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47,614</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Prepaid expenses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6,041</w:t>
            </w:r>
          </w:p>
        </w:tc>
        <w:tc>
          <w:tcPr>
            <w:tcW w:w="0" w:type="dxa"/>
            <w:vAlign w:val="bottom"/>
          </w:tcPr>
          <w:p>
            <w:pPr>
              <w:spacing w:after="0"/>
              <w:rPr>
                <w:sz w:val="1"/>
                <w:szCs w:val="1"/>
                <w:color w:val="auto"/>
              </w:rPr>
            </w:pPr>
          </w:p>
        </w:tc>
      </w:tr>
      <w:tr>
        <w:trPr>
          <w:trHeight w:val="213"/>
        </w:trPr>
        <w:tc>
          <w:tcPr>
            <w:tcW w:w="7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386,459</w:t>
            </w:r>
          </w:p>
        </w:tc>
        <w:tc>
          <w:tcPr>
            <w:tcW w:w="0" w:type="dxa"/>
            <w:vAlign w:val="bottom"/>
          </w:tcPr>
          <w:p>
            <w:pPr>
              <w:spacing w:after="0"/>
              <w:rPr>
                <w:sz w:val="1"/>
                <w:szCs w:val="1"/>
                <w:color w:val="auto"/>
              </w:rPr>
            </w:pP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Property, plant and equipment, net of accumulated depreciation of $86,332 and $85,143</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45,420</w:t>
            </w:r>
          </w:p>
        </w:tc>
        <w:tc>
          <w:tcPr>
            <w:tcW w:w="0" w:type="dxa"/>
            <w:vAlign w:val="bottom"/>
          </w:tcPr>
          <w:p>
            <w:pPr>
              <w:spacing w:after="0"/>
              <w:rPr>
                <w:sz w:val="1"/>
                <w:szCs w:val="1"/>
                <w:color w:val="auto"/>
              </w:rPr>
            </w:pPr>
          </w:p>
        </w:tc>
      </w:tr>
      <w:tr>
        <w:trPr>
          <w:trHeight w:val="21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right-of-use assets, net</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12,270</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Finance right-of-use assets, net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0" w:type="dxa"/>
            <w:vAlign w:val="bottom"/>
          </w:tcPr>
          <w:p>
            <w:pPr>
              <w:spacing w:after="0"/>
              <w:rPr>
                <w:sz w:val="1"/>
                <w:szCs w:val="1"/>
                <w:color w:val="auto"/>
              </w:rPr>
            </w:pPr>
          </w:p>
        </w:tc>
      </w:tr>
      <w:tr>
        <w:trPr>
          <w:trHeight w:val="21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Intangible assets, net of accumulated amortization of $33,261 and $33,649</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35,696</w:t>
            </w:r>
          </w:p>
        </w:tc>
        <w:tc>
          <w:tcPr>
            <w:tcW w:w="0" w:type="dxa"/>
            <w:vAlign w:val="bottom"/>
          </w:tcPr>
          <w:p>
            <w:pPr>
              <w:spacing w:after="0"/>
              <w:rPr>
                <w:sz w:val="1"/>
                <w:szCs w:val="1"/>
                <w:color w:val="auto"/>
              </w:rPr>
            </w:pPr>
          </w:p>
        </w:tc>
      </w:tr>
      <w:tr>
        <w:trPr>
          <w:trHeight w:val="21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Investment in equity method investee</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0" w:type="dxa"/>
            <w:vAlign w:val="bottom"/>
          </w:tcPr>
          <w:p>
            <w:pPr>
              <w:spacing w:after="0"/>
              <w:rPr>
                <w:sz w:val="1"/>
                <w:szCs w:val="1"/>
                <w:color w:val="auto"/>
              </w:rPr>
            </w:pPr>
          </w:p>
        </w:tc>
      </w:tr>
      <w:tr>
        <w:trPr>
          <w:trHeight w:val="207"/>
        </w:trPr>
        <w:tc>
          <w:tcPr>
            <w:tcW w:w="77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Total noncurrent assets</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119,053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96,386</w:t>
            </w:r>
          </w:p>
        </w:tc>
        <w:tc>
          <w:tcPr>
            <w:tcW w:w="0" w:type="dxa"/>
            <w:vAlign w:val="bottom"/>
          </w:tcPr>
          <w:p>
            <w:pPr>
              <w:spacing w:after="0"/>
              <w:rPr>
                <w:sz w:val="1"/>
                <w:szCs w:val="1"/>
                <w:color w:val="auto"/>
              </w:rPr>
            </w:pPr>
          </w:p>
        </w:tc>
      </w:tr>
      <w:tr>
        <w:trPr>
          <w:trHeight w:val="23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467,558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482,845</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13,151</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0" w:type="dxa"/>
            <w:vAlign w:val="bottom"/>
          </w:tcPr>
          <w:p>
            <w:pPr>
              <w:spacing w:after="0"/>
              <w:rPr>
                <w:sz w:val="1"/>
                <w:szCs w:val="1"/>
                <w:color w:val="auto"/>
              </w:rPr>
            </w:pPr>
          </w:p>
        </w:tc>
      </w:tr>
      <w:tr>
        <w:trPr>
          <w:trHeight w:val="21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22,710</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Finance lease liability</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0" w:type="dxa"/>
            <w:vAlign w:val="bottom"/>
          </w:tcPr>
          <w:p>
            <w:pPr>
              <w:spacing w:after="0"/>
              <w:rPr>
                <w:sz w:val="1"/>
                <w:szCs w:val="1"/>
                <w:color w:val="auto"/>
              </w:rPr>
            </w:pPr>
          </w:p>
        </w:tc>
      </w:tr>
      <w:tr>
        <w:trPr>
          <w:trHeight w:val="213"/>
        </w:trPr>
        <w:tc>
          <w:tcPr>
            <w:tcW w:w="7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39,536</w:t>
            </w:r>
          </w:p>
        </w:tc>
        <w:tc>
          <w:tcPr>
            <w:tcW w:w="0" w:type="dxa"/>
            <w:vAlign w:val="bottom"/>
          </w:tcPr>
          <w:p>
            <w:pPr>
              <w:spacing w:after="0"/>
              <w:rPr>
                <w:sz w:val="1"/>
                <w:szCs w:val="1"/>
                <w:color w:val="auto"/>
              </w:rPr>
            </w:pP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Finance lease liability</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1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11,162</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0" w:type="dxa"/>
            <w:vAlign w:val="bottom"/>
          </w:tcPr>
          <w:p>
            <w:pPr>
              <w:spacing w:after="0"/>
              <w:rPr>
                <w:sz w:val="1"/>
                <w:szCs w:val="1"/>
                <w:color w:val="auto"/>
              </w:rPr>
            </w:pPr>
          </w:p>
        </w:tc>
      </w:tr>
      <w:tr>
        <w:trPr>
          <w:trHeight w:val="213"/>
        </w:trPr>
        <w:tc>
          <w:tcPr>
            <w:tcW w:w="7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12,638</w:t>
            </w:r>
          </w:p>
        </w:tc>
        <w:tc>
          <w:tcPr>
            <w:tcW w:w="0" w:type="dxa"/>
            <w:vAlign w:val="bottom"/>
          </w:tcPr>
          <w:p>
            <w:pPr>
              <w:spacing w:after="0"/>
              <w:rPr>
                <w:sz w:val="1"/>
                <w:szCs w:val="1"/>
                <w:color w:val="auto"/>
              </w:rPr>
            </w:pPr>
          </w:p>
        </w:tc>
      </w:tr>
      <w:tr>
        <w:trPr>
          <w:trHeight w:val="207"/>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41,307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52,174</w:t>
            </w:r>
          </w:p>
        </w:tc>
        <w:tc>
          <w:tcPr>
            <w:tcW w:w="0" w:type="dxa"/>
            <w:vAlign w:val="bottom"/>
          </w:tcPr>
          <w:p>
            <w:pPr>
              <w:spacing w:after="0"/>
              <w:rPr>
                <w:sz w:val="1"/>
                <w:szCs w:val="1"/>
                <w:color w:val="auto"/>
              </w:rPr>
            </w:pPr>
          </w:p>
        </w:tc>
      </w:tr>
      <w:tr>
        <w:trPr>
          <w:trHeight w:val="19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Preferred stock, par value $0.000001, 25,000 shares authorized, none issued</w:t>
            </w: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par value $0.000001, 120,000 shares authorized, 73,959 and 73,528 shares issued and outstanding</w:t>
            </w:r>
          </w:p>
        </w:tc>
        <w:tc>
          <w:tcPr>
            <w:tcW w:w="24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531,263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529,543</w:t>
            </w:r>
          </w:p>
        </w:tc>
        <w:tc>
          <w:tcPr>
            <w:tcW w:w="0" w:type="dxa"/>
            <w:vAlign w:val="bottom"/>
          </w:tcPr>
          <w:p>
            <w:pPr>
              <w:spacing w:after="0"/>
              <w:rPr>
                <w:sz w:val="1"/>
                <w:szCs w:val="1"/>
                <w:color w:val="auto"/>
              </w:rPr>
            </w:pPr>
          </w:p>
        </w:tc>
      </w:tr>
      <w:tr>
        <w:trPr>
          <w:trHeight w:val="21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(14,941)</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(83,931)</w:t>
            </w:r>
          </w:p>
        </w:tc>
        <w:tc>
          <w:tcPr>
            <w:tcW w:w="0" w:type="dxa"/>
            <w:vAlign w:val="bottom"/>
          </w:tcPr>
          <w:p>
            <w:pPr>
              <w:spacing w:after="0"/>
              <w:rPr>
                <w:sz w:val="1"/>
                <w:szCs w:val="1"/>
                <w:color w:val="auto"/>
              </w:rPr>
            </w:pPr>
          </w:p>
        </w:tc>
      </w:tr>
      <w:tr>
        <w:trPr>
          <w:trHeight w:val="207"/>
        </w:trPr>
        <w:tc>
          <w:tcPr>
            <w:tcW w:w="77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426,251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430,671</w:t>
            </w:r>
          </w:p>
        </w:tc>
        <w:tc>
          <w:tcPr>
            <w:tcW w:w="0" w:type="dxa"/>
            <w:vAlign w:val="bottom"/>
          </w:tcPr>
          <w:p>
            <w:pPr>
              <w:spacing w:after="0"/>
              <w:rPr>
                <w:sz w:val="1"/>
                <w:szCs w:val="1"/>
                <w:color w:val="auto"/>
              </w:rPr>
            </w:pPr>
          </w:p>
        </w:tc>
      </w:tr>
      <w:tr>
        <w:trPr>
          <w:trHeight w:val="23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467,558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482,845</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80" w:type="dxa"/>
            <w:vAlign w:val="bottom"/>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77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Products and services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53,779</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152,914</w:t>
            </w:r>
          </w:p>
        </w:tc>
      </w:tr>
      <w:tr>
        <w:trPr>
          <w:trHeight w:val="22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r>
      <w:tr>
        <w:trPr>
          <w:trHeight w:val="223"/>
        </w:trPr>
        <w:tc>
          <w:tcPr>
            <w:tcW w:w="7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154,963</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89,148</w:t>
            </w:r>
          </w:p>
        </w:tc>
      </w:tr>
      <w:tr>
        <w:trPr>
          <w:trHeight w:val="223"/>
        </w:trPr>
        <w:tc>
          <w:tcPr>
            <w:tcW w:w="7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65,815</w:t>
            </w:r>
          </w:p>
        </w:tc>
      </w:tr>
      <w:tr>
        <w:trPr>
          <w:trHeight w:val="20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10,560</w:t>
            </w:r>
          </w:p>
        </w:tc>
      </w:tr>
      <w:tr>
        <w:trPr>
          <w:trHeight w:val="23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w:t>
            </w:r>
          </w:p>
        </w:tc>
      </w:tr>
      <w:tr>
        <w:trPr>
          <w:trHeight w:val="229"/>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17,711</w:t>
            </w:r>
          </w:p>
        </w:tc>
      </w:tr>
      <w:tr>
        <w:trPr>
          <w:trHeight w:val="23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impairments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r>
      <w:tr>
        <w:trPr>
          <w:trHeight w:val="229"/>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the estimated fair value of acquisition-related contingent consideration</w:t>
            </w:r>
          </w:p>
        </w:tc>
        <w:tc>
          <w:tcPr>
            <w:tcW w:w="3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77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41,494</w:t>
            </w:r>
          </w:p>
        </w:tc>
      </w:tr>
      <w:tr>
        <w:trPr>
          <w:trHeight w:val="223"/>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24,321</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r>
      <w:tr>
        <w:trPr>
          <w:trHeight w:val="223"/>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26,994</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27,219</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7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PER SHARE:</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4"/>
        </w:trPr>
        <w:tc>
          <w:tcPr>
            <w:tcW w:w="7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74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0.37</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6"/>
        </w:trPr>
        <w:tc>
          <w:tcPr>
            <w:tcW w:w="7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OUTSTANDING:</w:t>
            </w: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73,947</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73,112</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48"/>
        </w:trPr>
        <w:tc>
          <w:tcPr>
            <w:tcW w:w="7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73,966</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3500" w:type="dxa"/>
            <w:vAlign w:val="bottom"/>
            <w:gridSpan w:val="5"/>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7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77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27,219</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30"/>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08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48"/>
        </w:trPr>
        <w:tc>
          <w:tcPr>
            <w:tcW w:w="7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08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28,236</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3500" w:type="dxa"/>
            <w:vAlign w:val="bottom"/>
            <w:gridSpan w:val="5"/>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7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6"/>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(3,584)</w:t>
            </w:r>
          </w:p>
        </w:tc>
        <w:tc>
          <w:tcPr>
            <w:tcW w:w="80" w:type="dxa"/>
            <w:vAlign w:val="bottom"/>
          </w:tcPr>
          <w:p>
            <w:pPr>
              <w:spacing w:after="0"/>
              <w:rPr>
                <w:sz w:val="19"/>
                <w:szCs w:val="19"/>
                <w:color w:val="auto"/>
              </w:rPr>
            </w:pPr>
          </w:p>
        </w:tc>
        <w:tc>
          <w:tcPr>
            <w:tcW w:w="4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27,219</w:t>
            </w:r>
          </w:p>
        </w:tc>
      </w:tr>
      <w:tr>
        <w:trPr>
          <w:trHeight w:val="233"/>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Adjustments to reconcile net income (loss) to net cash provided by operating activities:</w:t>
            </w: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6"/>
        </w:trPr>
        <w:tc>
          <w:tcPr>
            <w:tcW w:w="7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2,655</w:t>
            </w:r>
          </w:p>
        </w:tc>
      </w:tr>
      <w:tr>
        <w:trPr>
          <w:trHeight w:val="233"/>
        </w:trPr>
        <w:tc>
          <w:tcPr>
            <w:tcW w:w="7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2,725</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3,696</w:t>
            </w:r>
          </w:p>
        </w:tc>
      </w:tr>
      <w:tr>
        <w:trPr>
          <w:trHeight w:val="226"/>
        </w:trPr>
        <w:tc>
          <w:tcPr>
            <w:tcW w:w="7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Loss on impairments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1,105</w:t>
            </w:r>
          </w:p>
        </w:tc>
      </w:tr>
      <w:tr>
        <w:trPr>
          <w:trHeight w:val="233"/>
        </w:trPr>
        <w:tc>
          <w:tcPr>
            <w:tcW w:w="7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non-cash amortization</w:t>
            </w: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7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33"/>
        </w:trPr>
        <w:tc>
          <w:tcPr>
            <w:tcW w:w="7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Unrealized foreign currency (gain) loss</w:t>
            </w: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26"/>
        </w:trPr>
        <w:tc>
          <w:tcPr>
            <w:tcW w:w="7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Interest expense on finance leases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33"/>
        </w:trPr>
        <w:tc>
          <w:tcPr>
            <w:tcW w:w="7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Deferred income taxes</w:t>
            </w: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7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Change in the estimated fair value of acquisition-related contingent consideration</w:t>
            </w:r>
          </w:p>
        </w:tc>
        <w:tc>
          <w:tcPr>
            <w:tcW w:w="10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33"/>
        </w:trPr>
        <w:tc>
          <w:tcPr>
            <w:tcW w:w="7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Payment of acquisition-related contingent consideration</w:t>
            </w:r>
          </w:p>
        </w:tc>
        <w:tc>
          <w:tcPr>
            <w:tcW w:w="10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6"/>
        </w:trPr>
        <w:tc>
          <w:tcPr>
            <w:tcW w:w="7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3"/>
        </w:trPr>
        <w:tc>
          <w:tcPr>
            <w:tcW w:w="77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Accounts receivable</w:t>
            </w: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6,199</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(36,613)</w:t>
            </w:r>
          </w:p>
        </w:tc>
      </w:tr>
      <w:tr>
        <w:trPr>
          <w:trHeight w:val="226"/>
        </w:trPr>
        <w:tc>
          <w:tcPr>
            <w:tcW w:w="77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Inventories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18,540</w:t>
            </w:r>
          </w:p>
        </w:tc>
      </w:tr>
      <w:tr>
        <w:trPr>
          <w:trHeight w:val="233"/>
        </w:trPr>
        <w:tc>
          <w:tcPr>
            <w:tcW w:w="77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5,299</w:t>
            </w:r>
          </w:p>
        </w:tc>
      </w:tr>
      <w:tr>
        <w:trPr>
          <w:trHeight w:val="226"/>
        </w:trPr>
        <w:tc>
          <w:tcPr>
            <w:tcW w:w="77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Accounts payable</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(12,097)</w:t>
            </w:r>
          </w:p>
        </w:tc>
      </w:tr>
      <w:tr>
        <w:trPr>
          <w:trHeight w:val="233"/>
        </w:trPr>
        <w:tc>
          <w:tcPr>
            <w:tcW w:w="77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Deferred revenue</w:t>
            </w: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w:t>
            </w:r>
          </w:p>
        </w:tc>
      </w:tr>
      <w:tr>
        <w:trPr>
          <w:trHeight w:val="226"/>
        </w:trPr>
        <w:tc>
          <w:tcPr>
            <w:tcW w:w="770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(9,688)</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(3,472)</w:t>
            </w:r>
          </w:p>
        </w:tc>
      </w:tr>
      <w:tr>
        <w:trPr>
          <w:trHeight w:val="227"/>
        </w:trPr>
        <w:tc>
          <w:tcPr>
            <w:tcW w:w="77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6,738</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6,002</w:t>
            </w:r>
          </w:p>
        </w:tc>
      </w:tr>
      <w:tr>
        <w:trPr>
          <w:trHeight w:val="206"/>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3"/>
        </w:trPr>
        <w:tc>
          <w:tcPr>
            <w:tcW w:w="7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Purchases of short-term investments</w:t>
            </w: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(25,850)</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(22,330)</w:t>
            </w:r>
          </w:p>
        </w:tc>
      </w:tr>
      <w:tr>
        <w:trPr>
          <w:trHeight w:val="226"/>
        </w:trPr>
        <w:tc>
          <w:tcPr>
            <w:tcW w:w="7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Purchase of equity method investee</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(28,333)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Proceeds from maturities and redemptions of short-term investments</w:t>
            </w: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9,234</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27,304</w:t>
            </w:r>
          </w:p>
        </w:tc>
      </w:tr>
      <w:tr>
        <w:trPr>
          <w:trHeight w:val="226"/>
        </w:trPr>
        <w:tc>
          <w:tcPr>
            <w:tcW w:w="7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(1,191)</w:t>
            </w:r>
          </w:p>
        </w:tc>
      </w:tr>
      <w:tr>
        <w:trPr>
          <w:trHeight w:val="233"/>
        </w:trPr>
        <w:tc>
          <w:tcPr>
            <w:tcW w:w="7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Purchase of property and equipment under government contracts</w:t>
            </w:r>
          </w:p>
        </w:tc>
        <w:tc>
          <w:tcPr>
            <w:tcW w:w="10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(2,767)</w:t>
            </w:r>
          </w:p>
        </w:tc>
      </w:tr>
      <w:tr>
        <w:trPr>
          <w:trHeight w:val="219"/>
        </w:trPr>
        <w:tc>
          <w:tcPr>
            <w:tcW w:w="770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10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(46,528)</w:t>
            </w:r>
          </w:p>
        </w:tc>
        <w:tc>
          <w:tcPr>
            <w:tcW w:w="8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1,016</w:t>
            </w:r>
          </w:p>
        </w:tc>
      </w:tr>
      <w:tr>
        <w:trPr>
          <w:trHeight w:val="21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6"/>
        </w:trPr>
        <w:tc>
          <w:tcPr>
            <w:tcW w:w="7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Cash payments for lease liabilities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r>
      <w:tr>
        <w:trPr>
          <w:trHeight w:val="233"/>
        </w:trPr>
        <w:tc>
          <w:tcPr>
            <w:tcW w:w="7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26"/>
        </w:trPr>
        <w:tc>
          <w:tcPr>
            <w:tcW w:w="7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Payment of acquisition-related contingent consideration</w:t>
            </w:r>
          </w:p>
        </w:tc>
        <w:tc>
          <w:tcPr>
            <w:tcW w:w="10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33"/>
        </w:trPr>
        <w:tc>
          <w:tcPr>
            <w:tcW w:w="7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10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w:t>
            </w:r>
          </w:p>
        </w:tc>
        <w:tc>
          <w:tcPr>
            <w:tcW w:w="8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w:t>
            </w:r>
          </w:p>
        </w:tc>
      </w:tr>
      <w:tr>
        <w:trPr>
          <w:trHeight w:val="219"/>
        </w:trPr>
        <w:tc>
          <w:tcPr>
            <w:tcW w:w="770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(1,331)</w:t>
            </w:r>
          </w:p>
        </w:tc>
      </w:tr>
      <w:tr>
        <w:trPr>
          <w:trHeight w:val="22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FOREIGN EXCHANGE RATE CHANGES ON CASH</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r>
      <w:tr>
        <w:trPr>
          <w:trHeight w:val="226"/>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(43,262)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6,214</w:t>
            </w: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290,407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83,980</w:t>
            </w:r>
          </w:p>
        </w:tc>
      </w:tr>
      <w:tr>
        <w:trPr>
          <w:trHeight w:val="227"/>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104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247,145</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90,194</w:t>
            </w: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69"/>
        </w:trPr>
        <w:tc>
          <w:tcPr>
            <w:tcW w:w="77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26"/>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SUPPLEMENTAL DISCLOSURES OF CASH FLOW INFORMATION:</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(refunds) paid for income taxes</w:t>
            </w: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6"/>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investing and financing activities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3"/>
        </w:trPr>
        <w:tc>
          <w:tcPr>
            <w:tcW w:w="7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Accrued property and equipment purchases</w:t>
            </w: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w:t>
            </w: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 and Basis of Presentation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interim unaudited consolidated financial statements include the accounts of OraSure Technologies, Inc. (“OraSure”) and its wholly-owned subsidiaries, DNA Genotek Inc. (“DNAG”), Diversigen, Inc. (“Diversigen”), and Novosanis NV (“Novosanis”). All intercompany transactions and balances have been eliminated. References herein to “we,” “us,” “our,” or the “Company” mean OraSure and its consolidated subsidiaries, unless otherwise indicated. The unaudited financial statements, in the opinion of management, include all adjustments (consisting only of normal and recurring adjustments) necessary for a fair presentation of the Company's financial position and results of operations for these interim periods. These financial statements should be read in conjunction with the financial statements and notes thereto included in the Company's Annual Report on Form 10-K for the fiscal year ended December 31, 2023. Results of operations for the three months ended March 31, 2024 are not necessarily indicative of the results of operations expected for the full year.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Significant Accounting Policies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described in its Annual Report on Form 10-K for the fiscal year ended December 31, 2023 that have had a material impact on the consolidated financial statements and related notes except as discussed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 &amp; Short-Term Investments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all investments in debt securities to be available-for-sale securities. These securities consist of guaranteed investment certificates purchased with maturities greater than ninety days. Securities with maturities ninety days or less are considered cash equivalents. Available-for-sale securities are carried at fair value, based upon quoted market prices, with unrealized gains and losses, if any, reported in stockholders’ equity as a component of accumulated other comprehensive loss.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available-for-sale securities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3"/>
                <w:szCs w:val="13"/>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3"/>
                <w:szCs w:val="13"/>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tcPr>
          <w:p>
            <w:pPr>
              <w:jc w:val="center"/>
              <w:ind w:right="48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1440" w:type="dxa"/>
            <w:vAlign w:val="bottom"/>
            <w:gridSpan w:val="2"/>
          </w:tcPr>
          <w:p>
            <w:pPr>
              <w:jc w:val="center"/>
              <w:ind w:right="48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122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8"/>
        </w:trPr>
        <w:tc>
          <w:tcPr>
            <w:tcW w:w="4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7"/>
                <w:szCs w:val="17"/>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7"/>
                <w:szCs w:val="17"/>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Guaranteed investment certificates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16,627</w:t>
            </w:r>
          </w:p>
        </w:tc>
        <w:tc>
          <w:tcPr>
            <w:tcW w:w="2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16,627</w:t>
            </w:r>
          </w:p>
        </w:tc>
        <w:tc>
          <w:tcPr>
            <w:tcW w:w="0" w:type="dxa"/>
            <w:vAlign w:val="bottom"/>
          </w:tcPr>
          <w:p>
            <w:pPr>
              <w:spacing w:after="0"/>
              <w:rPr>
                <w:sz w:val="1"/>
                <w:szCs w:val="1"/>
                <w:color w:val="auto"/>
              </w:rPr>
            </w:pPr>
          </w:p>
        </w:tc>
      </w:tr>
      <w:tr>
        <w:trPr>
          <w:trHeight w:val="248"/>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16,627</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16,627</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At March 31, 2024, maturities of the Company's available-</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for-sale securities were as follows: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than one year</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16,627</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Greater than one year</w:t>
            </w: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ind w:left="9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ind w:left="9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available-for-sale securities as of December 31,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carrying values of cash and cash equivalents, accounts receivable, accounts payable, and accrued expenses approximate their respective fair values based on their short-term nature.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measurements of all financial assets and liabilities that are being measured and reported on a fair value basis are required to be classified and disclosed in one of the following three categories:</w:t>
      </w:r>
    </w:p>
    <w:p>
      <w:pPr>
        <w:spacing w:after="0" w:line="162" w:lineRule="exact"/>
        <w:rPr>
          <w:sz w:val="20"/>
          <w:szCs w:val="20"/>
          <w:color w:val="auto"/>
        </w:rPr>
      </w:pPr>
    </w:p>
    <w:p>
      <w:pPr>
        <w:ind w:left="1140"/>
        <w:spacing w:after="0" w:line="282" w:lineRule="auto"/>
        <w:rPr>
          <w:sz w:val="20"/>
          <w:szCs w:val="20"/>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162" w:lineRule="exact"/>
        <w:rPr>
          <w:sz w:val="20"/>
          <w:szCs w:val="20"/>
          <w:color w:val="auto"/>
        </w:rPr>
      </w:pPr>
    </w:p>
    <w:p>
      <w:pPr>
        <w:ind w:left="1140" w:right="20"/>
        <w:spacing w:after="0" w:line="282" w:lineRule="auto"/>
        <w:rPr>
          <w:sz w:val="20"/>
          <w:szCs w:val="20"/>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 and</w:t>
      </w:r>
    </w:p>
    <w:p>
      <w:pPr>
        <w:spacing w:after="0" w:line="162" w:lineRule="exact"/>
        <w:rPr>
          <w:sz w:val="20"/>
          <w:szCs w:val="20"/>
          <w:color w:val="auto"/>
        </w:rPr>
      </w:pPr>
    </w:p>
    <w:p>
      <w:pPr>
        <w:ind w:left="1140"/>
        <w:spacing w:after="0" w:line="282" w:lineRule="auto"/>
        <w:rPr>
          <w:sz w:val="20"/>
          <w:szCs w:val="20"/>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Company's guaranteed investment certificates are measured as Level 1 instruments as of March 31, 2024.</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Included in cash and cash equivalents at March 31, 2024 and December 31, 2023 was $114.1 million and $112.7 million, respectively, invested in money market funds. These money market funds have investments in U.S. government securities and are measured as Level 1 instruments. Included in cash and cash equivalents at March 31, 2024 and December 31, 2023 was $53.6 million and $71.7 million, respectively, of guaranteed investment certificates, which are also measured as Level 1 instruments.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January 2024, the Company lead the Series B financing and have entered wide-ranging strategic distribution agreements with KKR Sapphiros L.P. ("Sapphiros"), a privately held consumer diagnostic portfolio company and certain of its related entities. Through this relationship, the Company expects to be able to offer a more comprehensive range of low-cost diagnostic test and molecular sample management solutions to the Company's customers globally. The Company has funded $28.3 million for an interest in Sapphiros, with an aggregate commitment of up to $30.0 million to be funded by June 2024, contingent on certain terms and conditions being met. The Company has recorded the investment using the equity method in accordance with Accounting Standards Codification Topic 323, </w:t>
      </w:r>
      <w:r>
        <w:rPr>
          <w:rFonts w:ascii="Times New Roman" w:cs="Times New Roman" w:eastAsia="Times New Roman" w:hAnsi="Times New Roman"/>
          <w:sz w:val="18"/>
          <w:szCs w:val="18"/>
          <w:i w:val="1"/>
          <w:iCs w:val="1"/>
          <w:color w:val="auto"/>
        </w:rPr>
        <w:t>Investments-Equity Method and Joint Ventures - Overall.</w:t>
      </w:r>
      <w:r>
        <w:rPr>
          <w:rFonts w:ascii="Times New Roman" w:cs="Times New Roman" w:eastAsia="Times New Roman" w:hAnsi="Times New Roman"/>
          <w:sz w:val="18"/>
          <w:szCs w:val="18"/>
          <w:color w:val="auto"/>
        </w:rPr>
        <w:t xml:space="preserve"> The investment in Sapphiros L.P. of $28.3 million as of March 31, 2024 is included in the equity method investee line of the Company's balance sheet and is measured as Level 3 investments. There is no similar investment as of December 31, 2023.</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offers a nonqualified deferred compensation plan for certain eligible employees and members of its Board of Directors. The assets of the plan are held in the name of the Company at a third-party financial institution. Separate accounts are maintained for each participant to reflect the amounts deferred by the participant and all earnings and losses on those deferred amounts. The assets of the plan are held in mutual funds and company stock. The fair value of the plan assets as of both March 31, 2024 and December 31, 2023 was $0.8 million and was calculated using the quoted market prices of the assets as of those dates. All investments in the plan are classified as trading securities and measured as Level 1 instruments. The fair value of plan assets is included in both current assets and noncurrent assets with the same amount included in accrued expenses and other noncurrent liabilities in the accompanying consolidated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foreign exchange gains and (losses) resulting from foreign currency transactions that are included in other income in the Company's consolidated statements of operations were $0.2 million and $(0.05) million for the three months ended March 31, 2024 and 2023,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Long-lived assets, which include property, plant and equipment, definite-lived intangible assets, as well as right-of-use assets (ROU assets) of operating and finance leases, are tested for recoverability whenever events or changes in business circumstances indicate that the carrying amount of the assets may not be fully recoverable. The Company assesses the recoverability of the Company's long-lived assets by determining whether the carrying value of such assets can be recovered through the sum of the undiscounted future cash flows expected to be generated from the use and eventual disposition of the asset. If indicators of impairment exist, the Company measures the amount of such impairment by comparing the carrying value of the assets to the fair value of these assets, which is generally determined based on the present value of the expected future cash flows associated with the use of the assets. Expected future cash flows reflect the Company's assumptions about selling prices, volumes, costs and market conditions over a reasonable period of time.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identified a triggering event to test for the recoverability of all the property, plant, and equipment and ROU assets of both the Diversigen and Novosanis subsidiaries during the three months ended March 31, 2024, given the Company's decision to initiate a strategic plan to transition away from the microbiome molecular sequencing services business and close its Belgian operations. The Company performed an undiscounted cash flow analysis and determined the carrying values of the property, plant and equipment and ROU assets could not be recovered through the sum of the undiscounted future cash flows and were impaired. During the three months ended March 31, 2024 the Company recognized aggregate pre-tax impairment charges of $1.2 million and $0.3 million to its operating and finance ROU assets, respectively. These charges are reported in the Company's consolidated statement of operations. The impact of the impairments on the Company's property, plant, equipment for the three months ended March 31, 2024 is discussed further in Note 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accumulated other comprehensive loss by component is listed below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40" w:type="dxa"/>
            <w:vAlign w:val="bottom"/>
          </w:tcPr>
          <w:p>
            <w:pPr>
              <w:spacing w:after="0"/>
              <w:rPr>
                <w:sz w:val="16"/>
                <w:szCs w:val="16"/>
                <w:color w:val="auto"/>
              </w:rPr>
            </w:pPr>
          </w:p>
        </w:tc>
        <w:tc>
          <w:tcPr>
            <w:tcW w:w="11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8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(14,941)</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(14,941)</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(17,497)</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March 2024, the Financial Accounting Standards Board (FASB) issued Accounting Standard Update ("ASU") No. 2024-01,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The purpose of this update was to provide illustrative examples to demonstrate how an entity should apply guidance to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profits interests and similar awards should be accounted for in accordance with Topic 718. For public business entities, the amendments in this ASU are effective for fiscal years beginning after December 15, 2024, and interim periods within those fiscal periods. The amendments may be applied prospectively or retrospectively, and early adoption is permitted. Management is evaluating the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Government Capital Contracts</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September 2021, the Company entered into an agreement for $109.0 million in funding from the U.S. Department of Defense (the "DOD"), in coordination with the Department of Health and Human Services, to build additional manufacturing capacity in the United States for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Tests as part of the nation’s pandemic preparedness plan. In accordance with the milestone payment schedule, 15% of the total was not billed and funded until the completion of the final validation testing, which occurred in October 2023. The Company began receiving funds from the DOD in January 2022 and has received $109.0 million as of December 31, 2023. In connection with the completion of the contract in the fourth quarter of 2023, all funds were received.</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Activity for these capital contracts is accounted for pursuant to International Accounting Standards ("IAS") 20, </w:t>
      </w:r>
      <w:r>
        <w:rPr>
          <w:rFonts w:ascii="Times New Roman" w:cs="Times New Roman" w:eastAsia="Times New Roman" w:hAnsi="Times New Roman"/>
          <w:sz w:val="18"/>
          <w:szCs w:val="18"/>
          <w:i w:val="1"/>
          <w:iCs w:val="1"/>
          <w:color w:val="auto"/>
        </w:rPr>
        <w:t>Accounting for Government Grants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 of Government Assistance, </w:t>
      </w:r>
      <w:r>
        <w:rPr>
          <w:rFonts w:ascii="Times New Roman" w:cs="Times New Roman" w:eastAsia="Times New Roman" w:hAnsi="Times New Roman"/>
          <w:sz w:val="18"/>
          <w:szCs w:val="18"/>
          <w:color w:val="auto"/>
        </w:rPr>
        <w:t>as there is not direct US GAAP guidance for this type of transaction. Funding received in relation to capital-related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incurred for government contracts is recorded as a reduction to the cost of property, plant and equipment and reflected within investing activities in the consolidated statements of cash flows; and associated unpaid liabilities and government proceeds receivable are considered non-cash changes in such balances within the operating section of the consolidated statements of cash flows.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earned for the Company's guaranteed profit which covered project management costs were recognized straight-line in other income over the term of the government contract. The Company recognized no such income during the three months ended March 31, 2024 and $0.6 million during the three months ended March 31,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DOD also reimbursed the Company for certain engineering consulting costs. These expenses are reflected in research and development expenses as incurred with the corresponding amount presented in other income. The Company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no such costs during the three months ended March 31, 2024 and $1.1 million during the three months ended March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activity corresponding to the government contracts included in the Company's consolidated statements of cash flows for the cumulative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is as follows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7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assets, cumulative</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86,993</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Reduction for funding received to date</w:t>
            </w:r>
          </w:p>
        </w:tc>
        <w:tc>
          <w:tcPr>
            <w:tcW w:w="3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(86,993)</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28"/>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Inventories (in thousands)</w:t>
            </w: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24"/>
                <w:szCs w:val="24"/>
                <w:color w:val="auto"/>
              </w:rPr>
            </w:pPr>
          </w:p>
        </w:tc>
        <w:tc>
          <w:tcPr>
            <w:tcW w:w="144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7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20,727</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24,219</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24,987</w:t>
            </w:r>
          </w:p>
        </w:tc>
        <w:tc>
          <w:tcPr>
            <w:tcW w:w="0" w:type="dxa"/>
            <w:vAlign w:val="bottom"/>
          </w:tcPr>
          <w:p>
            <w:pPr>
              <w:spacing w:after="0"/>
              <w:rPr>
                <w:sz w:val="1"/>
                <w:szCs w:val="1"/>
                <w:color w:val="auto"/>
              </w:rPr>
            </w:pPr>
          </w:p>
        </w:tc>
      </w:tr>
      <w:tr>
        <w:trPr>
          <w:trHeight w:val="223"/>
        </w:trPr>
        <w:tc>
          <w:tcPr>
            <w:tcW w:w="76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43,180</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47,614</w:t>
            </w:r>
          </w:p>
        </w:tc>
        <w:tc>
          <w:tcPr>
            <w:tcW w:w="0" w:type="dxa"/>
            <w:vAlign w:val="bottom"/>
          </w:tcPr>
          <w:p>
            <w:pPr>
              <w:spacing w:after="0"/>
              <w:rPr>
                <w:sz w:val="1"/>
                <w:szCs w:val="1"/>
                <w:color w:val="auto"/>
              </w:rPr>
            </w:pPr>
          </w:p>
        </w:tc>
      </w:tr>
      <w:tr>
        <w:trPr>
          <w:trHeight w:val="21"/>
        </w:trPr>
        <w:tc>
          <w:tcPr>
            <w:tcW w:w="7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Property, Plant and Equipment, net (in thousands)</w:t>
            </w: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7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24"/>
                <w:szCs w:val="24"/>
                <w:color w:val="auto"/>
              </w:rPr>
            </w:pPr>
          </w:p>
        </w:tc>
        <w:tc>
          <w:tcPr>
            <w:tcW w:w="144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7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34,606</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64,156</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17,739</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9,341</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9,196</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128,929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130,563</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(86,332)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(85,143)</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45,420</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the Company initiated a strategic plan to transition away from the microbiome molecular sequencing services business and to exit operations at its Belgium location. As a result of these decisions, the Company determined that the carrying values of all the property, plant, and equipment of its Diversigen and Novosanis subsidiaries were not recoverable and recorded an aggregate pre-tax asset impairment charge of $1.8 million during the three months ended March 31,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the Company determined several manufacturing lines will not be utilized due to changes in forecasted demand for the products the equipment is intended to produce. As a result of this decision, the Company determined that the carrying value of the equipment was not recoverable and recorded an aggregate pre-tax asset impairment charge of $1.1 million during the three months ended March 31, 2023.</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Due to the extremely specialized nature of the equipment and various market data points, the estimated fair value was zero. These charges are reported within loss on impairments in the consolidated statements of operations.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Accrued Expenses and Other Current Liabilities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6"/>
                <w:szCs w:val="16"/>
                <w:color w:val="auto"/>
              </w:rPr>
            </w:pPr>
          </w:p>
        </w:tc>
        <w:tc>
          <w:tcPr>
            <w:tcW w:w="14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60" w:type="dxa"/>
            <w:vAlign w:val="bottom"/>
            <w:tcBorders>
              <w:bottom w:val="single" w:sz="8" w:color="CCEEFF"/>
            </w:tcBorders>
          </w:tcPr>
          <w:p>
            <w:pPr>
              <w:spacing w:after="0"/>
              <w:rPr>
                <w:sz w:val="16"/>
                <w:szCs w:val="16"/>
                <w:color w:val="auto"/>
              </w:rPr>
            </w:pPr>
          </w:p>
        </w:tc>
        <w:tc>
          <w:tcPr>
            <w:tcW w:w="39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39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14,654</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tax payable</w:t>
            </w:r>
          </w:p>
        </w:tc>
        <w:tc>
          <w:tcPr>
            <w:tcW w:w="3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9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0" w:type="dxa"/>
            <w:vAlign w:val="bottom"/>
          </w:tcPr>
          <w:p>
            <w:pPr>
              <w:spacing w:after="0"/>
              <w:rPr>
                <w:sz w:val="1"/>
                <w:szCs w:val="1"/>
                <w:color w:val="auto"/>
              </w:rPr>
            </w:pPr>
          </w:p>
        </w:tc>
      </w:tr>
      <w:tr>
        <w:trPr>
          <w:trHeight w:val="248"/>
        </w:trPr>
        <w:tc>
          <w:tcPr>
            <w:tcW w:w="376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12,715</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22,710</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bottom w:val="single" w:sz="8" w:color="CCEEFF"/>
            </w:tcBorders>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76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Termination Benefits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Reduction in Workforce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first and second quarters of 2023, the Company executed a reduction in workforce. This was accounted for pursuant to Accounting Standards Codification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The charges for termination benefits included in the Company's consolidated statements of operations are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30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520" w:type="dxa"/>
            <w:vAlign w:val="bottom"/>
          </w:tcPr>
          <w:p>
            <w:pPr>
              <w:spacing w:after="0"/>
              <w:rPr>
                <w:sz w:val="16"/>
                <w:szCs w:val="16"/>
                <w:color w:val="auto"/>
              </w:rPr>
            </w:pPr>
          </w:p>
        </w:tc>
      </w:tr>
      <w:tr>
        <w:trPr>
          <w:trHeight w:val="23"/>
        </w:trPr>
        <w:tc>
          <w:tcPr>
            <w:tcW w:w="76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76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124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tcPr>
          <w:p>
            <w:pPr>
              <w:spacing w:after="0"/>
              <w:rPr>
                <w:sz w:val="19"/>
                <w:szCs w:val="19"/>
                <w:color w:val="auto"/>
              </w:rPr>
            </w:pP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tcPr>
          <w:p>
            <w:pPr>
              <w:spacing w:after="0"/>
              <w:rPr>
                <w:sz w:val="19"/>
                <w:szCs w:val="19"/>
                <w:color w:val="auto"/>
              </w:rPr>
            </w:pP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48"/>
        </w:trPr>
        <w:tc>
          <w:tcPr>
            <w:tcW w:w="768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$0.1 million accrued and had paid $3.2 million related to the reduction in workforce. No additional expense was incurred during the three months ended March 31, 2024. The Company expects this plan to be completed by September 30,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Q1 2024 Reduction in Workforce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2024, the Company executed a reduction in workforce largely affect its COVID-19 manufacturing workforce. This was accounted for pursuant to Accounting Standards Codification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The charges for termination benefits included in the Company's consolidated statements of operations are as follows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Cost of products and services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4"/>
        </w:trPr>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30"/>
        </w:trPr>
        <w:tc>
          <w:tcPr>
            <w:tcW w:w="5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5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4"/>
        </w:trPr>
        <w:tc>
          <w:tcPr>
            <w:tcW w:w="5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60" w:space="720"/>
            <w:col w:w="2260"/>
          </w:cols>
          <w:pgMar w:left="320" w:top="121" w:right="339" w:bottom="1440" w:gutter="0" w:footer="0" w:header="0"/>
          <w:type w:val="continuous"/>
        </w:sectPr>
      </w:pPr>
    </w:p>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$0.3 million accrued and had paid $0.1 million related to the reduction in workforce. The Company expects this plan to be completed by December 31, 2024.</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 by product line</w:t>
      </w:r>
      <w:r>
        <w:rPr>
          <w:rFonts w:ascii="Times New Roman" w:cs="Times New Roman" w:eastAsia="Times New Roman" w:hAnsi="Times New Roman"/>
          <w:sz w:val="18"/>
          <w:szCs w:val="18"/>
          <w:color w:val="auto"/>
        </w:rPr>
        <w:t>. The following table represents total net revenues by product line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1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COVID-19 </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23,128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118,409</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HIV</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13,380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13,904</w:t>
            </w:r>
          </w:p>
        </w:tc>
      </w:tr>
      <w:tr>
        <w:trPr>
          <w:trHeight w:val="229"/>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Molecular Sample Management Solutions </w:t>
            </w:r>
            <w:r>
              <w:rPr>
                <w:rFonts w:ascii="Times New Roman" w:cs="Times New Roman" w:eastAsia="Times New Roman" w:hAnsi="Times New Roman"/>
                <w:sz w:val="23"/>
                <w:szCs w:val="23"/>
                <w:color w:val="auto"/>
                <w:vertAlign w:val="superscript"/>
              </w:rPr>
              <w:t>(2)</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10,822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12,942</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HCV</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w:t>
            </w:r>
          </w:p>
        </w:tc>
      </w:tr>
      <w:tr>
        <w:trPr>
          <w:trHeight w:val="229"/>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Risk assessment testing </w:t>
            </w:r>
            <w:r>
              <w:rPr>
                <w:rFonts w:ascii="Times New Roman" w:cs="Times New Roman" w:eastAsia="Times New Roman" w:hAnsi="Times New Roman"/>
                <w:sz w:val="23"/>
                <w:szCs w:val="23"/>
                <w:color w:val="auto"/>
                <w:vertAlign w:val="superscript"/>
              </w:rPr>
              <w:t>(3)</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Molecular Services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product and service revenues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23"/>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product and services revenues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53,779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152,914</w:t>
            </w:r>
          </w:p>
        </w:tc>
      </w:tr>
      <w:tr>
        <w:trPr>
          <w:trHeight w:val="230"/>
        </w:trPr>
        <w:tc>
          <w:tcPr>
            <w:tcW w:w="818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Non-product and services revenues </w:t>
            </w:r>
            <w:r>
              <w:rPr>
                <w:rFonts w:ascii="Times New Roman" w:cs="Times New Roman" w:eastAsia="Times New Roman" w:hAnsi="Times New Roman"/>
                <w:sz w:val="23"/>
                <w:szCs w:val="23"/>
                <w:color w:val="auto"/>
                <w:vertAlign w:val="superscript"/>
              </w:rPr>
              <w:t>(4)</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revenues</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54,132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154,963</w:t>
            </w:r>
          </w:p>
        </w:tc>
      </w:tr>
      <w:tr>
        <w:trPr>
          <w:trHeight w:val="21"/>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240" w:hanging="232"/>
        <w:spacing w:after="0"/>
        <w:tabs>
          <w:tab w:leader="none" w:pos="24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COVID-19 Diagnostics and COVID-19 Molecular Products.</w:t>
      </w:r>
    </w:p>
    <w:p>
      <w:pPr>
        <w:ind w:left="240" w:hanging="232"/>
        <w:spacing w:after="0"/>
        <w:tabs>
          <w:tab w:leader="none" w:pos="24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Genomics, Microbiome and Novosanis product revenues.</w:t>
      </w:r>
    </w:p>
    <w:p>
      <w:pPr>
        <w:spacing w:after="0" w:line="11" w:lineRule="exact"/>
        <w:rPr>
          <w:rFonts w:ascii="Times New Roman" w:cs="Times New Roman" w:eastAsia="Times New Roman" w:hAnsi="Times New Roman"/>
          <w:sz w:val="9"/>
          <w:szCs w:val="9"/>
          <w:color w:val="auto"/>
        </w:rPr>
      </w:pPr>
    </w:p>
    <w:p>
      <w:pPr>
        <w:ind w:left="240" w:hanging="232"/>
        <w:spacing w:after="0"/>
        <w:tabs>
          <w:tab w:leader="none" w:pos="24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substance abuse testing products.</w:t>
      </w:r>
    </w:p>
    <w:p>
      <w:pPr>
        <w:spacing w:after="0" w:line="14" w:lineRule="exact"/>
        <w:rPr>
          <w:rFonts w:ascii="Times New Roman" w:cs="Times New Roman" w:eastAsia="Times New Roman" w:hAnsi="Times New Roman"/>
          <w:sz w:val="9"/>
          <w:szCs w:val="9"/>
          <w:color w:val="auto"/>
        </w:rPr>
      </w:pPr>
    </w:p>
    <w:p>
      <w:pPr>
        <w:ind w:left="240" w:hanging="232"/>
        <w:spacing w:after="0" w:line="192" w:lineRule="auto"/>
        <w:tabs>
          <w:tab w:leader="none" w:pos="24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Non-product and services revenues include funded research and development contracts, royalty income and grant revenues.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 by geographic area</w:t>
      </w:r>
      <w:r>
        <w:rPr>
          <w:rFonts w:ascii="Times New Roman" w:cs="Times New Roman" w:eastAsia="Times New Roman" w:hAnsi="Times New Roman"/>
          <w:sz w:val="18"/>
          <w:szCs w:val="18"/>
          <w:color w:val="auto"/>
        </w:rPr>
        <w:t>. The following table represents total net revenues by geographic area, based on the location of the customer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45,211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145,019</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regions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w:t>
            </w:r>
          </w:p>
        </w:tc>
      </w:tr>
      <w:tr>
        <w:trPr>
          <w:trHeight w:val="223"/>
        </w:trPr>
        <w:tc>
          <w:tcPr>
            <w:tcW w:w="8180" w:type="dxa"/>
            <w:vAlign w:val="bottom"/>
          </w:tcPr>
          <w:p>
            <w:pPr>
              <w:spacing w:after="0"/>
              <w:rPr>
                <w:sz w:val="19"/>
                <w:szCs w:val="19"/>
                <w:color w:val="auto"/>
              </w:rPr>
            </w:pP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54,132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154,963</w:t>
            </w: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Customer and Vendor Concentrations</w:t>
      </w:r>
      <w:r>
        <w:rPr>
          <w:rFonts w:ascii="Times New Roman" w:cs="Times New Roman" w:eastAsia="Times New Roman" w:hAnsi="Times New Roman"/>
          <w:sz w:val="18"/>
          <w:szCs w:val="18"/>
          <w:color w:val="auto"/>
        </w:rPr>
        <w:t>. At March 31, 2024, one non-commercial customer accounted for 29% of the Company's consolidated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The same non-commercial customer accounted for 40% of the Company's consolidated accounts receivable as of December 31, 2023. The same non-commercial customer also accounted for 40% and 78% of net consolidated revenues for the three months ended March 31, 2024 and 2023, respectively.</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currently purchases certain products and critical components of its products from sole-supply vendors. If these vendors are unable or unwilling to supply the required components and products, the Company could be subject to increased costs and substantial delays in the delivery of its products to its customers. Third-party suppliers also manufacture certain products. The Company's inability to have a timely supply of any of these components and products could have a material adverse effect on its business, as well as its financial condition and results of operations.</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Deferred Revenue</w:t>
      </w:r>
      <w:r>
        <w:rPr>
          <w:rFonts w:ascii="Times New Roman" w:cs="Times New Roman" w:eastAsia="Times New Roman" w:hAnsi="Times New Roman"/>
          <w:sz w:val="18"/>
          <w:szCs w:val="18"/>
          <w:color w:val="auto"/>
        </w:rPr>
        <w:t>. The Company records deferred revenue when funds are received prior to the recognition of the associated revenue. Deferred revenue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March 31, 2024 and December 31, 2023 included customer prepayments of $1.3 million and $1.2 million, respectively. Deferred revenue as of March 31, 2024 and December 31, 2023 also included $0.3 million and $0.4 million, respectively, associated with a long-term contract that has variable pricing based on volume. The average price over the life of the contract was determined and revenue is recognized at that average price. Deferred revenue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for the three months ended March 31, 2024, and 2023, was $0.7 million and $0.9 million</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respectively.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tax expense (benefit) are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 expense (benefit)</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income tax expense (benefit)</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withholding tax</w:t>
            </w:r>
          </w:p>
        </w:tc>
        <w:tc>
          <w:tcPr>
            <w:tcW w:w="9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
        </w:trPr>
        <w:tc>
          <w:tcPr>
            <w:tcW w:w="8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recorded an income tax benefit of $0.0 million and $0.2 million, respectively. The income tax benefit for the three months ended March 31, 2024 and 2023 is primarily composed of a U.S. state tax benefit.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reflects taxes due to the taxing authorities and the tax effects of temporary differences between the basis of assets and liabilities recognized for financial reporting and tax purposes, and net operating loss and tax credit carryforwards. The significant components of the Company's total deferred tax liability as of March 31, 2024 and at December 31, 2023 relate to the tax effects of the basis difference between the intangible assets acquired in its acquisitions for financial reporting and for tax purposes along with basis differences arising from accelerated tax depreciation of fixed assets.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valuation allowance is recorded to the extent it is more likely than not that some portion or all of the deferred tax assets will not be realized. A full valuation allowance was recorded on the Company’s U.S. deferred tax assets as of March 31, 2024 and December 31, 2023.</w:t>
      </w:r>
    </w:p>
    <w:p>
      <w:pPr>
        <w:spacing w:after="0" w:line="2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Income (Loss) Per Share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income (loss) per share is computed by dividing net income (loss) by the weighted-average number of shares of common stock outstanding during the period. Diluted earnings (loss) per share is computed in a manner similar to basic earnings (loss) per share except that the weighted-average number of shares outstanding is increased to include incremental shares from the assumed vesting or exercise of dilutive securities, such as common stock options, unvested restricted stock or performance stock units, unless the impact is antidilutive. The number of incremental shares is calculated by assuming that outstanding stock options were exercised and unvested restricted shares and performance stock units were vested, and the proceeds from such exercises or vesting were used to acquire shares of common stock at the average market price during the reporting period. Basic and dilutive computations of net loss per share are the same in periods in which a net loss exists as the dilutive effects of excluded items would be anti-dilutive.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outstanding common stock options, unvested restricted stock, and unvested performance stock units representing 1,697 shares, were excluded from the computation of diluted loss per share. For the three months ended March 31, 2023 outstanding common stock options, unvested restricted stock, and unvested performance stock units representing 2,237 shares, respectively, were excluded from the computation of diluted earnings per share as their inclusion would have been anti-dilutive.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b w:val="1"/>
          <w:bCs w:val="1"/>
          <w:color w:val="auto"/>
        </w:rPr>
        <w:t>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Reconciliation of the changes in stockholders' equity for three months ended March 31, 2024 and 2023 </w:t>
      </w:r>
      <w:r>
        <w:rPr>
          <w:rFonts w:ascii="Times New Roman" w:cs="Times New Roman" w:eastAsia="Times New Roman" w:hAnsi="Times New Roman"/>
          <w:sz w:val="18"/>
          <w:szCs w:val="18"/>
          <w:i w:val="1"/>
          <w:iCs w:val="1"/>
          <w:color w:val="auto"/>
        </w:rPr>
        <w: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960" w:type="dxa"/>
            <w:vAlign w:val="bottom"/>
          </w:tcPr>
          <w:p>
            <w:pPr>
              <w:spacing w:after="0"/>
              <w:rPr>
                <w:sz w:val="12"/>
                <w:szCs w:val="12"/>
                <w:color w:val="auto"/>
              </w:rPr>
            </w:pPr>
          </w:p>
        </w:tc>
        <w:tc>
          <w:tcPr>
            <w:tcW w:w="1860" w:type="dxa"/>
            <w:vAlign w:val="bottom"/>
            <w:gridSpan w:val="3"/>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960" w:type="dxa"/>
            <w:vAlign w:val="bottom"/>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restart"/>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320" w:type="dxa"/>
            <w:vAlign w:val="bottom"/>
            <w:gridSpan w:val="2"/>
            <w:vMerge w:val="restart"/>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9"/>
                <w:szCs w:val="9"/>
                <w:color w:val="auto"/>
              </w:rPr>
            </w:pPr>
          </w:p>
        </w:tc>
        <w:tc>
          <w:tcPr>
            <w:tcW w:w="1200" w:type="dxa"/>
            <w:vAlign w:val="bottom"/>
            <w:gridSpan w:val="2"/>
            <w:vMerge w:val="restart"/>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960" w:type="dxa"/>
            <w:vAlign w:val="bottom"/>
          </w:tcPr>
          <w:p>
            <w:pPr>
              <w:spacing w:after="0"/>
              <w:rPr>
                <w:sz w:val="16"/>
                <w:szCs w:val="16"/>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73,528</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430,671</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 upon exercise of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176"/>
        </w:trPr>
        <w:tc>
          <w:tcPr>
            <w:tcW w:w="3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Vesting of restricted stock and performance stock</w:t>
            </w: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retirement of common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426,251</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860" w:type="dxa"/>
            <w:vAlign w:val="bottom"/>
            <w:gridSpan w:val="3"/>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960" w:type="dxa"/>
            <w:vAlign w:val="bottom"/>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restart"/>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320" w:type="dxa"/>
            <w:vAlign w:val="bottom"/>
            <w:gridSpan w:val="2"/>
            <w:vMerge w:val="restart"/>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9"/>
                <w:szCs w:val="9"/>
                <w:color w:val="auto"/>
              </w:rPr>
            </w:pPr>
          </w:p>
        </w:tc>
        <w:tc>
          <w:tcPr>
            <w:tcW w:w="1200" w:type="dxa"/>
            <w:vAlign w:val="bottom"/>
            <w:gridSpan w:val="2"/>
            <w:vMerge w:val="restart"/>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960" w:type="dxa"/>
            <w:vAlign w:val="bottom"/>
          </w:tcPr>
          <w:p>
            <w:pPr>
              <w:spacing w:after="0"/>
              <w:rPr>
                <w:sz w:val="16"/>
                <w:szCs w:val="16"/>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72,734</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520,446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(137,586)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364,425</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 upon exercise of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75"/>
        </w:trPr>
        <w:tc>
          <w:tcPr>
            <w:tcW w:w="3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Vesting of restricted stock and performance stock</w:t>
            </w: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retirement of common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27,219</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48"/>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394,179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tab/>
        <w:t>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certain legal actions arising in the ordinary course of business. In management’s opinion, the outcomes of such actions, either individually or in the aggregate, are not expected to have a material adverse effect on the Company's future financial position or results of operations.</w:t>
      </w:r>
    </w:p>
    <w:p>
      <w:pPr>
        <w:spacing w:after="0" w:line="29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March 2021, the Company filed a complaint against Spectrum Solutions, LLC ("Spectrum") in the United States District Court for the Southern District of California alleging that certain saliva collection devices manufactured and sold by Spectrum infringe a patent held by DNAG. Spectrum filed an answer to the initial complaint, asserting that its device does not infringe the Company's patent and that the Company's patent is invalid. In August 2021, the Company amended its complaint to add a second patent to this litigation. Spectrum responded to the Company's amended complaint and asserted counterclaims for inequitable conduct and antitrust violations with respect to one of the patents in the litigation and subsequently filed a request for review of the second patent at the Patent and Trademark Office ("PTO"), which was granted by the PTO. The District Court issued multiple pretrial orders, resolving the infringement, antitrust, and inequitable conduct claims without trial. First, the District Court granted Spectrum’s motion for summary judgment of noninfringement, holding that Spectrum’s saliva collection devices are not “kits for collecting and preserving a biological sample,” among other rulings. The Company appealed the grant of summary judgment to the Court of Appeals on June 8, 2023. The appeal is pending, with oral argument expected in the second half of 2024. Second, the Court denied Spectrum’s motion to supplement its allegations of alleged antitrust violations, finding that if such an amendment were allowed,</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 xml:space="preserve">Spectrum’s claims would not survive a motion for summary judgment. Spectrum thereafter withdrew its antitrust and inequitable conduct counterclaims. Spectrum did not appeal the District Court's denial of its motion to amend. On February 7, 2024, the PTO issued a Final Written Decision regarding the second patent in the litigation, holding that claims 1, 3-8, 11 and 12 of U.S. Patent No. 11,002,646 B2 are unpatentable. On March 8, 2024, the Company filed a Request for Rehearing by the Director of the PTO of the Final Written Decision. On March 27, 2024, the Company's Request for Rehearing was denied. The Company is considering its appellate options. On September 15, 2023, Spectrum filed a separate petition for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of a third patent, which DNAG did not assert in the District Court. On March 26, 2024, the PTO issued a Decision Granting Institution of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scheduled oral argument for January 14, 2025.</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Company's financial condition and results of operations should be read in conjunction with (i) the Company's unaudited condensed consolidated financial statements and related notes appearing elsewhere in this Quarterly Report on Form 10-Q and (ii) the Company's audited consolidated financial statements and related notes and management’s discussion and analysis of financial condition and results of operations included in the Company's Annual Report on Form 10-K for the year ended December 31, 2023 filed with the Securities and Exchange Commission on March 11, 2024. Some of the information contained in this discussion and analysis or set forth elsewhere in this Quarterly Report on Form 10-Q, including information with respect to the Company's plans and strategy for its business and impact and potential impacts on its business, includes forward-looking statements that involve risks and uncertainties. As a result of many factors, including, without limitation, those factors set forth in the “Risk Factors” section of the Company's Annual Report on Form 10-K for the year ended December 31, 2023 and the “Risk Factors” section of subsequent Quarterly Reports on Form 10-Q, the Company's actual results or timing of certain events could differ materially from the results or timing described in, or implied by, these forward-looking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Overview</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business consists of the development, manufacture, marketing and sale of simple, easy to use diagnostic products and specimen collection devices using the Company's proprietary technologies, as well as other diagnostic products including immunoassays and other in vitro diagnostic tests that are used on other specimen types. These products include tests for diseases including COVID-19, HIV and Hepatitis C that are performed on a rapid basis at the point of care, and tests for drugs of abuse that are processed in a laboratory. These products are sold in the United States and internationally to various clinical laboratories, hospitals, clinics, community-based organizations, and other public health organizations, distributors, government agencies, physicians’ offices, and commercial and industrial entities. The Company's COVID-19 and HIV products are also sold in a consumer-friendly format in the over-the-counter (“OTC”) market in the U.S. and, in the case of the HIV product, as a self-test to individuals in a number of other countries, including as an oral swab in-home test for HIV-1 and HIV-2 in Europe.</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business also includes molecular sample management solutions and services that are used by clinical laboratories, direct-to-consumer laboratories, researchers, pharmaceutical companies, and animal health service and product providers. The revenues from sample management solutions are derived from product sales to commercial customers and sales into the academic and research markets. Customers span the disease risk management, diagnostics, pharmaceutical, biotech, companion animal and environmental markets. The Company has also developed collection devices for the emerging microbiome market, which focuses on studying microbiomes and their effect on human and animal health. The Company also has a urine collection device which allows for the volumetric collection of first void urine. This product is in its early stages, and initial sales are occurring primarily through distributors and collaborations in the liquid biopsy and sexually transmitted disease markets. Additionally, the Company offers laboratory and bioinformatics services for both genomics and microbiome customers. These services are primarily provided to pharmaceutical, biotech companies, and research institutions.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Novosanis</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During the three months ended March 31, 2024, the Company made a strategic decision to commence wind-down of its operations at its Novosanis subsidiary located in Belgium. The Company intends to continue to sell and manufacture its Colli-Pee® product under the DNAG product line of collection devices. In addition, during the three months ended March 31, 2024, the Company initiated steps to wind down and exit the molecular services business offered by its Diversigen subsidiary while providing transition continuity for clients. This business contributed $0.9 million to revenues during the three months ended March 31, 2024 and contributed $4.5 million for the full year of 2023.</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Sapphiros</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January 2024, the Company announced that it is leading the Series B financing and have entered wide-ranging strategic distribution agreements with KKR Sapphiros L.P. ("Sapphiros"), a privately held consumer diagnostics portfolio company based in Boston, and certain of its related entities. Through this strategic relationship, the Company expects to be able to</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 a more comprehensive range of low-cost diagnostic tests and molecular sample management solutions to the Company's customers globally.</w:t>
      </w:r>
    </w:p>
    <w:p>
      <w:pPr>
        <w:spacing w:after="0" w:line="34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has funded approximately $28.3 million an interest in Sapphiros, with an aggregate commitment of up to $30.0 million to be funded by June 2024, contingent on certain terms and conditions being met.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compared to March 31, 2023.</w:t>
      </w:r>
    </w:p>
    <w:p>
      <w:pPr>
        <w:spacing w:after="0" w:line="33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CONSOLIDATED NET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an outline of total consolidated net revenues (dollars in thousands) for the three months ended March 31, 2024 and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4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3"/>
        </w:trPr>
        <w:tc>
          <w:tcPr>
            <w:tcW w:w="39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190"/>
        </w:trPr>
        <w:tc>
          <w:tcPr>
            <w:tcW w:w="39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Percentage of Total Net Revenues</w:t>
            </w:r>
          </w:p>
        </w:tc>
      </w:tr>
      <w:tr>
        <w:trPr>
          <w:trHeight w:val="196"/>
        </w:trPr>
        <w:tc>
          <w:tcPr>
            <w:tcW w:w="39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60" w:type="dxa"/>
            <w:vAlign w:val="bottom"/>
          </w:tcPr>
          <w:p>
            <w:pPr>
              <w:spacing w:after="0"/>
              <w:rPr>
                <w:sz w:val="17"/>
                <w:szCs w:val="17"/>
                <w:color w:val="auto"/>
              </w:rPr>
            </w:pPr>
          </w:p>
        </w:tc>
        <w:tc>
          <w:tcPr>
            <w:tcW w:w="10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5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COVID-19 Diagnostics</w:t>
            </w:r>
          </w:p>
        </w:tc>
        <w:tc>
          <w:tcPr>
            <w:tcW w:w="860" w:type="dxa"/>
            <w:vAlign w:val="bottom"/>
            <w:tcBorders>
              <w:top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23,097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118,254</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30"/>
        </w:trPr>
        <w:tc>
          <w:tcPr>
            <w:tcW w:w="3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Diagnostics </w:t>
            </w:r>
            <w:r>
              <w:rPr>
                <w:rFonts w:ascii="Times New Roman" w:cs="Times New Roman" w:eastAsia="Times New Roman" w:hAnsi="Times New Roman"/>
                <w:sz w:val="23"/>
                <w:szCs w:val="23"/>
                <w:color w:val="auto"/>
                <w:vertAlign w:val="superscript"/>
              </w:rPr>
              <w:t>(1)</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16,380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17,090</w:t>
            </w:r>
          </w:p>
        </w:tc>
        <w:tc>
          <w:tcPr>
            <w:tcW w:w="104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3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Molecular Sample Management Solutions </w:t>
            </w:r>
            <w:r>
              <w:rPr>
                <w:rFonts w:ascii="Times New Roman" w:cs="Times New Roman" w:eastAsia="Times New Roman" w:hAnsi="Times New Roman"/>
                <w:sz w:val="23"/>
                <w:szCs w:val="23"/>
                <w:color w:val="auto"/>
                <w:vertAlign w:val="superscript"/>
              </w:rPr>
              <w:t>(2)</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10,822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12,942</w:t>
            </w:r>
          </w:p>
        </w:tc>
        <w:tc>
          <w:tcPr>
            <w:tcW w:w="10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3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products and services </w:t>
            </w:r>
            <w:r>
              <w:rPr>
                <w:rFonts w:ascii="Times New Roman" w:cs="Times New Roman" w:eastAsia="Times New Roman" w:hAnsi="Times New Roman"/>
                <w:sz w:val="23"/>
                <w:szCs w:val="23"/>
                <w:color w:val="auto"/>
                <w:vertAlign w:val="superscript"/>
              </w:rPr>
              <w:t>(3)</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04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Molecular Services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COVID-19 Molecular Products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4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6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product and services revenues</w:t>
            </w:r>
          </w:p>
        </w:tc>
        <w:tc>
          <w:tcPr>
            <w:tcW w:w="8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53,779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152,914</w:t>
            </w:r>
          </w:p>
        </w:tc>
        <w:tc>
          <w:tcPr>
            <w:tcW w:w="1040" w:type="dxa"/>
            <w:vAlign w:val="bottom"/>
            <w:tcBorders>
              <w:top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3960" w:type="dxa"/>
            <w:vAlign w:val="bottom"/>
            <w:tcBorders>
              <w:bottom w:val="single" w:sz="8" w:color="CCEEFF"/>
            </w:tcBorders>
          </w:tcPr>
          <w:p>
            <w:pPr>
              <w:ind w:left="300"/>
              <w:spacing w:after="0" w:line="230" w:lineRule="exact"/>
              <w:rPr>
                <w:sz w:val="20"/>
                <w:szCs w:val="20"/>
                <w:color w:val="auto"/>
              </w:rPr>
            </w:pPr>
            <w:r>
              <w:rPr>
                <w:rFonts w:ascii="Times New Roman" w:cs="Times New Roman" w:eastAsia="Times New Roman" w:hAnsi="Times New Roman"/>
                <w:sz w:val="18"/>
                <w:szCs w:val="18"/>
                <w:color w:val="auto"/>
              </w:rPr>
              <w:t xml:space="preserve">Non-product and services revenues </w:t>
            </w:r>
            <w:r>
              <w:rPr>
                <w:rFonts w:ascii="Times New Roman" w:cs="Times New Roman" w:eastAsia="Times New Roman" w:hAnsi="Times New Roman"/>
                <w:sz w:val="23"/>
                <w:szCs w:val="23"/>
                <w:color w:val="auto"/>
                <w:vertAlign w:val="superscript"/>
              </w:rPr>
              <w:t>(4)</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040" w:type="dxa"/>
            <w:vAlign w:val="bottom"/>
            <w:tcBorders>
              <w:bottom w:val="single" w:sz="8" w:color="CCEEFF"/>
            </w:tcBorders>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3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revenues</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54,132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154,963</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240" w:hanging="232"/>
        <w:spacing w:after="0"/>
        <w:tabs>
          <w:tab w:leader="none" w:pos="24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HIV and HCV product revenues.</w:t>
      </w:r>
    </w:p>
    <w:p>
      <w:pPr>
        <w:spacing w:after="0" w:line="3" w:lineRule="exact"/>
        <w:rPr>
          <w:rFonts w:ascii="Times New Roman" w:cs="Times New Roman" w:eastAsia="Times New Roman" w:hAnsi="Times New Roman"/>
          <w:sz w:val="19"/>
          <w:szCs w:val="19"/>
          <w:color w:val="auto"/>
          <w:vertAlign w:val="superscript"/>
        </w:rPr>
      </w:pPr>
    </w:p>
    <w:p>
      <w:pPr>
        <w:ind w:left="240" w:hanging="232"/>
        <w:spacing w:after="0" w:line="189" w:lineRule="auto"/>
        <w:tabs>
          <w:tab w:leader="none" w:pos="24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Genomics, Microbiome and Novosanis product revenues.</w:t>
      </w:r>
    </w:p>
    <w:p>
      <w:pPr>
        <w:spacing w:after="0" w:line="3" w:lineRule="exact"/>
        <w:rPr>
          <w:rFonts w:ascii="Times New Roman" w:cs="Times New Roman" w:eastAsia="Times New Roman" w:hAnsi="Times New Roman"/>
          <w:sz w:val="19"/>
          <w:szCs w:val="19"/>
          <w:color w:val="auto"/>
          <w:vertAlign w:val="superscript"/>
        </w:rPr>
      </w:pPr>
    </w:p>
    <w:p>
      <w:pPr>
        <w:ind w:left="240" w:hanging="232"/>
        <w:spacing w:after="0" w:line="189" w:lineRule="auto"/>
        <w:tabs>
          <w:tab w:leader="none" w:pos="24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Risk assessment testing and other product and services revenues.</w:t>
      </w:r>
    </w:p>
    <w:p>
      <w:pPr>
        <w:spacing w:after="0" w:line="3" w:lineRule="exact"/>
        <w:rPr>
          <w:rFonts w:ascii="Times New Roman" w:cs="Times New Roman" w:eastAsia="Times New Roman" w:hAnsi="Times New Roman"/>
          <w:sz w:val="19"/>
          <w:szCs w:val="19"/>
          <w:color w:val="auto"/>
          <w:vertAlign w:val="superscript"/>
        </w:rPr>
      </w:pPr>
    </w:p>
    <w:p>
      <w:pPr>
        <w:ind w:left="240" w:hanging="232"/>
        <w:spacing w:after="0" w:line="189" w:lineRule="auto"/>
        <w:tabs>
          <w:tab w:leader="none" w:pos="24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Non-product and services revenues include funded research and development contracts, royalty income and grant revenues.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and Services Revenues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net revenues decreased 65% to $54.1 million for the three months ended March 31, 2024 from $155.0 million for the three months ended March 31, 2023.</w:t>
      </w:r>
    </w:p>
    <w:p>
      <w:pPr>
        <w:spacing w:after="0" w:line="1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COVID-19 Diagnostics revenues decreased by 80% to $23.1 million for the three months ended March 31, 2024 compared to $118.3 million in three months ended March 31, 2023 due to decreased sales of 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tests through its U.S. government procurement contracts. We expect this decline in revenue to continue throughout 2024 due to the fulfillment of these contracts and lower overall demand for COVID-19 testing.</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of the Company's Diagnostics products decreased 4% to $16.4 million for the three months ended March 31, 2024 from $17.1 million for the three months ended March 31, 2023. This decrease in revenues was primarily driven by customer ordering patterns.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Molecular Sample Management Solutions revenues decreased 16% to $10.8 million for the three months ended March 31, 2024 from $12.9 million for the three months ended March 31, 2023. Sales of the Company's Molecular Products are being impacted by reduced consumer demand for products in which our genomics collection devices are used, economic pressures and reduction on funding for programs in which our collection devices are used, and the overall decline in the microbiome market.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products and services revenues decreased 17% to $2.6 million for the three months ended March 31, 2024 from $3.1 million for the three months ended March 31,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Molecular Services revenues, which are derived from the Company's microbiome molecular sequencing services, decreased 37% to $0.9 million for the three months ended March 31, 2024 from $1.4 million for the three months ended March 31, 2023. The decrease in services revenues was largely due to discontinuance of customer's clinical trial projects.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Non-Product and Services Revenues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Non-product and services revenues decreased 83% to $0.4 million for the three months ended March 31, 2024 from $2.0 million for the three months ended March 31, 2023 as a result lower funding for research and development activities largely as a result of the end of our agreement with Biomedical Advanced Research Authority ("BARDA") which provided funding to obtain clearance of a premarket notification ("510(k)") and Clinical Laboratory Improvement Amendments of 1988 ("CLIA") waiver of our InteliSwab® tests. The Company has communicated to BARDA that it does not intend to pursue further development of this clearance.</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OPERATING RESULTS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gross profit margin increased to 44.5% for the three months ended March 31, 2024 from 42.5% for the three months ended March 31, 2023. This increase in margins was driven by increased average selling price on InteliSwab® sales and lower scrap expense. These improvement in margins were partially offset by a decrease in non-product revenues which contribute 100% to gross margin.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Consolidated operating loss for the three months ended March 31, 2024 was $7.1 million, a $31.4 million decline from the $24.3 million operating income reported for the three months ended March 31, 2023. Results for the three months ended March 31, 2024 were negatively impacted by lower revenues and higher impairment losses offset by increased gross profit margins and lower operating expense spend. Results for the three months ended March 31, 2024 included $3.3 million of impairment losses compared to $1.1 million for the three months ended March 31, 2023. Impairment losses in the first quarter of 2024 were comprised of the impairment of Novosanis and Diversigen property plant and equipment, including leased assets while impairment losses in 2023 were associated with idle manufacturing lines.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in the first quarter of 2024, excluding the impairment charge, decreased $12.6 million compared to the first quarter of 2023 reflecting the impact of the Company's cost saving measures and headcount reductions.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27% to $7.7 million for the three months ended March 31, 2024 from $10.6 million for the three months ended March 31, 2023 largely due to a decrease in employee costs associated with a reduction in headcount, decrease in spend on COVID-19 product development, and no related project management fees for our $109 million manufacturing expansion contract which ended during the fourth quarter of 2023.</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and marketing expenses decreased 30% to $8.4 million for the three months ended March 31, 2024 from $12.1 million for the three months ended March 31, 2023 due to lower employee costs associated with a decrease in headcount, and decreased spend on advertising and consulting fees.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34% to $11.6 million for the three months ended March 31, 2024 from $17.7 million for the three months ended March 31, 2023 largely due to lower legal fees and lower staffing costs due to a reduction in headcount.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the above contributed to the Company's operating loss of $7.1 million for the three months ended March 31, 2024, which included a non-cash impairment charge of $3.3 million, non-cash charges of $2.7 million for depreciation and amortization, and non-cash charges of $3.0 million for stock-based compensation. The Company's operating income of $24.3 million for the three months ended March 31, 2023 included a non-cash impairment charge of $1.1 million, non-cash charges of $3.7 million for depreciation and amortization, and $2.7 million for stock-based compensation.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for the three months ended March 31, 2024 was $3.5 million compared to $2.7 million for the three months ended March 31, 2023. This increase is due to higher interest income.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continues to believe the full valuation allowance established against its total U.S. deferred tax asset is appropriate as the facts and circumstances necessitating the allowance have not changed. For the three months ended March 31, 2024 and 2023, the Company recorded a U.S. state income tax benefit of $0.2 million. For the three months ended March 31, 2024 the state tax benefit was partially offset by foreign tax expense of $0.2 million. No foreign taxes were recorded for the three months ended March 31, 2023 due to it being more likely than not that the Canadian subsidiary would not produce sufficient income to receive a tax benefit for the year to date loss.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Pr>
          <w:p>
            <w:pPr>
              <w:spacing w:after="0"/>
              <w:rPr>
                <w:sz w:val="16"/>
                <w:szCs w:val="16"/>
                <w:color w:val="auto"/>
              </w:rPr>
            </w:pPr>
          </w:p>
        </w:tc>
        <w:tc>
          <w:tcPr>
            <w:tcW w:w="15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3"/>
          </w:tcPr>
          <w:p>
            <w:pPr>
              <w:spacing w:after="0"/>
              <w:rPr>
                <w:sz w:val="2"/>
                <w:szCs w:val="2"/>
                <w:color w:val="auto"/>
              </w:rPr>
            </w:pPr>
          </w:p>
        </w:tc>
      </w:tr>
      <w:tr>
        <w:trPr>
          <w:trHeight w:val="190"/>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00" w:type="dxa"/>
            <w:vAlign w:val="bottom"/>
            <w:gridSpan w:val="3"/>
          </w:tcPr>
          <w:p>
            <w:pPr>
              <w:jc w:val="right"/>
              <w:ind w:right="125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247,145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290,407</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19"/>
                <w:szCs w:val="19"/>
                <w:color w:val="auto"/>
              </w:rPr>
            </w:pPr>
          </w:p>
        </w:tc>
        <w:tc>
          <w:tcPr>
            <w:tcW w:w="15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16,627</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319,400</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346,923</w:t>
            </w: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and short-term investments decreased to $263.8 million at March 31, 2024 from $290.4 million at December 31, 2023. $84.5 million or 32% of the $263.8 million in cash and cash equivalents and short-term investments is held by DNAG, the Company's Canadian subsidiary.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working capital decreased to $319.4 million at March 31, 2024 from $346.9 million at December 31, 2023. Working capital decreased primarily due to the decrease in cash and cash equivalents. Working capital is primarily a function of sales, purchase volumes, inventory requirements, and vendor payment terms.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Analysis of the Company's Cash Flows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2024, net cash provided by operating activities was $6.7 million. Cash flows from operations can be significantly impacted by factors such as timing of receipt from customers, inventory purchases, and payments to vendors. The Company's net loss of $3.6 million included non-cash charges of depreciation and amortization expense of $2.7 million, stock-based compensation expense of $3.0 million, and impairment losses of $3.3 million. Cash provided by the working capital accounts included a decrease in accounts receivable of $6.2 million largely associated with lower overall sales and collections of balances due, a decrease in inventory of $4.3 million as the Company fulfilled demand for its InteliSwab® product, and a decrease in accrued expenses of $9.7 million as the Company paid out year end bonuses in March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$46.5 million for the three months ended March 31, 2024, which reflects proceeds from the maturities of investments of $9.2 million, offset by $25.9 million in purchases of investments. Investing activities also include a $28.3 million investment in Sapphiros, and $1.6 million to acquire property and equipment to support the normal operations of the business.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$1.3 million for the three months ended March 31, 2024, which is largely comprised of $1.5 million used for the repurchase of common stock to satisfy withholding taxes related to the vesting of restricted shares awarded to the Company's employees.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Resources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existing cash and cash equivalents will be sufficient to fund its operating expenses and capital expenditure requirements over the next twelve months. The Company's cash requirements, however, may vary materially from those now planned due to many factors, including, but not limited to, the scope and timing of future strategic acquisitions, the progress of its research and development programs, the scope and results of clinical testing, the cost of any future litigation, the magnitude of capital expenditures, changes in existing and potential relationships with business partners, the timing and cost of obtaining regulatory approvals, the timing and cost of future stock purchases, the costs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involved in obtaining and enforcing patents, proprietary rights and any necessary licenses, the cost and timing of expansion of sales and marketing activities, market acceptance of new products, competing technological and market developments, the impact of the current economic environment and other factors.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summary of the Company's obligations to make future payments under contracts existing at December 31, 2023 is included in Item 7, Management’s Discussion and Analysis of Financial Condition and Results of Operations, of its Annual Report on Form 10-K for the year ended December 31, 2023. As of March 31, 2024, there were no significant changes to this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more detailed review of the Company's critical accounting policies is contained in its Annual Report on Form 10-K for the year ended December 31, 2023 filed with the SEC. No material changes have been made to such critical accounting policies during the three months ended March 31, 2024.</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Company's assessment of its sensitivity to market risk since its presentation set forth in Item 7A, "Quantitative and Qualitative Disclosures About Market Risk," in its Annual Report on Form 10-K for the year ended December 31, 2023.</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21" w:lineRule="exact"/>
        <w:rPr>
          <w:sz w:val="20"/>
          <w:szCs w:val="20"/>
          <w:color w:val="auto"/>
        </w:rPr>
      </w:pPr>
    </w:p>
    <w:p>
      <w:pPr>
        <w:jc w:val="both"/>
        <w:ind w:firstLine="8"/>
        <w:spacing w:after="0" w:line="255" w:lineRule="auto"/>
        <w:tabs>
          <w:tab w:leader="none" w:pos="2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 The Company’s management, with the participation of the Company’s Chief Executive Officer and Chief Financial Officer, evaluated the effectiveness of the Company’s disclosure controls and procedures (as defined in Rules 13a-15(e) and 15d-15(e) of the Securities Exchange Act of 1934) as of March 31, 2024. Based on that evaluation, the Company’s management, including such officers, concluded that the Company’s disclosure controls and procedures were effective as of March 31, 2024 to provide reasonable assurance that material information required to be disclosed by the Company in the reports that it files or submits under the Securities Exchange Act of 1934 was accumulated and communicated to the Company’s management, including the Chief Executive Officer and Chief Financial Officer, to allow timely decisions regarding required disclosure and was recorded, processed, summarized, and reported within the time periods specified in the rules and forms of the Securities and Exchange Commission.</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 Over Financial Reporting</w:t>
      </w:r>
      <w:r>
        <w:rPr>
          <w:rFonts w:ascii="Times New Roman" w:cs="Times New Roman" w:eastAsia="Times New Roman" w:hAnsi="Times New Roman"/>
          <w:sz w:val="18"/>
          <w:szCs w:val="18"/>
          <w:color w:val="auto"/>
        </w:rPr>
        <w:t>. There was no change in the Company’s internal control over financial reporting that occurred during the three months ended March 31, 2024 that has materially affected, or is reasonably likely to materially affect, the Company’s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certain legal actions arising in the ordinary course of business. In management’s opinion, based upon the advice of counsel, the outcomes of such actions are not expected, individually or in the aggregate, to have a material adverse effect on the Company's future financial position or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Spectrum Patent Litigation</w:t>
      </w:r>
    </w:p>
    <w:p>
      <w:pPr>
        <w:spacing w:after="0" w:line="32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 xml:space="preserve">In March 2021, the Company filed a complaint against Spectrum Solutions, LLC ("Spectrum") in the United States District Court for the Southern District of California alleging that certain saliva collection devices manufactured and sold by Spectrum infringe a patent held by DNAG. Spectrum filed an answer to the initial complaint, asserting that its device does not infringe the Company's patent and that the Company's patent is invalid. In August 2021, the Company amended its complaint to add a second patent to this litigation. Spectrum responded to the Company's amended complaint and asserted counterclaims for inequitable conduct and antitrust violations with respect to one of the patents in the litigation and subsequently filed a request for review of the second patent at the Patent and Trademark Office ("PTO"), which was granted by the PTO. The District Court issued multiple pretrial orders, resolving the infringement, antitrust, and inequitable conduct claims without trial. First, the District Court granted Spectrum’s motion for summary judgment of noninfringement, holding that Spectrum’s saliva collection devices are not “kits for collecting and preserving a biological sample,” among other rulings. The Company appealed the grant of summary judgment to the Court of Appeals on June 8, 2023. The appeal is pending, with oral argument expected in the second half of 2024. Second, the Court denied Spectrum’s motion to supplement its allegations of alleged antitrust violations, finding that if such an amendment were allowed, Spectrum’s claims would not survive a motion for summary judgment. Spectrum thereafter withdrew its antitrust and inequitable conduct counterclaims. Spectrum did not appeal the District Court's denial of its motion to amend. On February 7, 2024, the PTO issued a Final Written Decision regarding the second patent in the litigation, holding that claims 1, 3-8, 11 and 12 of U.S. Patent No. 11,002,646 B2 are unpatentable. On March 8, 2024, the Company filed a Request for Rehearing by the Director of the PTO of the Final Written Decision. On March 27, 2024, the Company's Request for Rehearing was denied. The Company is considering its appellate options. On September 15, 2023, Spectrum filed a separate petition for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of a third patent, which DNAG did not assert in the District Court. On March 26, 2024, the PTO issued a Decision Granting Institution of</w:t>
      </w:r>
      <w:r>
        <w:rPr>
          <w:rFonts w:ascii="Times New Roman" w:cs="Times New Roman" w:eastAsia="Times New Roman" w:hAnsi="Times New Roman"/>
          <w:sz w:val="18"/>
          <w:szCs w:val="18"/>
          <w:i w:val="1"/>
          <w:iCs w:val="1"/>
          <w:color w:val="auto"/>
        </w:rPr>
        <w:t xml:space="preserve"> Inter Partes </w:t>
      </w:r>
      <w:r>
        <w:rPr>
          <w:rFonts w:ascii="Times New Roman" w:cs="Times New Roman" w:eastAsia="Times New Roman" w:hAnsi="Times New Roman"/>
          <w:sz w:val="18"/>
          <w:szCs w:val="18"/>
          <w:color w:val="auto"/>
        </w:rPr>
        <w:t>Review and scheduled oral argument for January 14, 2025.</w:t>
      </w:r>
    </w:p>
    <w:p>
      <w:pPr>
        <w:spacing w:after="0" w:line="29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Item 1A, entitled “Risk Factors,” in the Company's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43" w:lineRule="exact"/>
        <w:rPr>
          <w:sz w:val="20"/>
          <w:szCs w:val="20"/>
          <w:color w:val="auto"/>
        </w:rPr>
      </w:pPr>
    </w:p>
    <w:tbl>
      <w:tblPr>
        <w:tblLayout w:type="fixed"/>
        <w:tblInd w:w="168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Maximum number (or</w:t>
            </w:r>
          </w:p>
        </w:tc>
        <w:tc>
          <w:tcPr>
            <w:tcW w:w="0" w:type="dxa"/>
            <w:vAlign w:val="bottom"/>
          </w:tcPr>
          <w:p>
            <w:pPr>
              <w:spacing w:after="0"/>
              <w:rPr>
                <w:sz w:val="1"/>
                <w:szCs w:val="1"/>
                <w:color w:val="auto"/>
              </w:rPr>
            </w:pPr>
          </w:p>
        </w:tc>
      </w:tr>
      <w:tr>
        <w:trPr>
          <w:trHeight w:val="180"/>
        </w:trPr>
        <w:tc>
          <w:tcPr>
            <w:tcW w:w="14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80" w:type="dxa"/>
            <w:vAlign w:val="bottom"/>
          </w:tcPr>
          <w:p>
            <w:pPr>
              <w:jc w:val="center"/>
              <w:ind w:left="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1880" w:type="dxa"/>
            <w:vAlign w:val="bottom"/>
          </w:tcPr>
          <w:p>
            <w:pPr>
              <w:jc w:val="center"/>
              <w:ind w:left="30"/>
              <w:spacing w:after="0" w:line="184" w:lineRule="exact"/>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76"/>
        </w:trPr>
        <w:tc>
          <w:tcPr>
            <w:tcW w:w="14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1880" w:type="dxa"/>
            <w:vAlign w:val="bottom"/>
          </w:tcPr>
          <w:p>
            <w:pPr>
              <w:jc w:val="center"/>
              <w:ind w:lef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of shares that may yet</w:t>
            </w:r>
          </w:p>
        </w:tc>
        <w:tc>
          <w:tcPr>
            <w:tcW w:w="0" w:type="dxa"/>
            <w:vAlign w:val="bottom"/>
          </w:tcPr>
          <w:p>
            <w:pPr>
              <w:spacing w:after="0"/>
              <w:rPr>
                <w:sz w:val="1"/>
                <w:szCs w:val="1"/>
                <w:color w:val="auto"/>
              </w:rPr>
            </w:pPr>
          </w:p>
        </w:tc>
      </w:tr>
      <w:tr>
        <w:trPr>
          <w:trHeight w:val="180"/>
        </w:trPr>
        <w:tc>
          <w:tcPr>
            <w:tcW w:w="14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880" w:type="dxa"/>
            <w:vAlign w:val="bottom"/>
          </w:tcPr>
          <w:p>
            <w:pPr>
              <w:jc w:val="center"/>
              <w:ind w:left="5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w:t>
            </w: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6"/>
                <w:szCs w:val="16"/>
                <w:color w:val="auto"/>
              </w:rPr>
            </w:pPr>
          </w:p>
        </w:tc>
        <w:tc>
          <w:tcPr>
            <w:tcW w:w="2640" w:type="dxa"/>
            <w:vAlign w:val="bottom"/>
            <w:vMerge w:val="restart"/>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170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Average price</w:t>
            </w:r>
          </w:p>
        </w:tc>
        <w:tc>
          <w:tcPr>
            <w:tcW w:w="17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as part of publicly</w:t>
            </w:r>
          </w:p>
        </w:tc>
        <w:tc>
          <w:tcPr>
            <w:tcW w:w="1880" w:type="dxa"/>
            <w:vAlign w:val="bottom"/>
          </w:tcPr>
          <w:p>
            <w:pPr>
              <w:jc w:val="center"/>
              <w:ind w:left="30"/>
              <w:spacing w:after="0" w:line="184" w:lineRule="exact"/>
              <w:rPr>
                <w:sz w:val="20"/>
                <w:szCs w:val="20"/>
                <w:color w:val="auto"/>
              </w:rPr>
            </w:pPr>
            <w:r>
              <w:rPr>
                <w:rFonts w:ascii="Times New Roman" w:cs="Times New Roman" w:eastAsia="Times New Roman" w:hAnsi="Times New Roman"/>
                <w:sz w:val="18"/>
                <w:szCs w:val="18"/>
                <w:b w:val="1"/>
                <w:bCs w:val="1"/>
                <w:color w:val="auto"/>
              </w:rPr>
              <w:t>repurchased under the</w:t>
            </w:r>
          </w:p>
        </w:tc>
        <w:tc>
          <w:tcPr>
            <w:tcW w:w="0" w:type="dxa"/>
            <w:vAlign w:val="bottom"/>
          </w:tcPr>
          <w:p>
            <w:pPr>
              <w:spacing w:after="0"/>
              <w:rPr>
                <w:sz w:val="1"/>
                <w:szCs w:val="1"/>
                <w:color w:val="auto"/>
              </w:rPr>
            </w:pPr>
          </w:p>
        </w:tc>
      </w:tr>
      <w:tr>
        <w:trPr>
          <w:trHeight w:val="176"/>
        </w:trPr>
        <w:tc>
          <w:tcPr>
            <w:tcW w:w="1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64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7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announced plans</w:t>
            </w:r>
          </w:p>
        </w:tc>
        <w:tc>
          <w:tcPr>
            <w:tcW w:w="1880" w:type="dxa"/>
            <w:vAlign w:val="bottom"/>
          </w:tcPr>
          <w:p>
            <w:pPr>
              <w:jc w:val="center"/>
              <w:ind w:left="30"/>
              <w:spacing w:after="0" w:line="176" w:lineRule="exact"/>
              <w:rPr>
                <w:sz w:val="20"/>
                <w:szCs w:val="20"/>
                <w:color w:val="auto"/>
              </w:rPr>
            </w:pPr>
            <w:r>
              <w:rPr>
                <w:rFonts w:ascii="Times New Roman" w:cs="Times New Roman" w:eastAsia="Times New Roman" w:hAnsi="Times New Roman"/>
                <w:sz w:val="18"/>
                <w:szCs w:val="18"/>
                <w:b w:val="1"/>
                <w:bCs w:val="1"/>
                <w:color w:val="auto"/>
                <w:w w:val="97"/>
              </w:rPr>
              <w:t>plans</w:t>
            </w:r>
          </w:p>
        </w:tc>
        <w:tc>
          <w:tcPr>
            <w:tcW w:w="0" w:type="dxa"/>
            <w:vAlign w:val="bottom"/>
          </w:tcPr>
          <w:p>
            <w:pPr>
              <w:spacing w:after="0"/>
              <w:rPr>
                <w:sz w:val="1"/>
                <w:szCs w:val="1"/>
                <w:color w:val="auto"/>
              </w:rPr>
            </w:pPr>
          </w:p>
        </w:tc>
      </w:tr>
      <w:tr>
        <w:trPr>
          <w:trHeight w:val="243"/>
        </w:trPr>
        <w:tc>
          <w:tcPr>
            <w:tcW w:w="1440" w:type="dxa"/>
            <w:vAlign w:val="bottom"/>
            <w:vMerge w:val="continue"/>
          </w:tcPr>
          <w:p>
            <w:pPr>
              <w:spacing w:after="0"/>
              <w:rPr>
                <w:sz w:val="21"/>
                <w:szCs w:val="21"/>
                <w:color w:val="auto"/>
              </w:rPr>
            </w:pPr>
          </w:p>
        </w:tc>
        <w:tc>
          <w:tcPr>
            <w:tcW w:w="264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7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programs</w:t>
            </w:r>
          </w:p>
        </w:tc>
        <w:tc>
          <w:tcPr>
            <w:tcW w:w="1880" w:type="dxa"/>
            <w:vAlign w:val="bottom"/>
          </w:tcPr>
          <w:p>
            <w:pPr>
              <w:jc w:val="center"/>
              <w:ind w:left="50"/>
              <w:spacing w:after="0" w:line="243" w:lineRule="exact"/>
              <w:rPr>
                <w:sz w:val="20"/>
                <w:szCs w:val="20"/>
                <w:color w:val="auto"/>
              </w:rPr>
            </w:pPr>
            <w:r>
              <w:rPr>
                <w:rFonts w:ascii="Times New Roman" w:cs="Times New Roman" w:eastAsia="Times New Roman" w:hAnsi="Times New Roman"/>
                <w:sz w:val="18"/>
                <w:szCs w:val="18"/>
                <w:b w:val="1"/>
                <w:bCs w:val="1"/>
                <w:color w:val="auto"/>
                <w:w w:val="93"/>
              </w:rPr>
              <w:t xml:space="preserve">or programs </w:t>
            </w:r>
            <w:r>
              <w:rPr>
                <w:rFonts w:ascii="Times New Roman" w:cs="Times New Roman" w:eastAsia="Times New Roman" w:hAnsi="Times New Roman"/>
                <w:sz w:val="23"/>
                <w:szCs w:val="23"/>
                <w:b w:val="1"/>
                <w:bCs w:val="1"/>
                <w:color w:val="auto"/>
                <w:w w:val="93"/>
                <w:vertAlign w:val="superscript"/>
              </w:rPr>
              <w:t>(1, 2)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80885"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0885"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18"/>
        </w:trPr>
        <w:tc>
          <w:tcPr>
            <w:tcW w:w="3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January 1, 2024 - January 31, 2024</w:t>
            </w:r>
          </w:p>
        </w:tc>
        <w:tc>
          <w:tcPr>
            <w:tcW w:w="100" w:type="dxa"/>
            <w:vAlign w:val="bottom"/>
          </w:tcPr>
          <w:p>
            <w:pPr>
              <w:spacing w:after="0"/>
              <w:rPr>
                <w:sz w:val="18"/>
                <w:szCs w:val="18"/>
                <w:color w:val="auto"/>
              </w:rPr>
            </w:pPr>
          </w:p>
        </w:tc>
        <w:tc>
          <w:tcPr>
            <w:tcW w:w="1580" w:type="dxa"/>
            <w:vAlign w:val="bottom"/>
            <w:tcBorders>
              <w:top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color w:val="auto"/>
              </w:rPr>
              <w:t>59,151</w:t>
            </w:r>
          </w:p>
        </w:tc>
      </w:tr>
      <w:tr>
        <w:trPr>
          <w:trHeight w:val="229"/>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2024 - February 29, 2024</w:t>
            </w:r>
          </w:p>
        </w:tc>
        <w:tc>
          <w:tcPr>
            <w:tcW w:w="15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55,620</w:t>
            </w:r>
          </w:p>
        </w:tc>
      </w:tr>
      <w:tr>
        <w:trPr>
          <w:trHeight w:val="234"/>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 2024 - March 31, 2024</w:t>
            </w:r>
          </w:p>
        </w:tc>
        <w:tc>
          <w:tcPr>
            <w:tcW w:w="1580" w:type="dxa"/>
            <w:vAlign w:val="bottom"/>
            <w:tcBorders>
              <w:bottom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color w:val="auto"/>
              </w:rPr>
              <w:t>78,707</w:t>
            </w:r>
          </w:p>
        </w:tc>
      </w:tr>
      <w:tr>
        <w:trPr>
          <w:trHeight w:val="223"/>
        </w:trPr>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9"/>
              </w:rPr>
              <w:t>193,478</w:t>
            </w:r>
          </w:p>
        </w:tc>
      </w:tr>
      <w:tr>
        <w:trPr>
          <w:trHeight w:val="21"/>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w:t>
      </w:r>
    </w:p>
    <w:p>
      <w:pPr>
        <w:spacing w:after="0" w:line="115" w:lineRule="exact"/>
        <w:rPr>
          <w:sz w:val="20"/>
          <w:szCs w:val="20"/>
          <w:color w:val="auto"/>
        </w:rPr>
      </w:pPr>
    </w:p>
    <w:p>
      <w:pPr>
        <w:spacing w:after="0"/>
        <w:rPr>
          <w:sz w:val="20"/>
          <w:szCs w:val="20"/>
          <w:color w:val="auto"/>
        </w:rPr>
      </w:pPr>
      <w:r>
        <w:rPr>
          <w:rFonts w:ascii="Arial" w:cs="Arial" w:eastAsia="Arial" w:hAnsi="Arial"/>
          <w:sz w:val="9"/>
          <w:szCs w:val="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36830</wp:posOffset>
            </wp:positionV>
            <wp:extent cx="708088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0885" cy="14605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9"/>
          <w:szCs w:val="9"/>
          <w:color w:val="auto"/>
        </w:rPr>
        <w:t>(3)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6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8.19</w:t>
            </w:r>
          </w:p>
        </w:tc>
        <w:tc>
          <w:tcPr>
            <w:tcW w:w="1580" w:type="dxa"/>
            <w:vAlign w:val="bottom"/>
            <w:tcBorders>
              <w:top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11,984,720</w:t>
            </w:r>
          </w:p>
        </w:tc>
      </w:tr>
      <w:tr>
        <w:trPr>
          <w:trHeight w:val="229"/>
        </w:trPr>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7.40</w:t>
            </w:r>
          </w:p>
        </w:tc>
        <w:tc>
          <w:tcPr>
            <w:tcW w:w="15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11,984,720</w:t>
            </w:r>
          </w:p>
        </w:tc>
      </w:tr>
      <w:tr>
        <w:trPr>
          <w:trHeight w:val="234"/>
        </w:trPr>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7.18</w:t>
            </w:r>
          </w:p>
        </w:tc>
        <w:tc>
          <w:tcPr>
            <w:tcW w:w="15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11,984,720</w:t>
            </w:r>
          </w:p>
        </w:tc>
      </w:tr>
      <w:tr>
        <w:trPr>
          <w:trHeight w:val="223"/>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8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
        </w:trPr>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5520" w:space="20"/>
            <w:col w:w="120" w:space="240"/>
            <w:col w:w="5340"/>
          </w:cols>
          <w:pgMar w:left="320" w:top="121" w:right="339" w:bottom="1440" w:gutter="0" w:footer="0" w:header="0"/>
          <w:type w:val="continuous"/>
        </w:sectPr>
      </w:pPr>
    </w:p>
    <w:p>
      <w:pPr>
        <w:spacing w:after="0" w:line="92" w:lineRule="exact"/>
        <w:rPr>
          <w:sz w:val="20"/>
          <w:szCs w:val="20"/>
          <w:color w:val="auto"/>
        </w:rPr>
      </w:pPr>
    </w:p>
    <w:p>
      <w:pPr>
        <w:ind w:left="980" w:right="20" w:hanging="972"/>
        <w:spacing w:after="0" w:line="261" w:lineRule="auto"/>
        <w:tabs>
          <w:tab w:leader="none" w:pos="97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5, 2008, the Company's Board of Directors approved a share repurchase program pursuant to which the Company is permitted to acquire up to $25.0 million of outstanding shares. This share repurchase program may be discontinued at any time.</w:t>
      </w:r>
    </w:p>
    <w:p>
      <w:pPr>
        <w:ind w:left="980" w:hanging="972"/>
        <w:spacing w:after="0" w:line="250" w:lineRule="auto"/>
        <w:tabs>
          <w:tab w:leader="none" w:pos="97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amount that remains available under the $25.0 million repurchase plan, as of the period indicated. The Company has made no commitment to purchase any shares under this plan.</w:t>
      </w:r>
    </w:p>
    <w:p>
      <w:pPr>
        <w:ind w:left="980" w:hanging="972"/>
        <w:spacing w:after="0" w:line="260" w:lineRule="auto"/>
        <w:tabs>
          <w:tab w:leader="none" w:pos="97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OraSure Technologies, Inc. Stock Award Plan, and in connection with the vesting of restricted and performance shares, these shares were retired to satisfy minimum tax withholdings.</w:t>
      </w:r>
    </w:p>
    <w:p>
      <w:pPr>
        <w:spacing w:after="0" w:line="2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00" w:type="dxa"/>
            <w:vAlign w:val="bottom"/>
          </w:tcPr>
          <w:p>
            <w:pPr>
              <w:spacing w:after="0"/>
              <w:rPr>
                <w:sz w:val="13"/>
                <w:szCs w:val="13"/>
                <w:color w:val="auto"/>
              </w:rPr>
            </w:pPr>
          </w:p>
        </w:tc>
        <w:tc>
          <w:tcPr>
            <w:tcW w:w="9200" w:type="dxa"/>
            <w:vAlign w:val="bottom"/>
            <w:gridSpan w:val="7"/>
            <w:vMerge w:val="restart"/>
          </w:tcPr>
          <w:p>
            <w:pPr>
              <w:ind w:left="40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95"/>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tcPr>
          <w:p>
            <w:pPr>
              <w:spacing w:after="0"/>
              <w:rPr>
                <w:sz w:val="16"/>
                <w:szCs w:val="16"/>
                <w:color w:val="auto"/>
              </w:rPr>
            </w:pPr>
          </w:p>
        </w:tc>
        <w:tc>
          <w:tcPr>
            <w:tcW w:w="920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1240" w:type="dxa"/>
            <w:vAlign w:val="bottom"/>
            <w:tcBorders>
              <w:top w:val="single" w:sz="8" w:color="auto"/>
            </w:tcBorders>
          </w:tcPr>
          <w:p>
            <w:pPr>
              <w:jc w:val="center"/>
              <w:ind w:right="473"/>
              <w:spacing w:after="0"/>
              <w:rPr>
                <w:sz w:val="20"/>
                <w:szCs w:val="20"/>
                <w:color w:val="auto"/>
              </w:rPr>
            </w:pPr>
            <w:r>
              <w:rPr>
                <w:rFonts w:ascii="Times New Roman" w:cs="Times New Roman" w:eastAsia="Times New Roman" w:hAnsi="Times New Roman"/>
                <w:sz w:val="18"/>
                <w:szCs w:val="18"/>
                <w:color w:val="auto"/>
                <w:w w:val="98"/>
              </w:rPr>
              <w:t>31.1*</w:t>
            </w:r>
          </w:p>
        </w:tc>
        <w:tc>
          <w:tcPr>
            <w:tcW w:w="100" w:type="dxa"/>
            <w:vAlign w:val="bottom"/>
          </w:tcPr>
          <w:p>
            <w:pPr>
              <w:spacing w:after="0"/>
              <w:rPr>
                <w:sz w:val="24"/>
                <w:szCs w:val="24"/>
                <w:color w:val="auto"/>
              </w:rPr>
            </w:pPr>
          </w:p>
        </w:tc>
        <w:tc>
          <w:tcPr>
            <w:tcW w:w="990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Carrie Eglinton-Manner required by Rule 13a-14(a) or Rule 15d-14(a) under the Securities Exchange Act of 1934, as</w:t>
            </w: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amended.</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40" w:type="dxa"/>
            <w:vAlign w:val="bottom"/>
          </w:tcPr>
          <w:p>
            <w:pPr>
              <w:jc w:val="center"/>
              <w:ind w:right="473"/>
              <w:spacing w:after="0"/>
              <w:rPr>
                <w:sz w:val="20"/>
                <w:szCs w:val="20"/>
                <w:color w:val="auto"/>
              </w:rPr>
            </w:pPr>
            <w:r>
              <w:rPr>
                <w:rFonts w:ascii="Times New Roman" w:cs="Times New Roman" w:eastAsia="Times New Roman" w:hAnsi="Times New Roman"/>
                <w:sz w:val="18"/>
                <w:szCs w:val="18"/>
                <w:color w:val="auto"/>
                <w:w w:val="98"/>
              </w:rPr>
              <w:t>31.2*</w:t>
            </w:r>
          </w:p>
        </w:tc>
        <w:tc>
          <w:tcPr>
            <w:tcW w:w="100" w:type="dxa"/>
            <w:vAlign w:val="bottom"/>
          </w:tcPr>
          <w:p>
            <w:pPr>
              <w:spacing w:after="0"/>
              <w:rPr>
                <w:sz w:val="24"/>
                <w:szCs w:val="24"/>
                <w:color w:val="auto"/>
              </w:rPr>
            </w:pPr>
          </w:p>
        </w:tc>
        <w:tc>
          <w:tcPr>
            <w:tcW w:w="99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Kenneth J. McGrath required by Rule 13a-14(a) or Rule 15d-14(a) under the Securities Exchange Act of 1934, as</w:t>
            </w: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32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amended.</w:t>
            </w:r>
          </w:p>
        </w:tc>
        <w:tc>
          <w:tcPr>
            <w:tcW w:w="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4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99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Carrie Eglinton-Manner required by Rule 13a-14(b) or Rule 15d-14(b) under the Securities Exchange Act of 1934, as</w:t>
            </w: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2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amended, and 18 U.S.C. Section 1350, as Adopted Pursuant to Section 906 of the Sarbanes-Oxley Act of 2002.</w:t>
            </w:r>
          </w:p>
        </w:tc>
        <w:tc>
          <w:tcPr>
            <w:tcW w:w="1600" w:type="dxa"/>
            <w:vAlign w:val="bottom"/>
            <w:tcBorders>
              <w:top w:val="single" w:sz="8" w:color="0000FF"/>
            </w:tcBorders>
            <w:gridSpan w:val="4"/>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4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99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Kenneth J. McGrath required by Rule 13a-14(b) or Rule 15d-14(b) under the Securities Exchange Act of 1934, as</w:t>
            </w: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3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amended, and 18 U.S.C. Section 1350, as Adopted Pursuant to Section 906 of the Sarbanes-Oxley Act of 2002</w:t>
            </w:r>
            <w:r>
              <w:rPr>
                <w:rFonts w:ascii="Times New Roman" w:cs="Times New Roman" w:eastAsia="Times New Roman" w:hAnsi="Times New Roman"/>
                <w:sz w:val="18"/>
                <w:szCs w:val="18"/>
                <w:color w:val="000000"/>
              </w:rPr>
              <w:t>.</w:t>
            </w:r>
          </w:p>
        </w:tc>
        <w:tc>
          <w:tcPr>
            <w:tcW w:w="5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gridSpan w:val="2"/>
          </w:tcPr>
          <w:p>
            <w:pPr>
              <w:spacing w:after="0" w:line="20" w:lineRule="exact"/>
              <w:rPr>
                <w:sz w:val="1"/>
                <w:szCs w:val="1"/>
                <w:color w:val="auto"/>
              </w:rPr>
            </w:pPr>
          </w:p>
        </w:tc>
        <w:tc>
          <w:tcPr>
            <w:tcW w:w="7980" w:type="dxa"/>
            <w:vAlign w:val="bottom"/>
            <w:gridSpan w:val="2"/>
            <w:shd w:val="clear" w:color="auto" w:fill="0000FF"/>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454"/>
        </w:trPr>
        <w:tc>
          <w:tcPr>
            <w:tcW w:w="134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rPr>
              <w:t>101.SCH</w:t>
            </w:r>
          </w:p>
        </w:tc>
        <w:tc>
          <w:tcPr>
            <w:tcW w:w="9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445"/>
        </w:trPr>
        <w:tc>
          <w:tcPr>
            <w:tcW w:w="134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rPr>
              <w:t>101.CAL</w:t>
            </w:r>
          </w:p>
        </w:tc>
        <w:tc>
          <w:tcPr>
            <w:tcW w:w="9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46"/>
        </w:trPr>
        <w:tc>
          <w:tcPr>
            <w:tcW w:w="13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rPr>
              <w:t>101.DEF</w:t>
            </w:r>
          </w:p>
        </w:tc>
        <w:tc>
          <w:tcPr>
            <w:tcW w:w="9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45"/>
        </w:trPr>
        <w:tc>
          <w:tcPr>
            <w:tcW w:w="134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rPr>
              <w:t>101.LAB</w:t>
            </w:r>
          </w:p>
        </w:tc>
        <w:tc>
          <w:tcPr>
            <w:tcW w:w="9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445"/>
        </w:trPr>
        <w:tc>
          <w:tcPr>
            <w:tcW w:w="13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rPr>
              <w:t>101.PRE</w:t>
            </w:r>
          </w:p>
        </w:tc>
        <w:tc>
          <w:tcPr>
            <w:tcW w:w="9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340" w:right="80" w:hanging="1314"/>
        <w:spacing w:after="0" w:line="237" w:lineRule="auto"/>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from Interactive Data File (formatted as inline XBRL with applicable taxonomy extension information contained in exhibits 101).</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63" w:lineRule="exact"/>
        <w:rPr>
          <w:sz w:val="20"/>
          <w:szCs w:val="20"/>
          <w:color w:val="auto"/>
        </w:rPr>
      </w:pPr>
    </w:p>
    <w:p>
      <w:pPr>
        <w:ind w:left="180" w:hanging="172"/>
        <w:spacing w:after="0" w:line="282" w:lineRule="auto"/>
        <w:tabs>
          <w:tab w:leader="none" w:pos="17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ORASURE TECHNOLOGIES, INC.</w:t>
      </w:r>
    </w:p>
    <w:p>
      <w:pPr>
        <w:spacing w:after="0" w:line="29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/s/ Kenneth J.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18415</wp:posOffset>
            </wp:positionV>
            <wp:extent cx="3514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8"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7"/>
          <w:szCs w:val="17"/>
          <w:color w:val="auto"/>
        </w:rPr>
        <w:t>Kenneth J. McGrath</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8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/s/Michele M.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18415</wp:posOffset>
            </wp:positionV>
            <wp:extent cx="35147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18"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Michele M. Anthony</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Senior Vice President, Controller and Chief Accounting Officer</w:t>
      </w:r>
    </w:p>
    <w:p>
      <w:pPr>
        <w:spacing w:after="0" w:line="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Carrie Eglinton Manner, certify that:</w:t>
      </w:r>
    </w:p>
    <w:p>
      <w:pPr>
        <w:spacing w:after="0" w:line="117" w:lineRule="exact"/>
        <w:rPr>
          <w:sz w:val="20"/>
          <w:szCs w:val="20"/>
          <w:color w:val="auto"/>
        </w:rPr>
      </w:pPr>
    </w:p>
    <w:p>
      <w:pPr>
        <w:ind w:left="1140" w:hanging="1132"/>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OraSure Technologies, Inc.;</w:t>
      </w:r>
    </w:p>
    <w:p>
      <w:pPr>
        <w:spacing w:after="0" w:line="117" w:lineRule="exact"/>
        <w:rPr>
          <w:rFonts w:ascii="Times New Roman" w:cs="Times New Roman" w:eastAsia="Times New Roman" w:hAnsi="Times New Roman"/>
          <w:sz w:val="18"/>
          <w:szCs w:val="18"/>
          <w:color w:val="auto"/>
        </w:rPr>
      </w:pPr>
    </w:p>
    <w:p>
      <w:pPr>
        <w:ind w:left="1140" w:right="100" w:hanging="1132"/>
        <w:spacing w:after="0" w:line="266"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40" w:right="380" w:hanging="1132"/>
        <w:spacing w:after="0" w:line="312" w:lineRule="auto"/>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jc w:val="both"/>
        <w:ind w:left="1140" w:hanging="1132"/>
        <w:spacing w:after="0" w:line="266"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2280" w:right="20" w:hanging="1138"/>
        <w:spacing w:after="0" w:line="266" w:lineRule="auto"/>
        <w:tabs>
          <w:tab w:leader="none" w:pos="227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1138"/>
        <w:spacing w:after="0" w:line="289" w:lineRule="auto"/>
        <w:tabs>
          <w:tab w:leader="none" w:pos="2268"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280" w:right="320" w:hanging="1138"/>
        <w:spacing w:after="0" w:line="266" w:lineRule="auto"/>
        <w:tabs>
          <w:tab w:leader="none" w:pos="227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right="60" w:hanging="1138"/>
        <w:spacing w:after="0" w:line="266" w:lineRule="auto"/>
        <w:tabs>
          <w:tab w:leader="none" w:pos="22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140" w:right="720" w:hanging="1132"/>
        <w:spacing w:after="0" w:line="282"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2280" w:right="240" w:hanging="1138"/>
        <w:spacing w:after="0" w:line="266" w:lineRule="auto"/>
        <w:tabs>
          <w:tab w:leader="none" w:pos="227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280" w:right="620" w:hanging="1138"/>
        <w:spacing w:after="0" w:line="282" w:lineRule="auto"/>
        <w:tabs>
          <w:tab w:leader="none" w:pos="22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9, 2024</w:t>
      </w:r>
    </w:p>
    <w:p>
      <w:pPr>
        <w:spacing w:after="0" w:line="27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i w:val="1"/>
          <w:iCs w:val="1"/>
          <w:color w:val="auto"/>
        </w:rPr>
        <w:t>/s/ Carrie Eglinton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18415</wp:posOffset>
            </wp:positionV>
            <wp:extent cx="28117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Carrie Eglinton Manner</w:t>
      </w:r>
    </w:p>
    <w:p>
      <w:pPr>
        <w:spacing w:after="0" w:line="11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i w:val="1"/>
          <w:iCs w:val="1"/>
          <w:color w:val="auto"/>
        </w:rPr>
        <w:t>( Principal Executive Officer )</w:t>
      </w:r>
    </w:p>
    <w:p>
      <w:pPr>
        <w:sectPr>
          <w:pgSz w:w="11900" w:h="16838" w:orient="portrait"/>
          <w:cols w:equalWidth="0" w:num="1">
            <w:col w:w="11240"/>
          </w:cols>
          <w:pgMar w:left="320" w:top="125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J. McGrath, certify that:</w:t>
      </w:r>
    </w:p>
    <w:p>
      <w:pPr>
        <w:spacing w:after="0" w:line="117" w:lineRule="exact"/>
        <w:rPr>
          <w:sz w:val="20"/>
          <w:szCs w:val="20"/>
          <w:color w:val="auto"/>
        </w:rPr>
      </w:pPr>
    </w:p>
    <w:p>
      <w:pPr>
        <w:ind w:left="1140" w:hanging="1132"/>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OraSure Technologies, Inc.</w:t>
      </w:r>
    </w:p>
    <w:p>
      <w:pPr>
        <w:spacing w:after="0" w:line="117" w:lineRule="exact"/>
        <w:rPr>
          <w:rFonts w:ascii="Times New Roman" w:cs="Times New Roman" w:eastAsia="Times New Roman" w:hAnsi="Times New Roman"/>
          <w:sz w:val="18"/>
          <w:szCs w:val="18"/>
          <w:color w:val="auto"/>
        </w:rPr>
      </w:pPr>
    </w:p>
    <w:p>
      <w:pPr>
        <w:ind w:left="1140" w:right="100" w:hanging="1132"/>
        <w:spacing w:after="0" w:line="266"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40" w:right="380" w:hanging="1132"/>
        <w:spacing w:after="0" w:line="312" w:lineRule="auto"/>
        <w:tabs>
          <w:tab w:leader="none" w:pos="11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jc w:val="both"/>
        <w:ind w:left="1140" w:hanging="1132"/>
        <w:spacing w:after="0" w:line="266"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2280" w:right="20" w:hanging="1138"/>
        <w:spacing w:after="0" w:line="266" w:lineRule="auto"/>
        <w:tabs>
          <w:tab w:leader="none" w:pos="227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1138"/>
        <w:spacing w:after="0" w:line="289" w:lineRule="auto"/>
        <w:tabs>
          <w:tab w:leader="none" w:pos="2268"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280" w:right="320" w:hanging="1138"/>
        <w:spacing w:after="0" w:line="266" w:lineRule="auto"/>
        <w:tabs>
          <w:tab w:leader="none" w:pos="227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right="60" w:hanging="1138"/>
        <w:spacing w:after="0" w:line="266" w:lineRule="auto"/>
        <w:tabs>
          <w:tab w:leader="none" w:pos="22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140" w:right="720" w:hanging="1132"/>
        <w:spacing w:after="0" w:line="282"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ind w:left="2280" w:right="240" w:hanging="1138"/>
        <w:spacing w:after="0" w:line="266" w:lineRule="auto"/>
        <w:tabs>
          <w:tab w:leader="none" w:pos="227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620" w:hanging="1138"/>
        <w:spacing w:after="0" w:line="282" w:lineRule="auto"/>
        <w:tabs>
          <w:tab w:leader="none" w:pos="22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9, 2024</w:t>
      </w:r>
    </w:p>
    <w:p>
      <w:pPr>
        <w:spacing w:after="0" w:line="27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i w:val="1"/>
          <w:iCs w:val="1"/>
          <w:color w:val="auto"/>
        </w:rPr>
        <w:t>/s/ Kenneth J.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18415</wp:posOffset>
            </wp:positionV>
            <wp:extent cx="28117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Kenneth J. McGrath</w:t>
      </w:r>
    </w:p>
    <w:p>
      <w:pPr>
        <w:spacing w:after="0" w:line="11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i w:val="1"/>
          <w:iCs w:val="1"/>
          <w:color w:val="auto"/>
        </w:rPr>
        <w:t>( Principal Financial Officer )</w:t>
      </w:r>
    </w:p>
    <w:p>
      <w:pPr>
        <w:sectPr>
          <w:pgSz w:w="11900" w:h="16838" w:orient="portrait"/>
          <w:cols w:equalWidth="0" w:num="1">
            <w:col w:w="11240"/>
          </w:cols>
          <w:pgMar w:left="320" w:top="125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OraSure Technologies, Inc. (the “Company”) on Form 10-Q for the quarter ended March 31, 2024 as filed with the Securities and Exchange Commission on the date hereof (the “Report”), I, Carrie Eglinton Manner, President and Chief Executive Officer of the Company, certify, pursuant to 18 U.S.C. §1350, as adopted pursuant to Section 906 of the Sarbanes-Oxley Act of 2002, that:</w:t>
      </w:r>
    </w:p>
    <w:p>
      <w:pPr>
        <w:spacing w:after="0" w:line="68" w:lineRule="exact"/>
        <w:rPr>
          <w:sz w:val="20"/>
          <w:szCs w:val="20"/>
          <w:color w:val="auto"/>
        </w:rPr>
      </w:pPr>
    </w:p>
    <w:p>
      <w:pPr>
        <w:ind w:left="1620" w:hanging="316"/>
        <w:spacing w:after="0"/>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620" w:right="220" w:hanging="316"/>
        <w:spacing w:after="0" w:line="282" w:lineRule="auto"/>
        <w:tabs>
          <w:tab w:leader="none" w:pos="16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Carrie Eglinton Manner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Carrie Eglinton Manner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9, 2024</w:t>
      </w:r>
    </w:p>
    <w:p>
      <w:pPr>
        <w:sectPr>
          <w:pgSz w:w="11900" w:h="16838" w:orient="portrait"/>
          <w:cols w:equalWidth="0" w:num="1">
            <w:col w:w="11240"/>
          </w:cols>
          <w:pgMar w:left="320" w:top="1251"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18 U.S.C.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OraSure Technologies, Inc. (the “Company”) on Form 10-Q for the quarter ended March 31, 2024 as filed with the Securities and Exchange Commission on the date hereof (the “Report”), I, Kenneth J. McGrath, Chief Financial Officer of the Company, certify, pursuant to 18 U.S.C. §1350, as adopted pursuant to Section 906 of the Sarbanes-Oxley Act of 2002, that:</w:t>
      </w:r>
    </w:p>
    <w:p>
      <w:pPr>
        <w:spacing w:after="0" w:line="68" w:lineRule="exact"/>
        <w:rPr>
          <w:sz w:val="20"/>
          <w:szCs w:val="20"/>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620" w:right="220" w:hanging="316"/>
        <w:spacing w:after="0" w:line="282" w:lineRule="auto"/>
        <w:tabs>
          <w:tab w:leader="none" w:pos="161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Kenneth J. McGrath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J. McGrath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9, 2024</w:t>
      </w:r>
    </w:p>
    <w:sectPr>
      <w:pgSz w:w="11900" w:h="16838" w:orient="portrait"/>
      <w:cols w:equalWidth="0" w:num="1">
        <w:col w:w="11240"/>
      </w:cols>
      <w:pgMar w:left="320" w:top="12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0"/>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04"/>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2024-05-09T16:03:32Z</dcterms:created>
  <dcterms:modified xsi:type="dcterms:W3CDTF">2024-05-09T16:03:32Z</dcterms:modified>
</cp:coreProperties>
</file>